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37" w:rsidRPr="00435882" w:rsidRDefault="00815337" w:rsidP="008039FD">
      <w:pPr>
        <w:pStyle w:val="Zkladntext1"/>
        <w:jc w:val="center"/>
        <w:outlineLvl w:val="0"/>
        <w:rPr>
          <w:b/>
          <w:sz w:val="28"/>
          <w:szCs w:val="28"/>
        </w:rPr>
      </w:pPr>
      <w:r w:rsidRPr="00435882">
        <w:rPr>
          <w:b/>
          <w:sz w:val="28"/>
          <w:szCs w:val="28"/>
        </w:rPr>
        <w:t>Oznámenie</w:t>
      </w:r>
    </w:p>
    <w:p w:rsidR="00DB218B" w:rsidRDefault="00DB218B" w:rsidP="008039FD">
      <w:pPr>
        <w:pStyle w:val="Zkladntext1"/>
        <w:jc w:val="center"/>
        <w:outlineLvl w:val="0"/>
        <w:rPr>
          <w:b/>
          <w:sz w:val="28"/>
          <w:szCs w:val="28"/>
        </w:rPr>
      </w:pPr>
      <w:r w:rsidRPr="00435882">
        <w:rPr>
          <w:b/>
          <w:sz w:val="28"/>
          <w:szCs w:val="28"/>
        </w:rPr>
        <w:t>Ministerstva financií Slovenskej republiky</w:t>
      </w:r>
    </w:p>
    <w:p w:rsidR="00B50097" w:rsidRDefault="006115FF" w:rsidP="00B50097">
      <w:pPr>
        <w:pStyle w:val="Zkladntext1"/>
        <w:jc w:val="center"/>
        <w:outlineLvl w:val="0"/>
        <w:rPr>
          <w:b/>
          <w:sz w:val="28"/>
          <w:szCs w:val="28"/>
        </w:rPr>
      </w:pPr>
      <w:r w:rsidRPr="008E0A8E">
        <w:rPr>
          <w:b/>
          <w:sz w:val="28"/>
          <w:szCs w:val="28"/>
        </w:rPr>
        <w:t>č</w:t>
      </w:r>
      <w:r w:rsidR="00EE3E23" w:rsidRPr="008E0A8E">
        <w:rPr>
          <w:b/>
          <w:sz w:val="28"/>
          <w:szCs w:val="28"/>
        </w:rPr>
        <w:t xml:space="preserve">. </w:t>
      </w:r>
      <w:r w:rsidR="00B50097" w:rsidRPr="008E0A8E">
        <w:rPr>
          <w:b/>
          <w:sz w:val="28"/>
          <w:szCs w:val="28"/>
        </w:rPr>
        <w:t>MF/</w:t>
      </w:r>
      <w:r w:rsidR="008E0A8E" w:rsidRPr="008E0A8E">
        <w:rPr>
          <w:b/>
          <w:sz w:val="28"/>
          <w:szCs w:val="28"/>
        </w:rPr>
        <w:t>011498</w:t>
      </w:r>
      <w:r w:rsidR="00DA13F1" w:rsidRPr="008E0A8E">
        <w:rPr>
          <w:b/>
          <w:sz w:val="28"/>
          <w:szCs w:val="28"/>
        </w:rPr>
        <w:t>/2020</w:t>
      </w:r>
      <w:r w:rsidR="00B50097" w:rsidRPr="008E0A8E">
        <w:rPr>
          <w:b/>
          <w:sz w:val="28"/>
          <w:szCs w:val="28"/>
        </w:rPr>
        <w:t>-721</w:t>
      </w:r>
      <w:r w:rsidR="00B50097">
        <w:rPr>
          <w:b/>
          <w:sz w:val="28"/>
          <w:szCs w:val="28"/>
        </w:rPr>
        <w:t xml:space="preserve"> </w:t>
      </w:r>
    </w:p>
    <w:p w:rsidR="00815337" w:rsidRPr="00435882" w:rsidRDefault="00815337" w:rsidP="00B50097">
      <w:pPr>
        <w:pStyle w:val="Zkladntext1"/>
        <w:jc w:val="center"/>
        <w:outlineLvl w:val="0"/>
        <w:rPr>
          <w:b/>
          <w:sz w:val="28"/>
          <w:szCs w:val="28"/>
        </w:rPr>
      </w:pPr>
      <w:r w:rsidRPr="00435882">
        <w:rPr>
          <w:b/>
          <w:sz w:val="28"/>
          <w:szCs w:val="28"/>
        </w:rPr>
        <w:t xml:space="preserve">o vydaní </w:t>
      </w:r>
      <w:r w:rsidR="001228AD">
        <w:rPr>
          <w:b/>
          <w:sz w:val="28"/>
          <w:szCs w:val="28"/>
        </w:rPr>
        <w:t>doplnenia</w:t>
      </w:r>
      <w:r w:rsidR="00CB64BD">
        <w:rPr>
          <w:b/>
          <w:sz w:val="28"/>
          <w:szCs w:val="28"/>
        </w:rPr>
        <w:t xml:space="preserve"> k </w:t>
      </w:r>
      <w:r w:rsidRPr="00435882">
        <w:rPr>
          <w:b/>
          <w:sz w:val="28"/>
          <w:szCs w:val="28"/>
        </w:rPr>
        <w:t>poučen</w:t>
      </w:r>
      <w:r w:rsidR="00CB64BD">
        <w:rPr>
          <w:b/>
          <w:sz w:val="28"/>
          <w:szCs w:val="28"/>
        </w:rPr>
        <w:t>iu na vyplnenie daňového priznania</w:t>
      </w:r>
      <w:r w:rsidRPr="00435882">
        <w:rPr>
          <w:b/>
          <w:sz w:val="28"/>
          <w:szCs w:val="28"/>
        </w:rPr>
        <w:t xml:space="preserve"> k dani z</w:t>
      </w:r>
      <w:r w:rsidR="00CB64BD">
        <w:rPr>
          <w:b/>
          <w:sz w:val="28"/>
          <w:szCs w:val="28"/>
        </w:rPr>
        <w:t> </w:t>
      </w:r>
      <w:r w:rsidRPr="00435882">
        <w:rPr>
          <w:b/>
          <w:sz w:val="28"/>
          <w:szCs w:val="28"/>
        </w:rPr>
        <w:t>príjmov</w:t>
      </w:r>
      <w:r w:rsidR="00CB64BD">
        <w:rPr>
          <w:b/>
          <w:sz w:val="28"/>
          <w:szCs w:val="28"/>
        </w:rPr>
        <w:t xml:space="preserve"> </w:t>
      </w:r>
      <w:r w:rsidR="001228AD">
        <w:rPr>
          <w:b/>
          <w:sz w:val="28"/>
          <w:szCs w:val="28"/>
        </w:rPr>
        <w:t>fyzickej osoby – typ B a</w:t>
      </w:r>
      <w:r w:rsidR="00DA13F1">
        <w:rPr>
          <w:b/>
          <w:sz w:val="28"/>
          <w:szCs w:val="28"/>
        </w:rPr>
        <w:t> k poučeniu na vy</w:t>
      </w:r>
      <w:bookmarkStart w:id="0" w:name="_GoBack"/>
      <w:bookmarkEnd w:id="0"/>
      <w:r w:rsidR="00DA13F1">
        <w:rPr>
          <w:b/>
          <w:sz w:val="28"/>
          <w:szCs w:val="28"/>
        </w:rPr>
        <w:t xml:space="preserve">plnenie </w:t>
      </w:r>
      <w:r w:rsidR="001228AD">
        <w:rPr>
          <w:b/>
          <w:sz w:val="28"/>
          <w:szCs w:val="28"/>
        </w:rPr>
        <w:t xml:space="preserve">daňového priznania k dani z príjmov </w:t>
      </w:r>
      <w:r w:rsidR="00CB64BD">
        <w:rPr>
          <w:b/>
          <w:sz w:val="28"/>
          <w:szCs w:val="28"/>
        </w:rPr>
        <w:t>právnickej osoby</w:t>
      </w:r>
    </w:p>
    <w:p w:rsidR="00815337" w:rsidRPr="00435882" w:rsidRDefault="00815337" w:rsidP="008039FD">
      <w:pPr>
        <w:pStyle w:val="Zkladntext1"/>
        <w:jc w:val="center"/>
        <w:rPr>
          <w:b/>
          <w:sz w:val="28"/>
          <w:szCs w:val="28"/>
        </w:rPr>
      </w:pPr>
    </w:p>
    <w:p w:rsidR="00815337" w:rsidRPr="00815337" w:rsidRDefault="00815337" w:rsidP="00815337">
      <w:pPr>
        <w:pStyle w:val="Zkladntext1"/>
        <w:rPr>
          <w:rFonts w:ascii="Arial Narrow" w:hAnsi="Arial Narrow"/>
        </w:rPr>
      </w:pPr>
    </w:p>
    <w:p w:rsidR="00DD3EAB" w:rsidRPr="00EA34F5" w:rsidRDefault="00815337" w:rsidP="00815337">
      <w:pPr>
        <w:pStyle w:val="Zkladntext1"/>
        <w:jc w:val="both"/>
        <w:rPr>
          <w:color w:val="auto"/>
          <w:szCs w:val="24"/>
        </w:rPr>
      </w:pPr>
      <w:r w:rsidRPr="00815337">
        <w:rPr>
          <w:rFonts w:ascii="Arial Narrow" w:hAnsi="Arial Narrow"/>
        </w:rPr>
        <w:tab/>
      </w:r>
      <w:r w:rsidRPr="00435882">
        <w:rPr>
          <w:szCs w:val="24"/>
        </w:rPr>
        <w:t xml:space="preserve">Ministerstvo financií Slovenskej republiky na zabezpečenie jednotného postupu pri vypĺňaní daňových priznaní </w:t>
      </w:r>
      <w:r w:rsidR="00AF1910" w:rsidRPr="00AF1910">
        <w:rPr>
          <w:szCs w:val="24"/>
        </w:rPr>
        <w:t>podľa zákona č. 595/2003 Z.</w:t>
      </w:r>
      <w:r w:rsidR="00AF1910">
        <w:rPr>
          <w:szCs w:val="24"/>
        </w:rPr>
        <w:t xml:space="preserve"> </w:t>
      </w:r>
      <w:r w:rsidR="00AF1910" w:rsidRPr="00AF1910">
        <w:rPr>
          <w:szCs w:val="24"/>
        </w:rPr>
        <w:t xml:space="preserve">z. o dani z príjmov v znení neskorších </w:t>
      </w:r>
      <w:r w:rsidR="00AF1910" w:rsidRPr="00EA34F5">
        <w:rPr>
          <w:color w:val="auto"/>
          <w:szCs w:val="24"/>
        </w:rPr>
        <w:t xml:space="preserve">predpisov </w:t>
      </w:r>
      <w:r w:rsidR="00EA34F5" w:rsidRPr="00EA34F5">
        <w:rPr>
          <w:color w:val="auto"/>
          <w:szCs w:val="24"/>
        </w:rPr>
        <w:t>(ďalej len „zákon</w:t>
      </w:r>
      <w:r w:rsidR="00413756" w:rsidRPr="00EA34F5">
        <w:rPr>
          <w:color w:val="auto"/>
          <w:szCs w:val="24"/>
        </w:rPr>
        <w:t xml:space="preserve">“) </w:t>
      </w:r>
      <w:r w:rsidRPr="00EA34F5">
        <w:rPr>
          <w:color w:val="auto"/>
          <w:szCs w:val="24"/>
        </w:rPr>
        <w:t xml:space="preserve">oznamuje, že vydalo </w:t>
      </w:r>
      <w:r w:rsidR="001228AD" w:rsidRPr="00EA34F5">
        <w:rPr>
          <w:color w:val="auto"/>
          <w:szCs w:val="24"/>
        </w:rPr>
        <w:t xml:space="preserve">doplnenie </w:t>
      </w:r>
      <w:r w:rsidR="00CB64BD" w:rsidRPr="00EA34F5">
        <w:rPr>
          <w:color w:val="auto"/>
          <w:szCs w:val="24"/>
        </w:rPr>
        <w:t xml:space="preserve">k poučeniu na vyplnenie daňového priznania k dani z príjmov </w:t>
      </w:r>
      <w:r w:rsidR="001228AD" w:rsidRPr="00EA34F5">
        <w:rPr>
          <w:color w:val="auto"/>
          <w:szCs w:val="24"/>
        </w:rPr>
        <w:t xml:space="preserve">fyzickej osoby – typ </w:t>
      </w:r>
      <w:r w:rsidR="00C23310" w:rsidRPr="00EA34F5">
        <w:rPr>
          <w:color w:val="auto"/>
          <w:szCs w:val="24"/>
        </w:rPr>
        <w:t>B (MF/</w:t>
      </w:r>
      <w:r w:rsidR="003D39F0">
        <w:rPr>
          <w:color w:val="auto"/>
          <w:szCs w:val="24"/>
        </w:rPr>
        <w:t>0</w:t>
      </w:r>
      <w:r w:rsidR="00C23310" w:rsidRPr="00EA34F5">
        <w:rPr>
          <w:color w:val="auto"/>
          <w:szCs w:val="24"/>
        </w:rPr>
        <w:t>13999/2019-721</w:t>
      </w:r>
      <w:r w:rsidR="001228AD" w:rsidRPr="00EA34F5">
        <w:rPr>
          <w:color w:val="auto"/>
          <w:szCs w:val="24"/>
        </w:rPr>
        <w:t>) a </w:t>
      </w:r>
      <w:r w:rsidR="00DA13F1" w:rsidRPr="00EA34F5">
        <w:rPr>
          <w:color w:val="auto"/>
          <w:szCs w:val="24"/>
        </w:rPr>
        <w:t>k poučeniu na vyplnenie daňového priznania</w:t>
      </w:r>
      <w:r w:rsidR="001228AD" w:rsidRPr="00EA34F5">
        <w:rPr>
          <w:color w:val="auto"/>
          <w:szCs w:val="24"/>
        </w:rPr>
        <w:t xml:space="preserve"> k dani z príjmov </w:t>
      </w:r>
      <w:r w:rsidR="00CB64BD" w:rsidRPr="00EA34F5">
        <w:rPr>
          <w:color w:val="auto"/>
          <w:szCs w:val="24"/>
        </w:rPr>
        <w:t>právn</w:t>
      </w:r>
      <w:r w:rsidR="00DD3EAB" w:rsidRPr="00EA34F5">
        <w:rPr>
          <w:color w:val="auto"/>
          <w:szCs w:val="24"/>
        </w:rPr>
        <w:t>ickej osoby (MF/</w:t>
      </w:r>
      <w:r w:rsidR="003D39F0">
        <w:rPr>
          <w:color w:val="auto"/>
          <w:szCs w:val="24"/>
        </w:rPr>
        <w:t>0</w:t>
      </w:r>
      <w:r w:rsidR="00DD3EAB" w:rsidRPr="00EA34F5">
        <w:rPr>
          <w:color w:val="auto"/>
          <w:szCs w:val="24"/>
        </w:rPr>
        <w:t xml:space="preserve">14001/2019-721) </w:t>
      </w:r>
      <w:r w:rsidR="00FD7ABE" w:rsidRPr="00EA34F5">
        <w:rPr>
          <w:color w:val="auto"/>
          <w:szCs w:val="24"/>
        </w:rPr>
        <w:t>v súvislosti s odp</w:t>
      </w:r>
      <w:r w:rsidR="005F350D" w:rsidRPr="00EA34F5">
        <w:rPr>
          <w:color w:val="auto"/>
          <w:szCs w:val="24"/>
        </w:rPr>
        <w:t>očtom daňových strát podľa § 24b</w:t>
      </w:r>
      <w:r w:rsidR="00FD7ABE" w:rsidRPr="00EA34F5">
        <w:rPr>
          <w:color w:val="auto"/>
          <w:szCs w:val="24"/>
        </w:rPr>
        <w:t xml:space="preserve"> zákona č. 67/2020 Z. z. o niektorých mimoriadnych opatreniach</w:t>
      </w:r>
      <w:r w:rsidR="00413756" w:rsidRPr="00EA34F5">
        <w:rPr>
          <w:color w:val="auto"/>
          <w:szCs w:val="24"/>
        </w:rPr>
        <w:t xml:space="preserve"> vo finančnej oblasti </w:t>
      </w:r>
      <w:r w:rsidR="00FD7ABE" w:rsidRPr="00EA34F5">
        <w:rPr>
          <w:color w:val="auto"/>
          <w:szCs w:val="24"/>
        </w:rPr>
        <w:t xml:space="preserve">v súvislosti so šírením nebezpečnej </w:t>
      </w:r>
      <w:r w:rsidR="00413756" w:rsidRPr="00EA34F5">
        <w:rPr>
          <w:color w:val="auto"/>
          <w:szCs w:val="24"/>
        </w:rPr>
        <w:t xml:space="preserve">nákazlivej </w:t>
      </w:r>
      <w:r w:rsidR="00FD7ABE" w:rsidRPr="00EA34F5">
        <w:rPr>
          <w:color w:val="auto"/>
          <w:szCs w:val="24"/>
        </w:rPr>
        <w:t xml:space="preserve">ľudskej choroby COVID-19 v znení </w:t>
      </w:r>
      <w:r w:rsidR="00413756" w:rsidRPr="00EA34F5">
        <w:rPr>
          <w:color w:val="auto"/>
          <w:szCs w:val="24"/>
        </w:rPr>
        <w:t xml:space="preserve">zákona č. 96/2020 Z. z. </w:t>
      </w:r>
      <w:r w:rsidR="00DD3EAB" w:rsidRPr="00EA34F5">
        <w:rPr>
          <w:color w:val="auto"/>
          <w:szCs w:val="24"/>
        </w:rPr>
        <w:t>v tomto znení:</w:t>
      </w:r>
    </w:p>
    <w:p w:rsidR="001228AD" w:rsidRDefault="001228AD" w:rsidP="00DD3EAB">
      <w:pPr>
        <w:pStyle w:val="Zkladntext1"/>
        <w:jc w:val="both"/>
        <w:rPr>
          <w:szCs w:val="24"/>
        </w:rPr>
      </w:pPr>
    </w:p>
    <w:p w:rsidR="00FD7ABE" w:rsidRDefault="00FD7ABE" w:rsidP="00FD7ABE">
      <w:pPr>
        <w:pStyle w:val="Zkladntext1"/>
        <w:jc w:val="both"/>
        <w:rPr>
          <w:b/>
          <w:szCs w:val="24"/>
        </w:rPr>
      </w:pPr>
      <w:r w:rsidRPr="00405B1F">
        <w:rPr>
          <w:b/>
          <w:szCs w:val="24"/>
        </w:rPr>
        <w:t>Poučenie k daňovému priznaniu k dani z</w:t>
      </w:r>
      <w:r w:rsidR="00DF0A73">
        <w:rPr>
          <w:b/>
          <w:szCs w:val="24"/>
        </w:rPr>
        <w:t> </w:t>
      </w:r>
      <w:r w:rsidRPr="00405B1F">
        <w:rPr>
          <w:b/>
          <w:szCs w:val="24"/>
        </w:rPr>
        <w:t>pr</w:t>
      </w:r>
      <w:r w:rsidR="00D82B7F">
        <w:rPr>
          <w:b/>
          <w:szCs w:val="24"/>
        </w:rPr>
        <w:t>íjmov</w:t>
      </w:r>
      <w:r w:rsidR="00DF0A73">
        <w:rPr>
          <w:b/>
          <w:szCs w:val="24"/>
        </w:rPr>
        <w:t xml:space="preserve"> fyzickej osoby – typ B </w:t>
      </w:r>
      <w:r w:rsidR="00D82B7F">
        <w:rPr>
          <w:b/>
          <w:szCs w:val="24"/>
        </w:rPr>
        <w:t>(MF/</w:t>
      </w:r>
      <w:r w:rsidR="00E675C6">
        <w:rPr>
          <w:b/>
          <w:szCs w:val="24"/>
        </w:rPr>
        <w:t>0</w:t>
      </w:r>
      <w:r w:rsidR="00D82B7F">
        <w:rPr>
          <w:b/>
          <w:szCs w:val="24"/>
        </w:rPr>
        <w:t>13999</w:t>
      </w:r>
      <w:r w:rsidRPr="00405B1F">
        <w:rPr>
          <w:b/>
          <w:szCs w:val="24"/>
        </w:rPr>
        <w:t>/2019-721)</w:t>
      </w:r>
      <w:r w:rsidR="00DF0A73">
        <w:rPr>
          <w:b/>
          <w:szCs w:val="24"/>
        </w:rPr>
        <w:t xml:space="preserve"> sa v časti „</w:t>
      </w:r>
      <w:r w:rsidR="00DF0A73" w:rsidRPr="00DF0A73">
        <w:rPr>
          <w:b/>
          <w:szCs w:val="24"/>
        </w:rPr>
        <w:t>Prehľad o vzniku daňových strát podľa § 30 zákona.</w:t>
      </w:r>
      <w:r w:rsidR="00DF0A73">
        <w:rPr>
          <w:b/>
          <w:szCs w:val="24"/>
        </w:rPr>
        <w:t>“ dopĺňa nasledovne:</w:t>
      </w:r>
    </w:p>
    <w:p w:rsidR="00004217" w:rsidRPr="00405B1F" w:rsidRDefault="00004217" w:rsidP="00FD7ABE">
      <w:pPr>
        <w:pStyle w:val="Zkladntext1"/>
        <w:jc w:val="both"/>
        <w:rPr>
          <w:b/>
          <w:szCs w:val="24"/>
        </w:rPr>
      </w:pPr>
    </w:p>
    <w:p w:rsidR="00DF0A73" w:rsidRPr="00413756" w:rsidRDefault="00DF0A73" w:rsidP="00DF0A73">
      <w:pPr>
        <w:jc w:val="both"/>
        <w:rPr>
          <w:rFonts w:eastAsia="Calibri"/>
          <w:b/>
          <w:bCs/>
          <w:color w:val="FF0000"/>
          <w:lang w:val="sk-SK" w:eastAsia="en-US"/>
        </w:rPr>
      </w:pPr>
      <w:r w:rsidRPr="00B427DB">
        <w:rPr>
          <w:rFonts w:eastAsia="Calibri"/>
          <w:lang w:val="sk-SK" w:eastAsia="en-US"/>
        </w:rPr>
        <w:t>„</w:t>
      </w:r>
      <w:r w:rsidRPr="00DF0A73">
        <w:rPr>
          <w:rFonts w:eastAsia="Calibri"/>
          <w:lang w:val="sk-SK" w:eastAsia="en-US"/>
        </w:rPr>
        <w:t>V nadväznosti na schválenie z</w:t>
      </w:r>
      <w:r w:rsidRPr="00DF0A73">
        <w:rPr>
          <w:rFonts w:eastAsia="Calibri"/>
          <w:lang w:val="sk-SK" w:eastAsia="sk-SK"/>
        </w:rPr>
        <w:t xml:space="preserve">ákona č. </w:t>
      </w:r>
      <w:r w:rsidRPr="00DF0A73">
        <w:rPr>
          <w:rFonts w:eastAsia="Arial Unicode MS"/>
          <w:bCs/>
          <w:lang w:val="sk-SK" w:eastAsia="sk-SK"/>
        </w:rPr>
        <w:t>67/2020 Z. z.</w:t>
      </w:r>
      <w:r w:rsidRPr="00DF0A73">
        <w:rPr>
          <w:rFonts w:eastAsia="Arial Unicode MS"/>
          <w:lang w:val="sk-SK" w:eastAsia="sk-SK"/>
        </w:rPr>
        <w:t xml:space="preserve"> </w:t>
      </w:r>
      <w:r w:rsidRPr="00DF0A73">
        <w:rPr>
          <w:rFonts w:eastAsia="Calibri"/>
          <w:lang w:val="sk-SK" w:eastAsia="en-US"/>
        </w:rPr>
        <w:t>o niektorých mimoriadnych op</w:t>
      </w:r>
      <w:r w:rsidR="00E675C6">
        <w:rPr>
          <w:rFonts w:eastAsia="Calibri"/>
          <w:lang w:val="sk-SK" w:eastAsia="en-US"/>
        </w:rPr>
        <w:t xml:space="preserve">atreniach vo finančnej oblasti </w:t>
      </w:r>
      <w:r w:rsidRPr="00DF0A73">
        <w:rPr>
          <w:rFonts w:eastAsia="Calibri"/>
          <w:lang w:val="sk-SK" w:eastAsia="en-US"/>
        </w:rPr>
        <w:t>v súvislosti so šírením nebezpečnej nákazlivej ľudskej choroby COVID-19</w:t>
      </w:r>
      <w:r w:rsidRPr="00DF0A73">
        <w:rPr>
          <w:rFonts w:eastAsia="Calibri"/>
          <w:lang w:val="sk-SK" w:eastAsia="sk-SK"/>
        </w:rPr>
        <w:t xml:space="preserve"> </w:t>
      </w:r>
      <w:r w:rsidRPr="00B427DB">
        <w:rPr>
          <w:rFonts w:eastAsia="Calibri"/>
          <w:bCs/>
          <w:lang w:val="sk-SK" w:eastAsia="en-US"/>
        </w:rPr>
        <w:t xml:space="preserve">v znení zákona č. 75/2020 Z. </w:t>
      </w:r>
      <w:r w:rsidRPr="00DF0A73">
        <w:rPr>
          <w:rFonts w:eastAsia="Calibri"/>
          <w:bCs/>
          <w:lang w:val="sk-SK" w:eastAsia="en-US"/>
        </w:rPr>
        <w:t>z. a zákona č. 96/2020 Z.</w:t>
      </w:r>
      <w:r w:rsidRPr="00B427DB">
        <w:rPr>
          <w:rFonts w:eastAsia="Calibri"/>
          <w:bCs/>
          <w:lang w:val="sk-SK" w:eastAsia="en-US"/>
        </w:rPr>
        <w:t xml:space="preserve"> </w:t>
      </w:r>
      <w:r w:rsidRPr="00DF0A73">
        <w:rPr>
          <w:rFonts w:eastAsia="Calibri"/>
          <w:bCs/>
          <w:lang w:val="sk-SK" w:eastAsia="en-US"/>
        </w:rPr>
        <w:t xml:space="preserve">z. sa dopĺňa špeciálny postup odpočítania daňových strát v daňovom priznaní </w:t>
      </w:r>
      <w:r w:rsidR="005F350D" w:rsidRPr="00B427DB">
        <w:rPr>
          <w:rFonts w:eastAsia="Calibri"/>
          <w:bCs/>
          <w:lang w:val="sk-SK" w:eastAsia="en-US"/>
        </w:rPr>
        <w:t>za zdaňovacie obdobie roka 2019</w:t>
      </w:r>
      <w:r w:rsidRPr="00DF0A73">
        <w:rPr>
          <w:rFonts w:eastAsia="Calibri"/>
          <w:bCs/>
          <w:lang w:val="sk-SK" w:eastAsia="en-US"/>
        </w:rPr>
        <w:t>.</w:t>
      </w:r>
      <w:r w:rsidR="005F350D" w:rsidRPr="00B427DB">
        <w:rPr>
          <w:rFonts w:eastAsia="Calibri"/>
          <w:bCs/>
          <w:lang w:val="sk-SK" w:eastAsia="en-US"/>
        </w:rPr>
        <w:t xml:space="preserve"> </w:t>
      </w:r>
      <w:r w:rsidRPr="00DF0A73">
        <w:rPr>
          <w:lang w:val="sk-SK" w:eastAsia="sk-SK"/>
        </w:rPr>
        <w:t xml:space="preserve">Tento postup je uvedený priamo v § 24b </w:t>
      </w:r>
      <w:r w:rsidR="00413756" w:rsidRPr="00EA34F5">
        <w:rPr>
          <w:lang w:val="sk-SK" w:eastAsia="sk-SK"/>
        </w:rPr>
        <w:t>zákona č. 67/2020 Z. z. v znení zákona č. 96/2020 Z. z.</w:t>
      </w:r>
      <w:r w:rsidR="00413756" w:rsidRPr="00EA34F5">
        <w:rPr>
          <w:b/>
          <w:lang w:val="sk-SK" w:eastAsia="sk-SK"/>
        </w:rPr>
        <w:t xml:space="preserve"> </w:t>
      </w:r>
    </w:p>
    <w:p w:rsidR="00DF0A73" w:rsidRPr="00DF0A73" w:rsidRDefault="00DF0A73" w:rsidP="00DF0A73">
      <w:pPr>
        <w:jc w:val="both"/>
        <w:rPr>
          <w:lang w:val="sk-SK" w:eastAsia="sk-SK"/>
        </w:rPr>
      </w:pPr>
      <w:r w:rsidRPr="00DF0A73">
        <w:rPr>
          <w:lang w:val="sk-SK" w:eastAsia="sk-SK"/>
        </w:rPr>
        <w:t xml:space="preserve">Daňovník, ktorý je fyzickou osobou, môže odpočítať od základu dane (čiastkového základu dane) z príjmov podľa § 6 ods. 1 a 2 </w:t>
      </w:r>
      <w:r w:rsidR="00EA34F5">
        <w:rPr>
          <w:lang w:val="sk-SK" w:eastAsia="sk-SK"/>
        </w:rPr>
        <w:t>zákona</w:t>
      </w:r>
      <w:r w:rsidRPr="00DF0A73">
        <w:rPr>
          <w:lang w:val="sk-SK" w:eastAsia="sk-SK"/>
        </w:rPr>
        <w:t xml:space="preserve"> neuplatnené daňové straty vykázané podľa </w:t>
      </w:r>
      <w:r w:rsidR="00EA34F5">
        <w:rPr>
          <w:lang w:val="sk-SK" w:eastAsia="sk-SK"/>
        </w:rPr>
        <w:t xml:space="preserve">zákona </w:t>
      </w:r>
      <w:r w:rsidRPr="00DF0A73">
        <w:rPr>
          <w:lang w:val="sk-SK" w:eastAsia="sk-SK"/>
        </w:rPr>
        <w:t xml:space="preserve">za zdaňovacie obdobia rokov 2015 až 2018, najviac však v úhrnnej sume 1 000 000,- €. </w:t>
      </w:r>
    </w:p>
    <w:p w:rsidR="00DF0A73" w:rsidRPr="00DF0A73" w:rsidRDefault="00DF0A73" w:rsidP="00DF0A73">
      <w:pPr>
        <w:jc w:val="both"/>
        <w:rPr>
          <w:lang w:val="sk-SK" w:eastAsia="sk-SK"/>
        </w:rPr>
      </w:pPr>
      <w:r w:rsidRPr="00DF0A73">
        <w:rPr>
          <w:lang w:val="sk-SK" w:eastAsia="sk-SK"/>
        </w:rPr>
        <w:t xml:space="preserve">Tieto daňové straty môže daňovník, ktorý je fyzickou osobou, odpočítať v daňovom priznaní, ktorého posledný deň lehoty na podanie daňového priznania uplynie v období od 01.01.2020 do 31.12.2020. </w:t>
      </w:r>
    </w:p>
    <w:p w:rsidR="00DF0A73" w:rsidRPr="00DF0A73" w:rsidRDefault="00DF0A73" w:rsidP="00DF0A73">
      <w:pPr>
        <w:jc w:val="both"/>
        <w:rPr>
          <w:b/>
          <w:lang w:val="sk-SK" w:eastAsia="sk-SK"/>
        </w:rPr>
      </w:pPr>
      <w:r w:rsidRPr="00DF0A73">
        <w:rPr>
          <w:lang w:val="sk-SK" w:eastAsia="sk-SK"/>
        </w:rPr>
        <w:t xml:space="preserve">U daňovníka, ktorý je fyzickou osobou, sa jedná o daňové priznanie za rok 2019, ak lehota na podanie tohto daňového priznania uplynie v období od 01.01.2020 do 31.12.2020. V prípade podania daňového priznania za zomrelého daňovníka dedičom alebo osobou podľa § 35 zákona č. 311/2001 Z. z. Zákonník práce v znení neskorších predpisov (ďalej len „Zákonník práce“) </w:t>
      </w:r>
      <w:r w:rsidR="003E51C1" w:rsidRPr="00EA34F5">
        <w:rPr>
          <w:lang w:val="sk-SK" w:eastAsia="sk-SK"/>
        </w:rPr>
        <w:t>ide</w:t>
      </w:r>
      <w:r w:rsidR="003E51C1">
        <w:rPr>
          <w:lang w:val="sk-SK" w:eastAsia="sk-SK"/>
        </w:rPr>
        <w:t xml:space="preserve"> o </w:t>
      </w:r>
      <w:r w:rsidRPr="00DF0A73">
        <w:rPr>
          <w:lang w:val="sk-SK" w:eastAsia="sk-SK"/>
        </w:rPr>
        <w:t>daňové priznanie za rok 2019, ak lehota na podanie tohto daňového priznania uplynie v období od 01.01.2020 do 31.12.2020 a daňové priznanie k DPFO za rok 2020, ak lehota na podanie tohto daňového priznania uplynie v období od 01.01.2020 do 31.12.2020.</w:t>
      </w:r>
    </w:p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  <w:r w:rsidRPr="00DF0A73">
        <w:rPr>
          <w:rFonts w:eastAsia="Calibri"/>
          <w:lang w:val="sk-SK" w:eastAsia="en-US"/>
        </w:rPr>
        <w:t xml:space="preserve">Daňovník v súlade s § 24b zákona č. 67/2020 Z. z. </w:t>
      </w:r>
      <w:r w:rsidR="003E51C1" w:rsidRPr="00EA34F5">
        <w:rPr>
          <w:rFonts w:eastAsia="Calibri"/>
          <w:lang w:val="sk-SK" w:eastAsia="en-US"/>
        </w:rPr>
        <w:t xml:space="preserve">v znení zákona č. 96/2020 Z. z. </w:t>
      </w:r>
      <w:r w:rsidRPr="00EA34F5">
        <w:rPr>
          <w:rFonts w:eastAsia="Calibri"/>
          <w:lang w:val="sk-SK" w:eastAsia="en-US"/>
        </w:rPr>
        <w:t xml:space="preserve">odpočítava </w:t>
      </w:r>
      <w:r w:rsidRPr="00DF0A73">
        <w:rPr>
          <w:rFonts w:eastAsia="Calibri"/>
          <w:lang w:val="sk-SK" w:eastAsia="en-US"/>
        </w:rPr>
        <w:t xml:space="preserve">tie časti neuplatnených daňových strát za zdaňovacie obdobia rokov 2015 až 2018, na ktorých odpočítanie mu vzniká nárok podľa </w:t>
      </w:r>
      <w:r w:rsidR="00EA34F5">
        <w:rPr>
          <w:rFonts w:eastAsia="Calibri"/>
          <w:lang w:val="sk-SK" w:eastAsia="en-US"/>
        </w:rPr>
        <w:t>zákona</w:t>
      </w:r>
      <w:r w:rsidRPr="00DF0A73">
        <w:rPr>
          <w:rFonts w:eastAsia="Calibri"/>
          <w:lang w:val="sk-SK" w:eastAsia="en-US"/>
        </w:rPr>
        <w:t xml:space="preserve">, t. j. nie tie časti daňových strát, na ktorých odpočítanie daňovníkovi zanikol nárok z dôvodu vykázania nedostatočnej výšky základu dane (čiastkového základu dane) z príjmov podľa § 6 ods. 1 a 2 </w:t>
      </w:r>
      <w:r w:rsidR="00EA34F5">
        <w:rPr>
          <w:rFonts w:eastAsia="Calibri"/>
          <w:lang w:val="sk-SK" w:eastAsia="en-US"/>
        </w:rPr>
        <w:t>zákona</w:t>
      </w:r>
      <w:r w:rsidRPr="00DF0A73">
        <w:rPr>
          <w:rFonts w:eastAsia="Calibri"/>
          <w:lang w:val="sk-SK" w:eastAsia="en-US"/>
        </w:rPr>
        <w:t xml:space="preserve"> v predchádzajúcich zdaňovacích obdobiach, resp. z dôvodu vykázania daňovej straty v predchádzajúcich zdaňovacích obdobiach.</w:t>
      </w:r>
    </w:p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  <w:r w:rsidRPr="00DF0A73">
        <w:rPr>
          <w:rFonts w:eastAsia="Calibri"/>
          <w:lang w:val="sk-SK" w:eastAsia="en-US"/>
        </w:rPr>
        <w:t xml:space="preserve">Bližšie </w:t>
      </w:r>
      <w:r w:rsidR="005F350D" w:rsidRPr="00B427DB">
        <w:rPr>
          <w:rFonts w:eastAsia="Calibri"/>
          <w:lang w:val="sk-SK" w:eastAsia="en-US"/>
        </w:rPr>
        <w:t xml:space="preserve">je </w:t>
      </w:r>
      <w:r w:rsidRPr="00DF0A73">
        <w:rPr>
          <w:rFonts w:eastAsia="Calibri"/>
          <w:lang w:val="sk-SK" w:eastAsia="en-US"/>
        </w:rPr>
        <w:t>uv</w:t>
      </w:r>
      <w:r w:rsidR="005F350D" w:rsidRPr="00B427DB">
        <w:rPr>
          <w:rFonts w:eastAsia="Calibri"/>
          <w:lang w:val="sk-SK" w:eastAsia="en-US"/>
        </w:rPr>
        <w:t>edené v informácii F</w:t>
      </w:r>
      <w:r w:rsidRPr="00DF0A73">
        <w:rPr>
          <w:rFonts w:eastAsia="Calibri"/>
          <w:lang w:val="sk-SK" w:eastAsia="en-US"/>
        </w:rPr>
        <w:t>inančného riaditeľstva</w:t>
      </w:r>
      <w:r w:rsidR="005F350D" w:rsidRPr="00B427DB">
        <w:rPr>
          <w:rFonts w:eastAsia="Calibri"/>
          <w:lang w:val="sk-SK" w:eastAsia="en-US"/>
        </w:rPr>
        <w:t xml:space="preserve"> SR</w:t>
      </w:r>
      <w:r w:rsidRPr="00DF0A73">
        <w:rPr>
          <w:rFonts w:eastAsia="Calibri"/>
          <w:lang w:val="sk-SK" w:eastAsia="en-US"/>
        </w:rPr>
        <w:t xml:space="preserve"> </w:t>
      </w:r>
      <w:r w:rsidR="00EA34F5">
        <w:t xml:space="preserve">k zákonu č. </w:t>
      </w:r>
      <w:r w:rsidR="003E51C1" w:rsidRPr="00EA34F5">
        <w:rPr>
          <w:rFonts w:eastAsia="Calibri"/>
          <w:lang w:val="sk-SK" w:eastAsia="en-US"/>
        </w:rPr>
        <w:t>67/2020 Z.</w:t>
      </w:r>
      <w:r w:rsidR="00EA34F5">
        <w:rPr>
          <w:rFonts w:eastAsia="Calibri"/>
          <w:lang w:val="sk-SK" w:eastAsia="en-US"/>
        </w:rPr>
        <w:t xml:space="preserve"> z.</w:t>
      </w:r>
      <w:r w:rsidR="00EA34F5" w:rsidRPr="00EA34F5">
        <w:rPr>
          <w:rFonts w:eastAsia="Calibri"/>
          <w:lang w:val="sk-SK" w:eastAsia="en-US"/>
        </w:rPr>
        <w:t xml:space="preserve"> v znení </w:t>
      </w:r>
      <w:r w:rsidR="003E51C1" w:rsidRPr="00EA34F5">
        <w:rPr>
          <w:rFonts w:eastAsia="Calibri"/>
          <w:lang w:val="sk-SK" w:eastAsia="en-US"/>
        </w:rPr>
        <w:t>neskorších predpisov</w:t>
      </w:r>
      <w:r w:rsidR="00095307" w:rsidRPr="00EA34F5">
        <w:rPr>
          <w:rFonts w:eastAsia="Calibri"/>
          <w:lang w:val="sk-SK" w:eastAsia="en-US"/>
        </w:rPr>
        <w:t xml:space="preserve">, </w:t>
      </w:r>
      <w:r w:rsidRPr="00DF0A73">
        <w:rPr>
          <w:rFonts w:eastAsia="Calibri"/>
          <w:lang w:val="sk-SK" w:eastAsia="en-US"/>
        </w:rPr>
        <w:t>ktorá je uverejnená na jeho webovom sídle.</w:t>
      </w:r>
    </w:p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</w:p>
    <w:p w:rsidR="00DF0A73" w:rsidRPr="003E51C1" w:rsidRDefault="00DF0A73" w:rsidP="00DF0A73">
      <w:pPr>
        <w:jc w:val="both"/>
        <w:rPr>
          <w:rFonts w:eastAsia="Calibri"/>
          <w:b/>
          <w:color w:val="FF0000"/>
          <w:lang w:val="sk-SK" w:eastAsia="en-US"/>
        </w:rPr>
      </w:pPr>
      <w:r w:rsidRPr="00DF0A73">
        <w:rPr>
          <w:rFonts w:eastAsia="Calibri"/>
          <w:lang w:val="sk-SK" w:eastAsia="en-US"/>
        </w:rPr>
        <w:t xml:space="preserve">V prípade, ak si daňovník odpočíta daňovú stratu podľa § 24b </w:t>
      </w:r>
      <w:r w:rsidR="003E51C1" w:rsidRPr="00EA34F5">
        <w:rPr>
          <w:lang w:val="sk-SK" w:eastAsia="sk-SK"/>
        </w:rPr>
        <w:t>zákona č. 67/2020 Z. z. v znení</w:t>
      </w:r>
      <w:r w:rsidR="003E51C1" w:rsidRPr="00EA34F5">
        <w:rPr>
          <w:b/>
          <w:lang w:val="sk-SK" w:eastAsia="sk-SK"/>
        </w:rPr>
        <w:t xml:space="preserve"> </w:t>
      </w:r>
      <w:r w:rsidRPr="00DF0A73">
        <w:rPr>
          <w:rFonts w:eastAsia="Calibri"/>
          <w:lang w:val="sk-SK" w:eastAsia="en-US"/>
        </w:rPr>
        <w:t>zákona č. 96/2020 Z.</w:t>
      </w:r>
      <w:r w:rsidRPr="00B427DB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 xml:space="preserve">z. nevypĺňa </w:t>
      </w:r>
      <w:r w:rsidRPr="00DF0A73">
        <w:rPr>
          <w:rFonts w:eastAsia="Calibri"/>
          <w:b/>
          <w:lang w:val="sk-SK" w:eastAsia="en-US"/>
        </w:rPr>
        <w:t>riadky 49 až 54</w:t>
      </w:r>
      <w:r w:rsidRPr="00B427DB">
        <w:rPr>
          <w:rFonts w:eastAsia="Calibri"/>
          <w:b/>
          <w:lang w:val="sk-SK" w:eastAsia="en-US"/>
        </w:rPr>
        <w:t>,</w:t>
      </w:r>
      <w:r w:rsidRPr="00DF0A73">
        <w:rPr>
          <w:rFonts w:eastAsia="Calibri"/>
          <w:lang w:val="sk-SK" w:eastAsia="en-US"/>
        </w:rPr>
        <w:t xml:space="preserve"> ale odpočíta túto </w:t>
      </w:r>
      <w:r w:rsidR="003E51C1" w:rsidRPr="00EA34F5">
        <w:rPr>
          <w:rFonts w:eastAsia="Calibri"/>
          <w:lang w:val="sk-SK" w:eastAsia="en-US"/>
        </w:rPr>
        <w:t>daňovú</w:t>
      </w:r>
      <w:r w:rsidR="003E51C1">
        <w:rPr>
          <w:rFonts w:eastAsia="Calibri"/>
          <w:b/>
          <w:color w:val="FF0000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>stratu priamo na</w:t>
      </w:r>
      <w:r w:rsidR="00E675C6">
        <w:rPr>
          <w:rFonts w:eastAsia="Calibri"/>
          <w:lang w:val="sk-SK" w:eastAsia="en-US"/>
        </w:rPr>
        <w:t xml:space="preserve">       </w:t>
      </w:r>
      <w:r w:rsidRPr="00DF0A73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b/>
          <w:lang w:val="sk-SK" w:eastAsia="en-US"/>
        </w:rPr>
        <w:t>r. 55</w:t>
      </w:r>
      <w:r w:rsidRPr="00DF0A73">
        <w:rPr>
          <w:rFonts w:eastAsia="Calibri"/>
          <w:lang w:val="sk-SK" w:eastAsia="en-US"/>
        </w:rPr>
        <w:t xml:space="preserve">, kde sa uvedie rozdiel medzi čiastkovým základom dane z príjmov podľa § 6 ods. 1 a 2 </w:t>
      </w:r>
      <w:r w:rsidRPr="00EA34F5">
        <w:rPr>
          <w:rFonts w:eastAsia="Calibri"/>
          <w:lang w:val="sk-SK" w:eastAsia="en-US"/>
        </w:rPr>
        <w:t>zákona</w:t>
      </w:r>
      <w:r w:rsidRPr="00DF0A73">
        <w:rPr>
          <w:rFonts w:eastAsia="Calibri"/>
          <w:lang w:val="sk-SK" w:eastAsia="en-US"/>
        </w:rPr>
        <w:t xml:space="preserve"> a uplatnenou daňovou stratou podľa § 24b </w:t>
      </w:r>
      <w:r w:rsidR="003E51C1" w:rsidRPr="00EA34F5">
        <w:rPr>
          <w:lang w:val="sk-SK" w:eastAsia="sk-SK"/>
        </w:rPr>
        <w:t>zákona č. 67/2020 Z. z. v znení</w:t>
      </w:r>
      <w:r w:rsidR="003E51C1" w:rsidRPr="00EA34F5">
        <w:rPr>
          <w:b/>
          <w:lang w:val="sk-SK" w:eastAsia="sk-SK"/>
        </w:rPr>
        <w:t xml:space="preserve"> </w:t>
      </w:r>
      <w:r w:rsidRPr="00DF0A73">
        <w:rPr>
          <w:rFonts w:eastAsia="Calibri"/>
          <w:lang w:val="sk-SK" w:eastAsia="en-US"/>
        </w:rPr>
        <w:t xml:space="preserve">zákona </w:t>
      </w:r>
      <w:r w:rsidR="00EA34F5">
        <w:rPr>
          <w:rFonts w:eastAsia="Calibri"/>
          <w:lang w:val="sk-SK" w:eastAsia="en-US"/>
        </w:rPr>
        <w:t xml:space="preserve">                   </w:t>
      </w:r>
      <w:r w:rsidRPr="00DF0A73">
        <w:rPr>
          <w:rFonts w:eastAsia="Calibri"/>
          <w:lang w:val="sk-SK" w:eastAsia="en-US"/>
        </w:rPr>
        <w:t>č. 96/2020 Z.</w:t>
      </w:r>
      <w:r w:rsidRPr="00B427DB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 xml:space="preserve">z. Daňovú stratu podľa § 24b </w:t>
      </w:r>
      <w:r w:rsidR="003E51C1" w:rsidRPr="00EA34F5">
        <w:rPr>
          <w:lang w:val="sk-SK" w:eastAsia="sk-SK"/>
        </w:rPr>
        <w:t>zákona č. 67/2020 Z. z. v znení</w:t>
      </w:r>
      <w:r w:rsidR="003E51C1" w:rsidRPr="00EA34F5">
        <w:rPr>
          <w:b/>
          <w:lang w:val="sk-SK" w:eastAsia="sk-SK"/>
        </w:rPr>
        <w:t xml:space="preserve"> </w:t>
      </w:r>
      <w:r w:rsidRPr="00DF0A73">
        <w:rPr>
          <w:rFonts w:eastAsia="Calibri"/>
          <w:lang w:val="sk-SK" w:eastAsia="en-US"/>
        </w:rPr>
        <w:t>zákona č. 96/2020 Z.</w:t>
      </w:r>
      <w:r w:rsidRPr="00B427DB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 xml:space="preserve">z. možno odpočítať maximálne do výšky čiastkového základu dane z príjmov podľa § 6 ods. 1 a 2 </w:t>
      </w:r>
      <w:r w:rsidRPr="00EA34F5">
        <w:rPr>
          <w:rFonts w:eastAsia="Calibri"/>
          <w:lang w:val="sk-SK" w:eastAsia="en-US"/>
        </w:rPr>
        <w:t>zákona.</w:t>
      </w:r>
    </w:p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</w:p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  <w:r w:rsidRPr="00DF0A73">
        <w:rPr>
          <w:rFonts w:eastAsia="Calibri"/>
          <w:lang w:val="sk-SK" w:eastAsia="en-US"/>
        </w:rPr>
        <w:t xml:space="preserve">V prípade, ak si uplatní daňovú stratu podľa § 24b </w:t>
      </w:r>
      <w:r w:rsidR="003E51C1" w:rsidRPr="00EA34F5">
        <w:rPr>
          <w:lang w:val="sk-SK" w:eastAsia="sk-SK"/>
        </w:rPr>
        <w:t>zákona č. 67/2020 Z. z. v znení</w:t>
      </w:r>
      <w:r w:rsidR="003E51C1" w:rsidRPr="00EA34F5">
        <w:rPr>
          <w:b/>
          <w:lang w:val="sk-SK" w:eastAsia="sk-SK"/>
        </w:rPr>
        <w:t xml:space="preserve"> </w:t>
      </w:r>
      <w:r w:rsidRPr="00DF0A73">
        <w:rPr>
          <w:rFonts w:eastAsia="Calibri"/>
          <w:lang w:val="sk-SK" w:eastAsia="en-US"/>
        </w:rPr>
        <w:t xml:space="preserve">zákona </w:t>
      </w:r>
      <w:r w:rsidR="00EA34F5">
        <w:rPr>
          <w:rFonts w:eastAsia="Calibri"/>
          <w:lang w:val="sk-SK" w:eastAsia="en-US"/>
        </w:rPr>
        <w:t xml:space="preserve">                   </w:t>
      </w:r>
      <w:r w:rsidRPr="00DF0A73">
        <w:rPr>
          <w:rFonts w:eastAsia="Calibri"/>
          <w:lang w:val="sk-SK" w:eastAsia="en-US"/>
        </w:rPr>
        <w:t>č. 96/2020 Z.</w:t>
      </w:r>
      <w:r w:rsidRPr="00B427DB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>z. zároveň rozpíše uplatňovanú daňovú stratu v oddiele XIII. -  miesto pre osobitné záznamy</w:t>
      </w:r>
      <w:r w:rsidRPr="00B427DB">
        <w:rPr>
          <w:rFonts w:eastAsia="Calibri"/>
          <w:lang w:val="sk-SK" w:eastAsia="en-US"/>
        </w:rPr>
        <w:t>,</w:t>
      </w:r>
      <w:r w:rsidRPr="00DF0A73">
        <w:rPr>
          <w:rFonts w:eastAsia="Calibri"/>
          <w:lang w:val="sk-SK" w:eastAsia="en-US"/>
        </w:rPr>
        <w:t xml:space="preserve"> a to v členení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3"/>
        <w:gridCol w:w="2242"/>
        <w:gridCol w:w="2247"/>
        <w:gridCol w:w="2330"/>
      </w:tblGrid>
      <w:tr w:rsidR="00B427DB" w:rsidRPr="00DF0A73" w:rsidTr="007B56EC"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Rok vykázania daňovej straty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Suma vykázanej daňovej straty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 xml:space="preserve">Suma uplatnenej daňovej straty na </w:t>
            </w:r>
            <w:r w:rsidR="00E675C6">
              <w:rPr>
                <w:rFonts w:eastAsia="Calibri"/>
                <w:lang w:val="sk-SK" w:eastAsia="en-US"/>
              </w:rPr>
              <w:t xml:space="preserve">              </w:t>
            </w:r>
            <w:r w:rsidRPr="00DF0A73">
              <w:rPr>
                <w:rFonts w:eastAsia="Calibri"/>
                <w:lang w:val="sk-SK" w:eastAsia="en-US"/>
              </w:rPr>
              <w:t>r. 55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 xml:space="preserve">Zostatok neuplatnenej </w:t>
            </w:r>
            <w:r w:rsidR="00E675C6">
              <w:rPr>
                <w:rFonts w:eastAsia="Calibri"/>
                <w:lang w:val="sk-SK" w:eastAsia="en-US"/>
              </w:rPr>
              <w:t xml:space="preserve">daňovej </w:t>
            </w:r>
            <w:r w:rsidRPr="00DF0A73">
              <w:rPr>
                <w:rFonts w:eastAsia="Calibri"/>
                <w:lang w:val="sk-SK" w:eastAsia="en-US"/>
              </w:rPr>
              <w:t>straty pre jej douplatňovanie v budúcich zdaňovacích obdobiach</w:t>
            </w:r>
          </w:p>
        </w:tc>
      </w:tr>
      <w:tr w:rsidR="00B427DB" w:rsidRPr="00DF0A73" w:rsidTr="007B56EC"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2015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B427DB" w:rsidRPr="00DF0A73" w:rsidTr="007B56EC"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2016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B427DB" w:rsidRPr="00DF0A73" w:rsidTr="007B56EC"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2017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B427DB" w:rsidRPr="00DF0A73" w:rsidTr="007B56EC"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2018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B427DB" w:rsidRPr="00DF0A73" w:rsidTr="007B56EC">
        <w:trPr>
          <w:gridAfter w:val="1"/>
          <w:wAfter w:w="2462" w:type="dxa"/>
        </w:trPr>
        <w:tc>
          <w:tcPr>
            <w:tcW w:w="4924" w:type="dxa"/>
            <w:gridSpan w:val="2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Úhrn uplatnených daňových strát na r. 55 najviac vo výške 1 000 000 eur</w:t>
            </w:r>
            <w:r w:rsidRPr="00B427DB">
              <w:rPr>
                <w:rFonts w:eastAsia="Calibri"/>
                <w:lang w:val="sk-SK" w:eastAsia="en-US"/>
              </w:rPr>
              <w:t>,</w:t>
            </w:r>
            <w:r w:rsidRPr="00DF0A73">
              <w:rPr>
                <w:rFonts w:eastAsia="Calibri"/>
                <w:lang w:val="sk-SK" w:eastAsia="en-US"/>
              </w:rPr>
              <w:t xml:space="preserve"> ale max. vo výške čiastkového základu dane z príjmov podľa § 6 ods. 1 a 2 uvedenom na r. 47.</w:t>
            </w:r>
          </w:p>
        </w:tc>
        <w:tc>
          <w:tcPr>
            <w:tcW w:w="2462" w:type="dxa"/>
          </w:tcPr>
          <w:p w:rsidR="00DF0A73" w:rsidRPr="00DF0A73" w:rsidRDefault="00DF0A73" w:rsidP="00DF0A73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</w:tbl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</w:p>
    <w:p w:rsidR="00DF0A73" w:rsidRPr="00DF0A73" w:rsidRDefault="00DF0A73" w:rsidP="00DF0A73">
      <w:pPr>
        <w:jc w:val="both"/>
        <w:rPr>
          <w:rFonts w:eastAsia="Calibri"/>
          <w:lang w:val="sk-SK" w:eastAsia="en-US"/>
        </w:rPr>
      </w:pPr>
      <w:r w:rsidRPr="00DF0A73">
        <w:rPr>
          <w:rFonts w:eastAsia="Calibri"/>
          <w:lang w:val="sk-SK" w:eastAsia="en-US"/>
        </w:rPr>
        <w:t xml:space="preserve">Vzhľadom na skutočnosť, že daňovník sa môže rozhodnúť len pre jeden zo spôsobov odpočítania daňovej straty vykázanej v zdaňovacích obdobiach 2015 až 2018, buď bude mať vyplnené </w:t>
      </w:r>
      <w:r w:rsidRPr="00DF0A73">
        <w:rPr>
          <w:rFonts w:eastAsia="Calibri"/>
          <w:b/>
          <w:lang w:val="sk-SK" w:eastAsia="en-US"/>
        </w:rPr>
        <w:t>riadky 49 až 55</w:t>
      </w:r>
      <w:r w:rsidRPr="00DF0A73">
        <w:rPr>
          <w:rFonts w:eastAsia="Calibri"/>
          <w:lang w:val="sk-SK" w:eastAsia="en-US"/>
        </w:rPr>
        <w:t xml:space="preserve">, kde si uplatňuje </w:t>
      </w:r>
      <w:r w:rsidR="003E51C1" w:rsidRPr="00EA34F5">
        <w:rPr>
          <w:rFonts w:eastAsia="Calibri"/>
          <w:lang w:val="sk-SK" w:eastAsia="en-US"/>
        </w:rPr>
        <w:t xml:space="preserve">daňovú </w:t>
      </w:r>
      <w:r w:rsidRPr="00EA34F5">
        <w:rPr>
          <w:rFonts w:eastAsia="Calibri"/>
          <w:lang w:val="sk-SK" w:eastAsia="en-US"/>
        </w:rPr>
        <w:t>s</w:t>
      </w:r>
      <w:r w:rsidRPr="00DF0A73">
        <w:rPr>
          <w:rFonts w:eastAsia="Calibri"/>
          <w:lang w:val="sk-SK" w:eastAsia="en-US"/>
        </w:rPr>
        <w:t xml:space="preserve">tratu podľa § 30 </w:t>
      </w:r>
      <w:r w:rsidRPr="00EA34F5">
        <w:rPr>
          <w:rFonts w:eastAsia="Calibri"/>
          <w:lang w:val="sk-SK" w:eastAsia="en-US"/>
        </w:rPr>
        <w:t xml:space="preserve">zákona </w:t>
      </w:r>
      <w:r w:rsidRPr="00DF0A73">
        <w:rPr>
          <w:rFonts w:eastAsia="Calibri"/>
          <w:lang w:val="sk-SK" w:eastAsia="en-US"/>
        </w:rPr>
        <w:t xml:space="preserve">alebo </w:t>
      </w:r>
      <w:r w:rsidRPr="00DF0A73">
        <w:rPr>
          <w:rFonts w:eastAsia="Calibri"/>
          <w:b/>
          <w:lang w:val="sk-SK" w:eastAsia="en-US"/>
        </w:rPr>
        <w:t>riadky 49 až 54</w:t>
      </w:r>
      <w:r w:rsidRPr="00DF0A73">
        <w:rPr>
          <w:rFonts w:eastAsia="Calibri"/>
          <w:lang w:val="sk-SK" w:eastAsia="en-US"/>
        </w:rPr>
        <w:t xml:space="preserve"> b</w:t>
      </w:r>
      <w:r w:rsidR="00E675C6">
        <w:rPr>
          <w:rFonts w:eastAsia="Calibri"/>
          <w:lang w:val="sk-SK" w:eastAsia="en-US"/>
        </w:rPr>
        <w:t>udú prázdne a bude vyplnený len</w:t>
      </w:r>
      <w:r w:rsidRPr="00DF0A73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b/>
          <w:lang w:val="sk-SK" w:eastAsia="en-US"/>
        </w:rPr>
        <w:t>r. 55</w:t>
      </w:r>
      <w:r w:rsidRPr="00DF0A73">
        <w:rPr>
          <w:rFonts w:eastAsia="Calibri"/>
          <w:lang w:val="sk-SK" w:eastAsia="en-US"/>
        </w:rPr>
        <w:t xml:space="preserve">, kde bude výsledná suma čiastkového základu dane z príjmov podľa § 6 ods. 1 a 2 </w:t>
      </w:r>
      <w:r w:rsidR="00EA34F5" w:rsidRPr="00EA34F5">
        <w:rPr>
          <w:rFonts w:eastAsia="Calibri"/>
          <w:lang w:val="sk-SK" w:eastAsia="en-US"/>
        </w:rPr>
        <w:t>zákona</w:t>
      </w:r>
      <w:r w:rsidR="003E51C1" w:rsidRPr="00EA34F5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 xml:space="preserve">znížená o úhrn </w:t>
      </w:r>
      <w:r w:rsidR="00E675C6">
        <w:rPr>
          <w:rFonts w:eastAsia="Calibri"/>
          <w:lang w:val="sk-SK" w:eastAsia="en-US"/>
        </w:rPr>
        <w:t xml:space="preserve">daňových </w:t>
      </w:r>
      <w:r w:rsidRPr="00DF0A73">
        <w:rPr>
          <w:rFonts w:eastAsia="Calibri"/>
          <w:lang w:val="sk-SK" w:eastAsia="en-US"/>
        </w:rPr>
        <w:t xml:space="preserve">strát uplatnených v nadväznosti na § 24b </w:t>
      </w:r>
      <w:r w:rsidR="003E51C1" w:rsidRPr="00EA34F5">
        <w:rPr>
          <w:lang w:val="sk-SK" w:eastAsia="sk-SK"/>
        </w:rPr>
        <w:t>zákona č. 67/2020 Z. z. v znení</w:t>
      </w:r>
      <w:r w:rsidR="003E51C1" w:rsidRPr="00EA34F5">
        <w:rPr>
          <w:b/>
          <w:lang w:val="sk-SK" w:eastAsia="sk-SK"/>
        </w:rPr>
        <w:t xml:space="preserve"> </w:t>
      </w:r>
      <w:r w:rsidRPr="00DF0A73">
        <w:rPr>
          <w:rFonts w:eastAsia="Calibri"/>
          <w:lang w:val="sk-SK" w:eastAsia="en-US"/>
        </w:rPr>
        <w:t>zákona č. 96/2020 Z.</w:t>
      </w:r>
      <w:r w:rsidRPr="00B427DB">
        <w:rPr>
          <w:rFonts w:eastAsia="Calibri"/>
          <w:lang w:val="sk-SK" w:eastAsia="en-US"/>
        </w:rPr>
        <w:t xml:space="preserve"> </w:t>
      </w:r>
      <w:r w:rsidRPr="00DF0A73">
        <w:rPr>
          <w:rFonts w:eastAsia="Calibri"/>
          <w:lang w:val="sk-SK" w:eastAsia="en-US"/>
        </w:rPr>
        <w:t>z.</w:t>
      </w:r>
      <w:r w:rsidR="00057F3A" w:rsidRPr="00B427DB">
        <w:rPr>
          <w:rFonts w:eastAsia="Calibri"/>
          <w:lang w:val="sk-SK" w:eastAsia="en-US"/>
        </w:rPr>
        <w:t>“.</w:t>
      </w:r>
    </w:p>
    <w:p w:rsidR="00DF0A73" w:rsidRPr="00DF0A73" w:rsidRDefault="00DF0A73" w:rsidP="00DF0A73">
      <w:pPr>
        <w:jc w:val="both"/>
        <w:rPr>
          <w:rFonts w:eastAsia="Calibri"/>
          <w:color w:val="FF0000"/>
          <w:lang w:val="sk-SK" w:eastAsia="en-US"/>
        </w:rPr>
      </w:pPr>
    </w:p>
    <w:p w:rsidR="00DF0A73" w:rsidRPr="00DF0A73" w:rsidRDefault="00DF0A73" w:rsidP="00DF0A73">
      <w:pPr>
        <w:jc w:val="both"/>
        <w:rPr>
          <w:rFonts w:eastAsia="Calibri"/>
          <w:color w:val="FF0000"/>
          <w:lang w:val="sk-SK" w:eastAsia="en-US"/>
        </w:rPr>
      </w:pPr>
    </w:p>
    <w:p w:rsidR="001228AD" w:rsidRPr="00556D50" w:rsidRDefault="00405B1F" w:rsidP="00DD3EAB">
      <w:pPr>
        <w:pStyle w:val="Zkladntext1"/>
        <w:jc w:val="both"/>
        <w:rPr>
          <w:szCs w:val="24"/>
        </w:rPr>
      </w:pPr>
      <w:r w:rsidRPr="00405B1F">
        <w:rPr>
          <w:b/>
          <w:szCs w:val="24"/>
        </w:rPr>
        <w:t>Poučenie k daňovému priznaniu</w:t>
      </w:r>
      <w:r w:rsidR="001228AD" w:rsidRPr="00405B1F">
        <w:rPr>
          <w:b/>
          <w:szCs w:val="24"/>
        </w:rPr>
        <w:t xml:space="preserve"> k dani z príjmov právnickej osoby (MF/</w:t>
      </w:r>
      <w:r w:rsidR="00E675C6">
        <w:rPr>
          <w:b/>
          <w:szCs w:val="24"/>
        </w:rPr>
        <w:t>0</w:t>
      </w:r>
      <w:r w:rsidR="001228AD" w:rsidRPr="00405B1F">
        <w:rPr>
          <w:b/>
          <w:szCs w:val="24"/>
        </w:rPr>
        <w:t>14001/2019-721)</w:t>
      </w:r>
      <w:r w:rsidR="00556D50">
        <w:rPr>
          <w:szCs w:val="24"/>
        </w:rPr>
        <w:t xml:space="preserve"> </w:t>
      </w:r>
      <w:r w:rsidR="00556D50" w:rsidRPr="00556D50">
        <w:rPr>
          <w:b/>
          <w:szCs w:val="24"/>
        </w:rPr>
        <w:t>sa v</w:t>
      </w:r>
      <w:r w:rsidR="00556D50">
        <w:rPr>
          <w:b/>
          <w:szCs w:val="24"/>
        </w:rPr>
        <w:t xml:space="preserve"> III. </w:t>
      </w:r>
      <w:r w:rsidR="00556D50" w:rsidRPr="00556D50">
        <w:rPr>
          <w:b/>
          <w:szCs w:val="24"/>
        </w:rPr>
        <w:t>časti</w:t>
      </w:r>
      <w:r w:rsidR="00556D50">
        <w:rPr>
          <w:b/>
          <w:szCs w:val="24"/>
        </w:rPr>
        <w:t xml:space="preserve"> k Tabuľke D dopĺňa nasledovne:</w:t>
      </w:r>
    </w:p>
    <w:p w:rsidR="001228AD" w:rsidRDefault="001228AD" w:rsidP="00DD3EAB">
      <w:pPr>
        <w:pStyle w:val="Zkladntext1"/>
        <w:jc w:val="both"/>
        <w:rPr>
          <w:szCs w:val="24"/>
        </w:rPr>
      </w:pPr>
    </w:p>
    <w:p w:rsidR="001228AD" w:rsidRPr="00EA34F5" w:rsidRDefault="00556D50" w:rsidP="00DD3EAB">
      <w:pPr>
        <w:pStyle w:val="Zkladntext1"/>
        <w:jc w:val="both"/>
        <w:rPr>
          <w:b/>
          <w:color w:val="auto"/>
          <w:szCs w:val="24"/>
        </w:rPr>
      </w:pPr>
      <w:r w:rsidRPr="00057F3A">
        <w:rPr>
          <w:b/>
          <w:color w:val="auto"/>
          <w:szCs w:val="24"/>
        </w:rPr>
        <w:t xml:space="preserve"> </w:t>
      </w:r>
      <w:r w:rsidR="001228AD" w:rsidRPr="00057F3A">
        <w:rPr>
          <w:b/>
          <w:color w:val="auto"/>
          <w:szCs w:val="24"/>
        </w:rPr>
        <w:t>„</w:t>
      </w:r>
      <w:r w:rsidR="00004217">
        <w:rPr>
          <w:b/>
          <w:color w:val="auto"/>
          <w:szCs w:val="24"/>
        </w:rPr>
        <w:t>Podľa</w:t>
      </w:r>
      <w:r w:rsidR="001228AD" w:rsidRPr="00057F3A">
        <w:rPr>
          <w:b/>
          <w:color w:val="auto"/>
          <w:szCs w:val="24"/>
        </w:rPr>
        <w:t xml:space="preserve"> zákona č. 67/2020 Z. z. o niektorých mimoriadnych opatreniach vo finančnej oblasti  v súvislosti so šírením nebezpečnej nákazlivej ľudskej choroby COVID-19 v znení zákona č. 75/2020 Z. z. a zákona č. 96/2020 Z. z. môže daňovník využiť osobitný postup odpočí</w:t>
      </w:r>
      <w:r w:rsidR="00DF2CF5" w:rsidRPr="00057F3A">
        <w:rPr>
          <w:b/>
          <w:color w:val="auto"/>
          <w:szCs w:val="24"/>
        </w:rPr>
        <w:t>tania daňových strát podľa § 24b</w:t>
      </w:r>
      <w:r w:rsidR="001228AD" w:rsidRPr="00057F3A">
        <w:rPr>
          <w:b/>
          <w:color w:val="auto"/>
          <w:szCs w:val="24"/>
        </w:rPr>
        <w:t xml:space="preserve"> zákona</w:t>
      </w:r>
      <w:r w:rsidR="00004217">
        <w:rPr>
          <w:b/>
          <w:color w:val="auto"/>
          <w:szCs w:val="24"/>
        </w:rPr>
        <w:t xml:space="preserve"> </w:t>
      </w:r>
      <w:r w:rsidR="001228AD" w:rsidRPr="00057F3A">
        <w:rPr>
          <w:b/>
          <w:color w:val="auto"/>
          <w:szCs w:val="24"/>
        </w:rPr>
        <w:t>č. 67/2020 Z. z</w:t>
      </w:r>
      <w:r w:rsidR="00DF2CF5" w:rsidRPr="00057F3A">
        <w:rPr>
          <w:b/>
          <w:color w:val="auto"/>
          <w:szCs w:val="24"/>
        </w:rPr>
        <w:t>.</w:t>
      </w:r>
      <w:r w:rsidRPr="00057F3A">
        <w:rPr>
          <w:b/>
          <w:color w:val="auto"/>
          <w:szCs w:val="24"/>
        </w:rPr>
        <w:t xml:space="preserve"> </w:t>
      </w:r>
      <w:r w:rsidR="003E51C1" w:rsidRPr="00EA34F5">
        <w:rPr>
          <w:b/>
          <w:color w:val="auto"/>
        </w:rPr>
        <w:t xml:space="preserve">v znení </w:t>
      </w:r>
      <w:r w:rsidR="003E51C1" w:rsidRPr="00EA34F5">
        <w:rPr>
          <w:rFonts w:eastAsia="Calibri"/>
          <w:b/>
          <w:color w:val="auto"/>
          <w:lang w:eastAsia="en-US"/>
        </w:rPr>
        <w:t>zákona č. 96/2020 Z. z.</w:t>
      </w:r>
    </w:p>
    <w:p w:rsidR="00DF2CF5" w:rsidRPr="00057F3A" w:rsidRDefault="00DF2CF5" w:rsidP="00DD3EAB">
      <w:pPr>
        <w:pStyle w:val="Zkladntext1"/>
        <w:jc w:val="both"/>
        <w:rPr>
          <w:b/>
          <w:color w:val="auto"/>
          <w:szCs w:val="24"/>
        </w:rPr>
      </w:pPr>
    </w:p>
    <w:p w:rsidR="005679A9" w:rsidRPr="00EA34F5" w:rsidRDefault="00DA13F1" w:rsidP="001228AD">
      <w:pPr>
        <w:pStyle w:val="Zkladntext1"/>
        <w:jc w:val="both"/>
        <w:rPr>
          <w:color w:val="auto"/>
          <w:szCs w:val="24"/>
        </w:rPr>
      </w:pPr>
      <w:r w:rsidRPr="00057F3A">
        <w:rPr>
          <w:color w:val="auto"/>
          <w:szCs w:val="24"/>
        </w:rPr>
        <w:t xml:space="preserve">Podľa§ 24b zákona č. 67/2020 Z. z. </w:t>
      </w:r>
      <w:r w:rsidR="003E51C1" w:rsidRPr="00EA34F5">
        <w:rPr>
          <w:color w:val="auto"/>
        </w:rPr>
        <w:t xml:space="preserve">v znení </w:t>
      </w:r>
      <w:r w:rsidR="003E51C1" w:rsidRPr="00EA34F5">
        <w:rPr>
          <w:rFonts w:eastAsia="Calibri"/>
          <w:color w:val="auto"/>
          <w:lang w:eastAsia="en-US"/>
        </w:rPr>
        <w:t>zákona č. 96/2020 Z. z.</w:t>
      </w:r>
      <w:r w:rsidR="003E51C1" w:rsidRPr="00EA34F5">
        <w:rPr>
          <w:rFonts w:eastAsia="Calibri"/>
          <w:b/>
          <w:color w:val="auto"/>
          <w:lang w:eastAsia="en-US"/>
        </w:rPr>
        <w:t xml:space="preserve"> </w:t>
      </w:r>
      <w:r w:rsidRPr="00057F3A">
        <w:rPr>
          <w:color w:val="auto"/>
          <w:szCs w:val="24"/>
        </w:rPr>
        <w:t>môže daňovník n</w:t>
      </w:r>
      <w:r w:rsidR="003A60B5" w:rsidRPr="00057F3A">
        <w:rPr>
          <w:color w:val="auto"/>
          <w:szCs w:val="24"/>
        </w:rPr>
        <w:t xml:space="preserve">euplatnené daňové straty </w:t>
      </w:r>
      <w:r w:rsidRPr="00057F3A">
        <w:rPr>
          <w:color w:val="auto"/>
          <w:szCs w:val="24"/>
        </w:rPr>
        <w:t xml:space="preserve">za zdaňovacie obdobia </w:t>
      </w:r>
      <w:r w:rsidRPr="00057F3A">
        <w:rPr>
          <w:b/>
          <w:color w:val="auto"/>
          <w:szCs w:val="24"/>
        </w:rPr>
        <w:t>ukončené v rokoch 2015 až 2018</w:t>
      </w:r>
      <w:r w:rsidRPr="00057F3A">
        <w:rPr>
          <w:color w:val="auto"/>
          <w:szCs w:val="24"/>
        </w:rPr>
        <w:t xml:space="preserve"> odpočítať od základu dane </w:t>
      </w:r>
      <w:r w:rsidRPr="00057F3A">
        <w:rPr>
          <w:b/>
          <w:color w:val="auto"/>
          <w:szCs w:val="24"/>
        </w:rPr>
        <w:t>najviac v úhrnnej hodnote 1 000 000 eur</w:t>
      </w:r>
      <w:r w:rsidRPr="00057F3A">
        <w:rPr>
          <w:color w:val="auto"/>
          <w:szCs w:val="24"/>
        </w:rPr>
        <w:t>. Daňovník odpočítava iba tú</w:t>
      </w:r>
      <w:r w:rsidR="003D39F0">
        <w:rPr>
          <w:color w:val="auto"/>
          <w:szCs w:val="24"/>
        </w:rPr>
        <w:t xml:space="preserve"> časť neuplatnenej daňovej strat</w:t>
      </w:r>
      <w:r w:rsidRPr="00057F3A">
        <w:rPr>
          <w:color w:val="auto"/>
          <w:szCs w:val="24"/>
        </w:rPr>
        <w:t>y na ktorú má nárok, t.</w:t>
      </w:r>
      <w:r w:rsidR="005679A9" w:rsidRPr="00057F3A">
        <w:rPr>
          <w:color w:val="auto"/>
          <w:szCs w:val="24"/>
        </w:rPr>
        <w:t xml:space="preserve"> </w:t>
      </w:r>
      <w:r w:rsidRPr="00057F3A">
        <w:rPr>
          <w:color w:val="auto"/>
          <w:szCs w:val="24"/>
        </w:rPr>
        <w:t>j. neodpočítava daňovú stratu na ktorej odpočítanie zanikol nárok v predchádzajúcich zdaňovacích obdobiach, napr. z dôvodu nevykázania dostatočného základu dane</w:t>
      </w:r>
      <w:r w:rsidR="005679A9" w:rsidRPr="00057F3A">
        <w:rPr>
          <w:color w:val="auto"/>
          <w:szCs w:val="24"/>
        </w:rPr>
        <w:t xml:space="preserve"> alebo z dôvodu vykázania daňovej straty</w:t>
      </w:r>
      <w:r w:rsidRPr="00057F3A">
        <w:rPr>
          <w:color w:val="auto"/>
          <w:szCs w:val="24"/>
        </w:rPr>
        <w:t>.</w:t>
      </w:r>
      <w:r w:rsidR="00C23310" w:rsidRPr="00057F3A">
        <w:rPr>
          <w:color w:val="auto"/>
          <w:szCs w:val="24"/>
        </w:rPr>
        <w:t xml:space="preserve"> Neuplatnená daňová strata sa</w:t>
      </w:r>
      <w:r w:rsidRPr="00057F3A">
        <w:rPr>
          <w:color w:val="auto"/>
          <w:szCs w:val="24"/>
        </w:rPr>
        <w:t xml:space="preserve"> </w:t>
      </w:r>
      <w:r w:rsidRPr="00057F3A">
        <w:rPr>
          <w:color w:val="auto"/>
          <w:szCs w:val="24"/>
        </w:rPr>
        <w:lastRenderedPageBreak/>
        <w:t>odpočítava od najstaršej vykázanej daňovej straty po najnovšiu.</w:t>
      </w:r>
      <w:r w:rsidR="005F350D" w:rsidRPr="005F350D">
        <w:t xml:space="preserve"> </w:t>
      </w:r>
      <w:r w:rsidR="005F350D" w:rsidRPr="005F350D">
        <w:rPr>
          <w:color w:val="auto"/>
          <w:szCs w:val="24"/>
        </w:rPr>
        <w:t>B</w:t>
      </w:r>
      <w:r w:rsidR="005F350D">
        <w:rPr>
          <w:color w:val="auto"/>
          <w:szCs w:val="24"/>
        </w:rPr>
        <w:t>ližšie je uvedené v informácii F</w:t>
      </w:r>
      <w:r w:rsidR="005F350D" w:rsidRPr="005F350D">
        <w:rPr>
          <w:color w:val="auto"/>
          <w:szCs w:val="24"/>
        </w:rPr>
        <w:t>inančného riaditeľstva</w:t>
      </w:r>
      <w:r w:rsidR="005F350D">
        <w:rPr>
          <w:color w:val="auto"/>
          <w:szCs w:val="24"/>
        </w:rPr>
        <w:t xml:space="preserve"> SR</w:t>
      </w:r>
      <w:r w:rsidR="005F350D" w:rsidRPr="005F350D">
        <w:rPr>
          <w:color w:val="auto"/>
          <w:szCs w:val="24"/>
        </w:rPr>
        <w:t xml:space="preserve"> k</w:t>
      </w:r>
      <w:r w:rsidR="005F350D">
        <w:rPr>
          <w:color w:val="auto"/>
          <w:szCs w:val="24"/>
        </w:rPr>
        <w:t> </w:t>
      </w:r>
      <w:r w:rsidR="005F350D" w:rsidRPr="005F350D">
        <w:rPr>
          <w:color w:val="auto"/>
          <w:szCs w:val="24"/>
        </w:rPr>
        <w:t>zákonu</w:t>
      </w:r>
      <w:r w:rsidR="005F350D">
        <w:rPr>
          <w:color w:val="auto"/>
          <w:szCs w:val="24"/>
        </w:rPr>
        <w:t xml:space="preserve"> č. 67/2020 Z. z.</w:t>
      </w:r>
      <w:r w:rsidR="003E51C1">
        <w:rPr>
          <w:color w:val="auto"/>
          <w:szCs w:val="24"/>
        </w:rPr>
        <w:t xml:space="preserve"> </w:t>
      </w:r>
      <w:r w:rsidR="003E51C1" w:rsidRPr="00EA34F5">
        <w:rPr>
          <w:color w:val="auto"/>
          <w:szCs w:val="24"/>
        </w:rPr>
        <w:t>v znení neskorších predpisov</w:t>
      </w:r>
      <w:r w:rsidR="005F350D" w:rsidRPr="00EA34F5">
        <w:rPr>
          <w:color w:val="auto"/>
          <w:szCs w:val="24"/>
        </w:rPr>
        <w:t>, ktorá je uverejnená na jeho webovom sídle.</w:t>
      </w:r>
    </w:p>
    <w:p w:rsidR="00DF2CF5" w:rsidRPr="00057F3A" w:rsidRDefault="00DF2CF5" w:rsidP="001228AD">
      <w:pPr>
        <w:pStyle w:val="Zkladntext1"/>
        <w:jc w:val="both"/>
        <w:rPr>
          <w:b/>
          <w:color w:val="auto"/>
          <w:szCs w:val="24"/>
        </w:rPr>
      </w:pPr>
    </w:p>
    <w:p w:rsidR="003A60B5" w:rsidRPr="00057F3A" w:rsidRDefault="00DA13F1" w:rsidP="001228AD">
      <w:pPr>
        <w:pStyle w:val="Zkladntext1"/>
        <w:jc w:val="both"/>
        <w:rPr>
          <w:b/>
          <w:color w:val="auto"/>
          <w:szCs w:val="24"/>
        </w:rPr>
      </w:pPr>
      <w:r w:rsidRPr="00057F3A">
        <w:rPr>
          <w:color w:val="auto"/>
          <w:szCs w:val="24"/>
        </w:rPr>
        <w:t xml:space="preserve">U daňovníka, ktorého zdaňovacím obdobím je </w:t>
      </w:r>
      <w:r w:rsidRPr="00057F3A">
        <w:rPr>
          <w:b/>
          <w:color w:val="auto"/>
          <w:szCs w:val="24"/>
        </w:rPr>
        <w:t>kalendárny rok</w:t>
      </w:r>
      <w:r w:rsidR="005679A9" w:rsidRPr="00057F3A">
        <w:rPr>
          <w:color w:val="auto"/>
          <w:szCs w:val="24"/>
        </w:rPr>
        <w:t>,</w:t>
      </w:r>
      <w:r w:rsidRPr="00057F3A">
        <w:rPr>
          <w:color w:val="auto"/>
          <w:szCs w:val="24"/>
        </w:rPr>
        <w:t xml:space="preserve"> je možné odpočítať neuplatnené daňové straty vykázané v zda</w:t>
      </w:r>
      <w:r w:rsidR="00DF2CF5" w:rsidRPr="00057F3A">
        <w:rPr>
          <w:color w:val="auto"/>
          <w:szCs w:val="24"/>
        </w:rPr>
        <w:t>ňovacích obdobiach 2015 až 2018, podľa § 24b zákona č.</w:t>
      </w:r>
      <w:r w:rsidR="00CD6DC0" w:rsidRPr="00057F3A">
        <w:rPr>
          <w:color w:val="auto"/>
          <w:szCs w:val="24"/>
        </w:rPr>
        <w:t xml:space="preserve"> 67/</w:t>
      </w:r>
      <w:r w:rsidR="00DF2CF5" w:rsidRPr="00057F3A">
        <w:rPr>
          <w:color w:val="auto"/>
          <w:szCs w:val="24"/>
        </w:rPr>
        <w:t>2020 Z. z.</w:t>
      </w:r>
      <w:r w:rsidR="00095307">
        <w:rPr>
          <w:color w:val="auto"/>
          <w:szCs w:val="24"/>
        </w:rPr>
        <w:t xml:space="preserve"> </w:t>
      </w:r>
      <w:r w:rsidR="00095307" w:rsidRPr="00EA34F5">
        <w:rPr>
          <w:color w:val="auto"/>
        </w:rPr>
        <w:t xml:space="preserve">v znení </w:t>
      </w:r>
      <w:r w:rsidR="00095307" w:rsidRPr="00EA34F5">
        <w:rPr>
          <w:rFonts w:eastAsia="Calibri"/>
          <w:color w:val="auto"/>
          <w:lang w:eastAsia="en-US"/>
        </w:rPr>
        <w:t>zákona č. 96/2020 Z. z.</w:t>
      </w:r>
      <w:r w:rsidR="00DF2CF5" w:rsidRPr="00EA34F5">
        <w:rPr>
          <w:color w:val="auto"/>
          <w:szCs w:val="24"/>
        </w:rPr>
        <w:t xml:space="preserve">, </w:t>
      </w:r>
      <w:r w:rsidR="00DF2CF5" w:rsidRPr="00057F3A">
        <w:rPr>
          <w:color w:val="auto"/>
          <w:szCs w:val="24"/>
        </w:rPr>
        <w:t>ak posledný deň lehoty na podanie</w:t>
      </w:r>
      <w:r w:rsidR="00DF2CF5" w:rsidRPr="00057F3A">
        <w:rPr>
          <w:color w:val="auto"/>
        </w:rPr>
        <w:t xml:space="preserve"> </w:t>
      </w:r>
      <w:r w:rsidR="00DF2CF5" w:rsidRPr="00057F3A">
        <w:rPr>
          <w:b/>
          <w:color w:val="auto"/>
          <w:szCs w:val="24"/>
        </w:rPr>
        <w:t>priznania uplynie v období od 1. januára 2020 do 31. decembra 2020.</w:t>
      </w:r>
    </w:p>
    <w:p w:rsidR="00C23310" w:rsidRPr="00057F3A" w:rsidRDefault="005679A9" w:rsidP="001228AD">
      <w:pPr>
        <w:pStyle w:val="Zkladntext1"/>
        <w:jc w:val="both"/>
        <w:rPr>
          <w:b/>
          <w:color w:val="auto"/>
          <w:szCs w:val="24"/>
        </w:rPr>
      </w:pPr>
      <w:r w:rsidRPr="00057F3A">
        <w:rPr>
          <w:color w:val="auto"/>
          <w:szCs w:val="24"/>
        </w:rPr>
        <w:t xml:space="preserve">Odpočítanie </w:t>
      </w:r>
      <w:r w:rsidR="00C23310" w:rsidRPr="00057F3A">
        <w:rPr>
          <w:color w:val="auto"/>
          <w:szCs w:val="24"/>
        </w:rPr>
        <w:t xml:space="preserve">daňovej straty podľa § 24b zákona č. 67/2020 Z. z. </w:t>
      </w:r>
      <w:r w:rsidR="00095307" w:rsidRPr="00EA34F5">
        <w:rPr>
          <w:color w:val="auto"/>
        </w:rPr>
        <w:t xml:space="preserve">v znení </w:t>
      </w:r>
      <w:r w:rsidR="00095307" w:rsidRPr="00EA34F5">
        <w:rPr>
          <w:rFonts w:eastAsia="Calibri"/>
          <w:color w:val="auto"/>
          <w:lang w:eastAsia="en-US"/>
        </w:rPr>
        <w:t xml:space="preserve">zákona č. 96/2020 Z. z. </w:t>
      </w:r>
      <w:r w:rsidR="00C23310" w:rsidRPr="00057F3A">
        <w:rPr>
          <w:color w:val="auto"/>
          <w:szCs w:val="24"/>
        </w:rPr>
        <w:t xml:space="preserve">sa môže uplatniť aj u daňovníka, ktorého zdaňovacím obdobím je </w:t>
      </w:r>
      <w:r w:rsidR="00C23310" w:rsidRPr="00057F3A">
        <w:rPr>
          <w:b/>
          <w:color w:val="auto"/>
          <w:szCs w:val="24"/>
        </w:rPr>
        <w:t>hospodársky rok k</w:t>
      </w:r>
      <w:r w:rsidRPr="00057F3A">
        <w:rPr>
          <w:b/>
          <w:color w:val="auto"/>
          <w:szCs w:val="24"/>
        </w:rPr>
        <w:t>ončiaci najskôr 31. októbra 2019</w:t>
      </w:r>
      <w:r w:rsidR="00C23310" w:rsidRPr="00057F3A">
        <w:rPr>
          <w:b/>
          <w:color w:val="auto"/>
          <w:szCs w:val="24"/>
        </w:rPr>
        <w:t>.</w:t>
      </w:r>
    </w:p>
    <w:p w:rsidR="00DF2CF5" w:rsidRPr="00057F3A" w:rsidRDefault="00DF2CF5" w:rsidP="001228AD">
      <w:pPr>
        <w:pStyle w:val="Zkladntext1"/>
        <w:jc w:val="both"/>
        <w:rPr>
          <w:color w:val="auto"/>
          <w:szCs w:val="24"/>
        </w:rPr>
      </w:pPr>
    </w:p>
    <w:p w:rsidR="00DF2CF5" w:rsidRPr="00057F3A" w:rsidRDefault="00DF2CF5" w:rsidP="00DF2CF5">
      <w:pPr>
        <w:pStyle w:val="Zkladntext1"/>
        <w:jc w:val="both"/>
        <w:rPr>
          <w:color w:val="auto"/>
          <w:szCs w:val="24"/>
        </w:rPr>
      </w:pPr>
      <w:r w:rsidRPr="00057F3A">
        <w:rPr>
          <w:color w:val="auto"/>
          <w:szCs w:val="24"/>
        </w:rPr>
        <w:t>Ak sa daňovník rozhodne odpočítať daňovú stratu podľa § 24b zákona č. 67/2020 Z. z</w:t>
      </w:r>
      <w:r w:rsidRPr="00EA34F5">
        <w:rPr>
          <w:color w:val="auto"/>
          <w:szCs w:val="24"/>
        </w:rPr>
        <w:t>.</w:t>
      </w:r>
      <w:r w:rsidR="00095307" w:rsidRPr="00EA34F5">
        <w:rPr>
          <w:color w:val="auto"/>
          <w:szCs w:val="24"/>
        </w:rPr>
        <w:t xml:space="preserve"> </w:t>
      </w:r>
      <w:r w:rsidR="00095307" w:rsidRPr="00EA34F5">
        <w:rPr>
          <w:color w:val="auto"/>
        </w:rPr>
        <w:t xml:space="preserve">v znení </w:t>
      </w:r>
      <w:r w:rsidR="00095307" w:rsidRPr="00EA34F5">
        <w:rPr>
          <w:rFonts w:eastAsia="Calibri"/>
          <w:color w:val="auto"/>
          <w:lang w:eastAsia="en-US"/>
        </w:rPr>
        <w:t>zákona č. 96/2020 Z. z.</w:t>
      </w:r>
      <w:r w:rsidRPr="00EA34F5">
        <w:rPr>
          <w:color w:val="auto"/>
          <w:szCs w:val="24"/>
        </w:rPr>
        <w:t xml:space="preserve">, </w:t>
      </w:r>
      <w:r w:rsidRPr="00057F3A">
        <w:rPr>
          <w:color w:val="auto"/>
          <w:szCs w:val="24"/>
        </w:rPr>
        <w:t>nevypĺňa</w:t>
      </w:r>
      <w:r w:rsidR="00CD30D8" w:rsidRPr="00057F3A">
        <w:rPr>
          <w:color w:val="auto"/>
          <w:szCs w:val="24"/>
        </w:rPr>
        <w:t>jú sa</w:t>
      </w:r>
      <w:r w:rsidRPr="00057F3A">
        <w:rPr>
          <w:color w:val="auto"/>
          <w:szCs w:val="24"/>
        </w:rPr>
        <w:t xml:space="preserve"> údaje v tabuľke </w:t>
      </w:r>
      <w:r w:rsidR="00CD30D8" w:rsidRPr="00057F3A">
        <w:rPr>
          <w:color w:val="auto"/>
          <w:szCs w:val="24"/>
        </w:rPr>
        <w:t xml:space="preserve">D. </w:t>
      </w:r>
      <w:r w:rsidR="00057F3A" w:rsidRPr="00057F3A">
        <w:rPr>
          <w:color w:val="auto"/>
          <w:szCs w:val="24"/>
        </w:rPr>
        <w:t xml:space="preserve">Odpočet tejto daňovej straty sa premietne v </w:t>
      </w:r>
      <w:r w:rsidR="00057F3A" w:rsidRPr="00057F3A">
        <w:rPr>
          <w:b/>
          <w:color w:val="auto"/>
          <w:szCs w:val="24"/>
        </w:rPr>
        <w:t>riadku</w:t>
      </w:r>
      <w:r w:rsidR="00057F3A" w:rsidRPr="00057F3A">
        <w:rPr>
          <w:color w:val="auto"/>
          <w:szCs w:val="24"/>
        </w:rPr>
        <w:t xml:space="preserve"> </w:t>
      </w:r>
      <w:r w:rsidR="00CD30D8" w:rsidRPr="00057F3A">
        <w:rPr>
          <w:b/>
          <w:color w:val="auto"/>
          <w:szCs w:val="24"/>
        </w:rPr>
        <w:t>500</w:t>
      </w:r>
      <w:r w:rsidR="00057F3A" w:rsidRPr="00057F3A">
        <w:rPr>
          <w:b/>
          <w:color w:val="auto"/>
          <w:szCs w:val="24"/>
        </w:rPr>
        <w:t xml:space="preserve">, </w:t>
      </w:r>
      <w:r w:rsidR="00057F3A" w:rsidRPr="00057F3A">
        <w:rPr>
          <w:color w:val="auto"/>
          <w:szCs w:val="24"/>
        </w:rPr>
        <w:t>kde</w:t>
      </w:r>
      <w:r w:rsidR="00CD30D8" w:rsidRPr="00057F3A">
        <w:rPr>
          <w:color w:val="auto"/>
          <w:szCs w:val="24"/>
        </w:rPr>
        <w:t xml:space="preserve"> sa uvedie základ dane znížený o odpočet </w:t>
      </w:r>
      <w:r w:rsidR="00057F3A" w:rsidRPr="00057F3A">
        <w:rPr>
          <w:color w:val="auto"/>
          <w:szCs w:val="24"/>
        </w:rPr>
        <w:t xml:space="preserve">daňovej straty podľa </w:t>
      </w:r>
      <w:r w:rsidR="003D39F0">
        <w:rPr>
          <w:color w:val="auto"/>
          <w:szCs w:val="24"/>
        </w:rPr>
        <w:t xml:space="preserve">                  </w:t>
      </w:r>
      <w:r w:rsidR="00057F3A" w:rsidRPr="00057F3A">
        <w:rPr>
          <w:color w:val="auto"/>
          <w:szCs w:val="24"/>
        </w:rPr>
        <w:t>§ 24b zákona č. 67/2020 Z. z</w:t>
      </w:r>
      <w:r w:rsidR="00CD30D8" w:rsidRPr="00057F3A">
        <w:rPr>
          <w:color w:val="auto"/>
          <w:szCs w:val="24"/>
        </w:rPr>
        <w:t xml:space="preserve">. </w:t>
      </w:r>
      <w:r w:rsidR="00095307" w:rsidRPr="00EA34F5">
        <w:rPr>
          <w:color w:val="auto"/>
        </w:rPr>
        <w:t xml:space="preserve">v znení </w:t>
      </w:r>
      <w:r w:rsidR="00095307" w:rsidRPr="00EA34F5">
        <w:rPr>
          <w:rFonts w:eastAsia="Calibri"/>
          <w:color w:val="auto"/>
          <w:lang w:eastAsia="en-US"/>
        </w:rPr>
        <w:t>zákona č. 96/2020 Z. z.</w:t>
      </w:r>
      <w:r w:rsidR="00095307" w:rsidRPr="00EA34F5">
        <w:rPr>
          <w:rFonts w:eastAsia="Calibri"/>
          <w:b/>
          <w:color w:val="auto"/>
          <w:lang w:eastAsia="en-US"/>
        </w:rPr>
        <w:t xml:space="preserve"> </w:t>
      </w:r>
      <w:r w:rsidR="008674A4" w:rsidRPr="00057F3A">
        <w:rPr>
          <w:color w:val="auto"/>
          <w:szCs w:val="24"/>
        </w:rPr>
        <w:t xml:space="preserve">a </w:t>
      </w:r>
      <w:r w:rsidRPr="00057F3A">
        <w:rPr>
          <w:color w:val="auto"/>
          <w:szCs w:val="24"/>
        </w:rPr>
        <w:t>v časti VII. - Miesto na osobitné záznamy daňovníka</w:t>
      </w:r>
      <w:r w:rsidR="00B263B3">
        <w:rPr>
          <w:color w:val="auto"/>
          <w:szCs w:val="24"/>
        </w:rPr>
        <w:t>, kde</w:t>
      </w:r>
      <w:r w:rsidR="008674A4" w:rsidRPr="00057F3A">
        <w:rPr>
          <w:color w:val="auto"/>
          <w:szCs w:val="24"/>
        </w:rPr>
        <w:t xml:space="preserve"> sa uvedie rozpis odpočítaných daňových strát, a to v členení:</w:t>
      </w:r>
    </w:p>
    <w:p w:rsidR="00CD30D8" w:rsidRPr="00057F3A" w:rsidRDefault="00CD30D8" w:rsidP="00DF2CF5">
      <w:pPr>
        <w:pStyle w:val="Zkladntext1"/>
        <w:jc w:val="both"/>
        <w:rPr>
          <w:b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3"/>
        <w:gridCol w:w="2242"/>
        <w:gridCol w:w="2247"/>
        <w:gridCol w:w="2330"/>
      </w:tblGrid>
      <w:tr w:rsidR="00057F3A" w:rsidRPr="00DF0A73" w:rsidTr="008674A4">
        <w:tc>
          <w:tcPr>
            <w:tcW w:w="2243" w:type="dxa"/>
          </w:tcPr>
          <w:p w:rsidR="00CD30D8" w:rsidRPr="00DF0A73" w:rsidRDefault="008674A4" w:rsidP="007B56EC">
            <w:pPr>
              <w:jc w:val="both"/>
              <w:rPr>
                <w:rFonts w:eastAsia="Calibri"/>
                <w:lang w:val="sk-SK" w:eastAsia="en-US"/>
              </w:rPr>
            </w:pPr>
            <w:r w:rsidRPr="00057F3A">
              <w:rPr>
                <w:rFonts w:eastAsia="Calibri"/>
                <w:lang w:val="sk-SK" w:eastAsia="en-US"/>
              </w:rPr>
              <w:t>Zdaňovacie obdobie</w:t>
            </w:r>
            <w:r w:rsidR="00CD30D8" w:rsidRPr="00DF0A73">
              <w:rPr>
                <w:rFonts w:eastAsia="Calibri"/>
                <w:lang w:val="sk-SK" w:eastAsia="en-US"/>
              </w:rPr>
              <w:t xml:space="preserve"> vykázania daňovej straty</w:t>
            </w:r>
          </w:p>
        </w:tc>
        <w:tc>
          <w:tcPr>
            <w:tcW w:w="2242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>Suma vykázanej daňovej straty</w:t>
            </w:r>
          </w:p>
        </w:tc>
        <w:tc>
          <w:tcPr>
            <w:tcW w:w="2247" w:type="dxa"/>
          </w:tcPr>
          <w:p w:rsidR="00CD30D8" w:rsidRPr="00DF0A73" w:rsidRDefault="00CD30D8" w:rsidP="008674A4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 xml:space="preserve">Suma </w:t>
            </w:r>
            <w:r w:rsidR="008674A4" w:rsidRPr="00057F3A">
              <w:rPr>
                <w:rFonts w:eastAsia="Calibri"/>
                <w:lang w:val="sk-SK" w:eastAsia="en-US"/>
              </w:rPr>
              <w:t>odpočítanej daňovej straty v r. 500</w:t>
            </w:r>
          </w:p>
        </w:tc>
        <w:tc>
          <w:tcPr>
            <w:tcW w:w="2330" w:type="dxa"/>
          </w:tcPr>
          <w:p w:rsidR="00CD30D8" w:rsidRPr="00DF0A73" w:rsidRDefault="00CD30D8" w:rsidP="00CD6DC0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 xml:space="preserve">Zostatok </w:t>
            </w:r>
            <w:r w:rsidR="00CD6DC0" w:rsidRPr="00057F3A">
              <w:rPr>
                <w:rFonts w:eastAsia="Calibri"/>
                <w:lang w:val="sk-SK" w:eastAsia="en-US"/>
              </w:rPr>
              <w:t>neodpočítanej</w:t>
            </w:r>
            <w:r w:rsidRPr="00DF0A73">
              <w:rPr>
                <w:rFonts w:eastAsia="Calibri"/>
                <w:lang w:val="sk-SK" w:eastAsia="en-US"/>
              </w:rPr>
              <w:t xml:space="preserve"> </w:t>
            </w:r>
            <w:r w:rsidR="008674A4" w:rsidRPr="00057F3A">
              <w:rPr>
                <w:rFonts w:eastAsia="Calibri"/>
                <w:lang w:val="sk-SK" w:eastAsia="en-US"/>
              </w:rPr>
              <w:t xml:space="preserve">daňovej </w:t>
            </w:r>
            <w:r w:rsidRPr="00DF0A73">
              <w:rPr>
                <w:rFonts w:eastAsia="Calibri"/>
                <w:lang w:val="sk-SK" w:eastAsia="en-US"/>
              </w:rPr>
              <w:t>straty</w:t>
            </w:r>
            <w:r w:rsidR="00CD6DC0" w:rsidRPr="00057F3A">
              <w:rPr>
                <w:rFonts w:eastAsia="Calibri"/>
                <w:lang w:val="sk-SK" w:eastAsia="en-US"/>
              </w:rPr>
              <w:t>, ktorú je možné odpočítať</w:t>
            </w:r>
            <w:r w:rsidRPr="00DF0A73">
              <w:rPr>
                <w:rFonts w:eastAsia="Calibri"/>
                <w:lang w:val="sk-SK" w:eastAsia="en-US"/>
              </w:rPr>
              <w:t xml:space="preserve"> v budúcich zdaňovacích obdobiach</w:t>
            </w:r>
          </w:p>
        </w:tc>
      </w:tr>
      <w:tr w:rsidR="00057F3A" w:rsidRPr="00DF0A73" w:rsidTr="008674A4">
        <w:tc>
          <w:tcPr>
            <w:tcW w:w="2243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2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7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330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057F3A" w:rsidRPr="00DF0A73" w:rsidTr="008674A4">
        <w:tc>
          <w:tcPr>
            <w:tcW w:w="2243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2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7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330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057F3A" w:rsidRPr="00DF0A73" w:rsidTr="008674A4">
        <w:tc>
          <w:tcPr>
            <w:tcW w:w="2243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2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7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330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057F3A" w:rsidRPr="00DF0A73" w:rsidTr="008674A4">
        <w:tc>
          <w:tcPr>
            <w:tcW w:w="2243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2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247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  <w:tc>
          <w:tcPr>
            <w:tcW w:w="2330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  <w:tr w:rsidR="00057F3A" w:rsidRPr="00DF0A73" w:rsidTr="008674A4">
        <w:trPr>
          <w:gridAfter w:val="1"/>
          <w:wAfter w:w="2330" w:type="dxa"/>
        </w:trPr>
        <w:tc>
          <w:tcPr>
            <w:tcW w:w="4485" w:type="dxa"/>
            <w:gridSpan w:val="2"/>
          </w:tcPr>
          <w:p w:rsidR="00CD30D8" w:rsidRPr="00DF0A73" w:rsidRDefault="00CD30D8" w:rsidP="00CD6DC0">
            <w:pPr>
              <w:jc w:val="both"/>
              <w:rPr>
                <w:rFonts w:eastAsia="Calibri"/>
                <w:lang w:val="sk-SK" w:eastAsia="en-US"/>
              </w:rPr>
            </w:pPr>
            <w:r w:rsidRPr="00DF0A73">
              <w:rPr>
                <w:rFonts w:eastAsia="Calibri"/>
                <w:lang w:val="sk-SK" w:eastAsia="en-US"/>
              </w:rPr>
              <w:t xml:space="preserve">Úhrn </w:t>
            </w:r>
            <w:r w:rsidR="008674A4" w:rsidRPr="00057F3A">
              <w:rPr>
                <w:rFonts w:eastAsia="Calibri"/>
                <w:lang w:val="sk-SK" w:eastAsia="en-US"/>
              </w:rPr>
              <w:t>odpočítaných</w:t>
            </w:r>
            <w:r w:rsidR="00CD6DC0" w:rsidRPr="00057F3A">
              <w:rPr>
                <w:rFonts w:eastAsia="Calibri"/>
                <w:lang w:val="sk-SK" w:eastAsia="en-US"/>
              </w:rPr>
              <w:t xml:space="preserve"> daňových strát v</w:t>
            </w:r>
            <w:r w:rsidRPr="00DF0A73">
              <w:rPr>
                <w:rFonts w:eastAsia="Calibri"/>
                <w:lang w:val="sk-SK" w:eastAsia="en-US"/>
              </w:rPr>
              <w:t xml:space="preserve"> r. </w:t>
            </w:r>
            <w:r w:rsidR="008674A4" w:rsidRPr="00057F3A">
              <w:rPr>
                <w:rFonts w:eastAsia="Calibri"/>
                <w:lang w:val="sk-SK" w:eastAsia="en-US"/>
              </w:rPr>
              <w:t>500</w:t>
            </w:r>
            <w:r w:rsidRPr="00DF0A73">
              <w:rPr>
                <w:rFonts w:eastAsia="Calibri"/>
                <w:lang w:val="sk-SK" w:eastAsia="en-US"/>
              </w:rPr>
              <w:t xml:space="preserve"> najviac vo výške 1 000 000 eur</w:t>
            </w:r>
            <w:r w:rsidR="00CD6DC0" w:rsidRPr="00057F3A">
              <w:rPr>
                <w:rFonts w:eastAsia="Calibri"/>
                <w:lang w:val="sk-SK" w:eastAsia="en-US"/>
              </w:rPr>
              <w:t xml:space="preserve"> a</w:t>
            </w:r>
            <w:r w:rsidRPr="00DF0A73">
              <w:rPr>
                <w:rFonts w:eastAsia="Calibri"/>
                <w:lang w:val="sk-SK" w:eastAsia="en-US"/>
              </w:rPr>
              <w:t xml:space="preserve"> max. vo výške základu dane </w:t>
            </w:r>
            <w:r w:rsidR="00CD6DC0" w:rsidRPr="00057F3A">
              <w:rPr>
                <w:rFonts w:eastAsia="Calibri"/>
                <w:lang w:val="sk-SK" w:eastAsia="en-US"/>
              </w:rPr>
              <w:t>uvedeného v r. 400</w:t>
            </w:r>
          </w:p>
        </w:tc>
        <w:tc>
          <w:tcPr>
            <w:tcW w:w="2247" w:type="dxa"/>
          </w:tcPr>
          <w:p w:rsidR="00CD30D8" w:rsidRPr="00DF0A73" w:rsidRDefault="00CD30D8" w:rsidP="007B56EC">
            <w:pPr>
              <w:jc w:val="both"/>
              <w:rPr>
                <w:rFonts w:eastAsia="Calibri"/>
                <w:lang w:val="sk-SK" w:eastAsia="en-US"/>
              </w:rPr>
            </w:pPr>
          </w:p>
        </w:tc>
      </w:tr>
    </w:tbl>
    <w:p w:rsidR="00CD30D8" w:rsidRPr="00057F3A" w:rsidRDefault="00CD30D8" w:rsidP="00DF2CF5">
      <w:pPr>
        <w:pStyle w:val="Zkladntext1"/>
        <w:jc w:val="both"/>
        <w:rPr>
          <w:b/>
          <w:color w:val="auto"/>
          <w:szCs w:val="24"/>
        </w:rPr>
      </w:pPr>
    </w:p>
    <w:p w:rsidR="000D415E" w:rsidRPr="00057F3A" w:rsidRDefault="00DF2CF5" w:rsidP="001228AD">
      <w:pPr>
        <w:pStyle w:val="Zkladntext1"/>
        <w:jc w:val="both"/>
        <w:rPr>
          <w:b/>
          <w:color w:val="auto"/>
          <w:szCs w:val="24"/>
        </w:rPr>
      </w:pPr>
      <w:r w:rsidRPr="00057F3A">
        <w:rPr>
          <w:b/>
          <w:color w:val="auto"/>
          <w:szCs w:val="24"/>
        </w:rPr>
        <w:t xml:space="preserve">Vzhľadom na </w:t>
      </w:r>
      <w:r w:rsidR="00CD30D8" w:rsidRPr="00057F3A">
        <w:rPr>
          <w:b/>
          <w:color w:val="auto"/>
          <w:szCs w:val="24"/>
        </w:rPr>
        <w:t>to</w:t>
      </w:r>
      <w:r w:rsidRPr="00057F3A">
        <w:rPr>
          <w:b/>
          <w:color w:val="auto"/>
          <w:szCs w:val="24"/>
        </w:rPr>
        <w:t xml:space="preserve">, že daňovník sa môže rozhodnúť len pre jeden zo spôsobov odpočítania daňovej straty vykázanej v zdaňovacích obdobiach 2015 až 2018, </w:t>
      </w:r>
      <w:r w:rsidR="00CD30D8" w:rsidRPr="00057F3A">
        <w:rPr>
          <w:b/>
          <w:color w:val="auto"/>
          <w:szCs w:val="24"/>
        </w:rPr>
        <w:t>vypĺňa sa buď tabuľka</w:t>
      </w:r>
      <w:r w:rsidR="00B263B3">
        <w:rPr>
          <w:b/>
          <w:color w:val="auto"/>
          <w:szCs w:val="24"/>
        </w:rPr>
        <w:t xml:space="preserve"> D, ktorej údaje sa prenášajú do</w:t>
      </w:r>
      <w:r w:rsidR="00CD30D8" w:rsidRPr="00057F3A">
        <w:rPr>
          <w:b/>
          <w:color w:val="auto"/>
          <w:szCs w:val="24"/>
        </w:rPr>
        <w:t xml:space="preserve"> r. 410 priznania, alebo </w:t>
      </w:r>
      <w:r w:rsidR="00CD6DC0" w:rsidRPr="00057F3A">
        <w:rPr>
          <w:b/>
          <w:color w:val="auto"/>
          <w:szCs w:val="24"/>
        </w:rPr>
        <w:t xml:space="preserve">sa vypĺňa len r. 500, kde bude uvedená </w:t>
      </w:r>
      <w:r w:rsidRPr="00057F3A">
        <w:rPr>
          <w:b/>
          <w:color w:val="auto"/>
          <w:szCs w:val="24"/>
        </w:rPr>
        <w:t xml:space="preserve">suma základu dane znížená o úhrn </w:t>
      </w:r>
      <w:r w:rsidR="00095307" w:rsidRPr="00534C4C">
        <w:rPr>
          <w:b/>
          <w:color w:val="auto"/>
          <w:szCs w:val="24"/>
        </w:rPr>
        <w:t>daňových</w:t>
      </w:r>
      <w:r w:rsidR="00095307">
        <w:rPr>
          <w:b/>
          <w:color w:val="FF0000"/>
          <w:szCs w:val="24"/>
        </w:rPr>
        <w:t xml:space="preserve"> </w:t>
      </w:r>
      <w:r w:rsidRPr="00057F3A">
        <w:rPr>
          <w:b/>
          <w:color w:val="auto"/>
          <w:szCs w:val="24"/>
        </w:rPr>
        <w:t xml:space="preserve">strát </w:t>
      </w:r>
      <w:r w:rsidR="00CD6DC0" w:rsidRPr="00057F3A">
        <w:rPr>
          <w:b/>
          <w:color w:val="auto"/>
          <w:szCs w:val="24"/>
        </w:rPr>
        <w:t xml:space="preserve">odpočítaných podľa </w:t>
      </w:r>
      <w:r w:rsidRPr="00057F3A">
        <w:rPr>
          <w:b/>
          <w:color w:val="auto"/>
          <w:szCs w:val="24"/>
        </w:rPr>
        <w:t xml:space="preserve">§ 24b zákona č. </w:t>
      </w:r>
      <w:r w:rsidR="00CD6DC0" w:rsidRPr="00057F3A">
        <w:rPr>
          <w:b/>
          <w:color w:val="auto"/>
          <w:szCs w:val="24"/>
        </w:rPr>
        <w:t>67</w:t>
      </w:r>
      <w:r w:rsidRPr="00057F3A">
        <w:rPr>
          <w:b/>
          <w:color w:val="auto"/>
          <w:szCs w:val="24"/>
        </w:rPr>
        <w:t>/2020 Z. z.</w:t>
      </w:r>
      <w:r w:rsidR="00095307">
        <w:rPr>
          <w:b/>
          <w:color w:val="auto"/>
          <w:szCs w:val="24"/>
        </w:rPr>
        <w:t xml:space="preserve"> </w:t>
      </w:r>
      <w:r w:rsidR="00095307" w:rsidRPr="00EA34F5">
        <w:rPr>
          <w:b/>
          <w:color w:val="auto"/>
        </w:rPr>
        <w:t xml:space="preserve">v znení </w:t>
      </w:r>
      <w:r w:rsidR="00095307" w:rsidRPr="00EA34F5">
        <w:rPr>
          <w:rFonts w:eastAsia="Calibri"/>
          <w:b/>
          <w:color w:val="auto"/>
          <w:lang w:eastAsia="en-US"/>
        </w:rPr>
        <w:t>zákona č. 96/2020 Z. z.</w:t>
      </w:r>
      <w:r w:rsidR="00004217" w:rsidRPr="00EA34F5">
        <w:rPr>
          <w:b/>
          <w:color w:val="auto"/>
          <w:szCs w:val="24"/>
        </w:rPr>
        <w:t>“.</w:t>
      </w:r>
    </w:p>
    <w:p w:rsidR="00DF2CF5" w:rsidRPr="00057F3A" w:rsidRDefault="00DF2CF5" w:rsidP="001228AD">
      <w:pPr>
        <w:pStyle w:val="Zkladntext1"/>
        <w:jc w:val="both"/>
        <w:rPr>
          <w:b/>
          <w:color w:val="auto"/>
          <w:szCs w:val="24"/>
        </w:rPr>
      </w:pPr>
    </w:p>
    <w:p w:rsidR="00C23310" w:rsidRPr="00057F3A" w:rsidRDefault="00C23310" w:rsidP="001228AD">
      <w:pPr>
        <w:pStyle w:val="Zkladntext1"/>
        <w:jc w:val="both"/>
        <w:rPr>
          <w:color w:val="auto"/>
          <w:szCs w:val="24"/>
        </w:rPr>
      </w:pPr>
    </w:p>
    <w:p w:rsidR="00815337" w:rsidRDefault="00815337" w:rsidP="00815337">
      <w:pPr>
        <w:pStyle w:val="Zkladntext1"/>
        <w:jc w:val="center"/>
        <w:rPr>
          <w:color w:val="auto"/>
          <w:szCs w:val="24"/>
        </w:rPr>
      </w:pPr>
    </w:p>
    <w:p w:rsidR="000102F4" w:rsidRDefault="000102F4" w:rsidP="00815337">
      <w:pPr>
        <w:pStyle w:val="Zkladntext1"/>
        <w:jc w:val="center"/>
        <w:rPr>
          <w:color w:val="auto"/>
          <w:szCs w:val="24"/>
        </w:rPr>
      </w:pPr>
    </w:p>
    <w:p w:rsidR="000102F4" w:rsidRPr="00057F3A" w:rsidRDefault="000102F4" w:rsidP="00815337">
      <w:pPr>
        <w:pStyle w:val="Zkladntext1"/>
        <w:jc w:val="center"/>
        <w:rPr>
          <w:color w:val="auto"/>
          <w:szCs w:val="24"/>
        </w:rPr>
      </w:pPr>
    </w:p>
    <w:p w:rsidR="00815337" w:rsidRPr="00057F3A" w:rsidRDefault="00815337" w:rsidP="00815337">
      <w:pPr>
        <w:pStyle w:val="Zkladntext1"/>
        <w:jc w:val="center"/>
        <w:rPr>
          <w:color w:val="auto"/>
          <w:szCs w:val="24"/>
        </w:rPr>
      </w:pPr>
    </w:p>
    <w:p w:rsidR="00815337" w:rsidRPr="00435882" w:rsidRDefault="00815337" w:rsidP="00815337">
      <w:pPr>
        <w:pStyle w:val="Zkladntext1"/>
        <w:jc w:val="center"/>
        <w:outlineLvl w:val="0"/>
        <w:rPr>
          <w:b/>
          <w:szCs w:val="24"/>
        </w:rPr>
      </w:pPr>
      <w:r w:rsidRPr="00435882">
        <w:rPr>
          <w:b/>
          <w:szCs w:val="24"/>
        </w:rPr>
        <w:t xml:space="preserve">                                   Ing. </w:t>
      </w:r>
      <w:r w:rsidR="00C33342" w:rsidRPr="00435882">
        <w:rPr>
          <w:b/>
          <w:szCs w:val="24"/>
        </w:rPr>
        <w:t>Daniela Klučková</w:t>
      </w:r>
    </w:p>
    <w:p w:rsidR="00C33342" w:rsidRPr="00435882" w:rsidRDefault="00C66063" w:rsidP="00815337">
      <w:pPr>
        <w:pStyle w:val="Zkladntext1"/>
        <w:jc w:val="center"/>
        <w:rPr>
          <w:b/>
          <w:szCs w:val="24"/>
        </w:rPr>
      </w:pPr>
      <w:r w:rsidRPr="00435882">
        <w:rPr>
          <w:b/>
          <w:szCs w:val="24"/>
        </w:rPr>
        <w:t xml:space="preserve">                                </w:t>
      </w:r>
      <w:r w:rsidR="00142382" w:rsidRPr="00435882">
        <w:rPr>
          <w:b/>
          <w:szCs w:val="24"/>
        </w:rPr>
        <w:t xml:space="preserve">  </w:t>
      </w:r>
      <w:r w:rsidRPr="00435882">
        <w:rPr>
          <w:b/>
          <w:szCs w:val="24"/>
        </w:rPr>
        <w:t xml:space="preserve"> </w:t>
      </w:r>
      <w:r w:rsidR="00C33342" w:rsidRPr="00435882">
        <w:rPr>
          <w:b/>
          <w:szCs w:val="24"/>
        </w:rPr>
        <w:t>generá</w:t>
      </w:r>
      <w:r w:rsidR="00EE3E23">
        <w:rPr>
          <w:b/>
          <w:szCs w:val="24"/>
        </w:rPr>
        <w:t>lna riaditeľka</w:t>
      </w:r>
      <w:r w:rsidR="00C33342" w:rsidRPr="00435882">
        <w:rPr>
          <w:b/>
          <w:szCs w:val="24"/>
        </w:rPr>
        <w:t xml:space="preserve"> </w:t>
      </w:r>
    </w:p>
    <w:p w:rsidR="00D24EF1" w:rsidRPr="00B73AC6" w:rsidRDefault="00C33342" w:rsidP="00B73AC6">
      <w:pPr>
        <w:pStyle w:val="Zkladntext1"/>
        <w:jc w:val="center"/>
        <w:rPr>
          <w:b/>
          <w:szCs w:val="24"/>
        </w:rPr>
      </w:pPr>
      <w:r w:rsidRPr="00435882">
        <w:rPr>
          <w:b/>
          <w:szCs w:val="24"/>
        </w:rPr>
        <w:t xml:space="preserve">                               </w:t>
      </w:r>
      <w:r w:rsidR="006070E2" w:rsidRPr="00435882">
        <w:rPr>
          <w:b/>
          <w:szCs w:val="24"/>
        </w:rPr>
        <w:t xml:space="preserve"> </w:t>
      </w:r>
      <w:r w:rsidRPr="00435882">
        <w:rPr>
          <w:b/>
          <w:szCs w:val="24"/>
        </w:rPr>
        <w:t xml:space="preserve">   </w:t>
      </w:r>
      <w:r w:rsidR="00815337" w:rsidRPr="00435882">
        <w:rPr>
          <w:b/>
          <w:szCs w:val="24"/>
        </w:rPr>
        <w:t>sekcie daňovej a colnej</w:t>
      </w:r>
    </w:p>
    <w:p w:rsidR="00263B81" w:rsidRDefault="00263B81" w:rsidP="000102F4">
      <w:pPr>
        <w:pStyle w:val="Zkladntext1"/>
        <w:rPr>
          <w:szCs w:val="24"/>
        </w:rPr>
      </w:pPr>
    </w:p>
    <w:p w:rsidR="009C0AE9" w:rsidRDefault="009C0AE9" w:rsidP="00815337">
      <w:pPr>
        <w:pStyle w:val="Zkladntext1"/>
        <w:jc w:val="center"/>
        <w:rPr>
          <w:szCs w:val="24"/>
        </w:rPr>
      </w:pPr>
    </w:p>
    <w:p w:rsidR="00815337" w:rsidRPr="00435882" w:rsidRDefault="00815337" w:rsidP="00E441C0">
      <w:pPr>
        <w:pStyle w:val="Zkladntext1"/>
        <w:rPr>
          <w:szCs w:val="24"/>
        </w:rPr>
      </w:pPr>
    </w:p>
    <w:sectPr w:rsidR="00815337" w:rsidRPr="00435882" w:rsidSect="0008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FF" w:rsidRDefault="003B6EFF" w:rsidP="003070D4">
      <w:r>
        <w:separator/>
      </w:r>
    </w:p>
  </w:endnote>
  <w:endnote w:type="continuationSeparator" w:id="0">
    <w:p w:rsidR="003B6EFF" w:rsidRDefault="003B6EFF" w:rsidP="0030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FF" w:rsidRDefault="003B6EFF" w:rsidP="003070D4">
      <w:r>
        <w:separator/>
      </w:r>
    </w:p>
  </w:footnote>
  <w:footnote w:type="continuationSeparator" w:id="0">
    <w:p w:rsidR="003B6EFF" w:rsidRDefault="003B6EFF" w:rsidP="0030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F0A"/>
    <w:multiLevelType w:val="hybridMultilevel"/>
    <w:tmpl w:val="45CAAB58"/>
    <w:lvl w:ilvl="0" w:tplc="2682AA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4F66B5"/>
    <w:multiLevelType w:val="hybridMultilevel"/>
    <w:tmpl w:val="07AA6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C2"/>
    <w:rsid w:val="00000754"/>
    <w:rsid w:val="00004217"/>
    <w:rsid w:val="000102F4"/>
    <w:rsid w:val="00047B3E"/>
    <w:rsid w:val="00055DC6"/>
    <w:rsid w:val="00057F3A"/>
    <w:rsid w:val="00070CEA"/>
    <w:rsid w:val="00081ADD"/>
    <w:rsid w:val="00095307"/>
    <w:rsid w:val="0009616B"/>
    <w:rsid w:val="000C1F92"/>
    <w:rsid w:val="000C6D91"/>
    <w:rsid w:val="000D2676"/>
    <w:rsid w:val="000D415E"/>
    <w:rsid w:val="00113D8D"/>
    <w:rsid w:val="001228AD"/>
    <w:rsid w:val="001238BC"/>
    <w:rsid w:val="00142382"/>
    <w:rsid w:val="00154574"/>
    <w:rsid w:val="00172DF4"/>
    <w:rsid w:val="001D0DC1"/>
    <w:rsid w:val="00211517"/>
    <w:rsid w:val="002248CF"/>
    <w:rsid w:val="00246743"/>
    <w:rsid w:val="00263B81"/>
    <w:rsid w:val="002663ED"/>
    <w:rsid w:val="002C270D"/>
    <w:rsid w:val="002E28D0"/>
    <w:rsid w:val="00301A07"/>
    <w:rsid w:val="003070D4"/>
    <w:rsid w:val="00320AAB"/>
    <w:rsid w:val="0032389A"/>
    <w:rsid w:val="0034476B"/>
    <w:rsid w:val="003513DD"/>
    <w:rsid w:val="003A60B5"/>
    <w:rsid w:val="003A6A9A"/>
    <w:rsid w:val="003B6EFF"/>
    <w:rsid w:val="003C3C77"/>
    <w:rsid w:val="003D39F0"/>
    <w:rsid w:val="003E51C1"/>
    <w:rsid w:val="00405B1F"/>
    <w:rsid w:val="00413756"/>
    <w:rsid w:val="0042093D"/>
    <w:rsid w:val="00435882"/>
    <w:rsid w:val="00496EED"/>
    <w:rsid w:val="004B6ED6"/>
    <w:rsid w:val="004E61E3"/>
    <w:rsid w:val="005008B8"/>
    <w:rsid w:val="005071C1"/>
    <w:rsid w:val="00514F8F"/>
    <w:rsid w:val="00525F30"/>
    <w:rsid w:val="00527DEF"/>
    <w:rsid w:val="00534C4C"/>
    <w:rsid w:val="005507F2"/>
    <w:rsid w:val="00556D50"/>
    <w:rsid w:val="005679A9"/>
    <w:rsid w:val="005A7EFA"/>
    <w:rsid w:val="005B1061"/>
    <w:rsid w:val="005C31C1"/>
    <w:rsid w:val="005F350D"/>
    <w:rsid w:val="006070E2"/>
    <w:rsid w:val="006115FF"/>
    <w:rsid w:val="00614F31"/>
    <w:rsid w:val="006427CD"/>
    <w:rsid w:val="00643EFC"/>
    <w:rsid w:val="00644C70"/>
    <w:rsid w:val="00644DE6"/>
    <w:rsid w:val="00647A90"/>
    <w:rsid w:val="006954AC"/>
    <w:rsid w:val="006A0C8F"/>
    <w:rsid w:val="006C55BB"/>
    <w:rsid w:val="00746095"/>
    <w:rsid w:val="00750C74"/>
    <w:rsid w:val="00760E8F"/>
    <w:rsid w:val="00776F7D"/>
    <w:rsid w:val="007A25D3"/>
    <w:rsid w:val="007B1D1E"/>
    <w:rsid w:val="007D7A8A"/>
    <w:rsid w:val="007E7BC3"/>
    <w:rsid w:val="007F2392"/>
    <w:rsid w:val="008039FD"/>
    <w:rsid w:val="00815337"/>
    <w:rsid w:val="00830A36"/>
    <w:rsid w:val="008674A4"/>
    <w:rsid w:val="00890371"/>
    <w:rsid w:val="008C143E"/>
    <w:rsid w:val="008C2512"/>
    <w:rsid w:val="008D2660"/>
    <w:rsid w:val="008E0A14"/>
    <w:rsid w:val="008E0A8E"/>
    <w:rsid w:val="008E21C6"/>
    <w:rsid w:val="00910295"/>
    <w:rsid w:val="00922C83"/>
    <w:rsid w:val="009347EA"/>
    <w:rsid w:val="0096159F"/>
    <w:rsid w:val="00975C88"/>
    <w:rsid w:val="00980E44"/>
    <w:rsid w:val="009954F9"/>
    <w:rsid w:val="009B3666"/>
    <w:rsid w:val="009C0AE9"/>
    <w:rsid w:val="00A25550"/>
    <w:rsid w:val="00A30FBC"/>
    <w:rsid w:val="00A32B03"/>
    <w:rsid w:val="00A333C8"/>
    <w:rsid w:val="00AE04A4"/>
    <w:rsid w:val="00AE4095"/>
    <w:rsid w:val="00AF1910"/>
    <w:rsid w:val="00AF5C5E"/>
    <w:rsid w:val="00B21E91"/>
    <w:rsid w:val="00B263B3"/>
    <w:rsid w:val="00B345BF"/>
    <w:rsid w:val="00B36A9A"/>
    <w:rsid w:val="00B427DB"/>
    <w:rsid w:val="00B46B8C"/>
    <w:rsid w:val="00B50097"/>
    <w:rsid w:val="00B73AC6"/>
    <w:rsid w:val="00B83ADE"/>
    <w:rsid w:val="00B83E08"/>
    <w:rsid w:val="00BD1311"/>
    <w:rsid w:val="00BD1E4F"/>
    <w:rsid w:val="00BD7171"/>
    <w:rsid w:val="00BE33BC"/>
    <w:rsid w:val="00BE3B00"/>
    <w:rsid w:val="00C0431C"/>
    <w:rsid w:val="00C12417"/>
    <w:rsid w:val="00C20A5A"/>
    <w:rsid w:val="00C23310"/>
    <w:rsid w:val="00C33342"/>
    <w:rsid w:val="00C66063"/>
    <w:rsid w:val="00C67D42"/>
    <w:rsid w:val="00C713DC"/>
    <w:rsid w:val="00CB13D1"/>
    <w:rsid w:val="00CB3923"/>
    <w:rsid w:val="00CB64BD"/>
    <w:rsid w:val="00CD30D8"/>
    <w:rsid w:val="00CD6DC0"/>
    <w:rsid w:val="00D21E57"/>
    <w:rsid w:val="00D225D6"/>
    <w:rsid w:val="00D24EF1"/>
    <w:rsid w:val="00D51D28"/>
    <w:rsid w:val="00D82B7F"/>
    <w:rsid w:val="00DA13F1"/>
    <w:rsid w:val="00DB218B"/>
    <w:rsid w:val="00DB35B2"/>
    <w:rsid w:val="00DB3FED"/>
    <w:rsid w:val="00DD3EAB"/>
    <w:rsid w:val="00DD6FD8"/>
    <w:rsid w:val="00DE12CE"/>
    <w:rsid w:val="00DF0A73"/>
    <w:rsid w:val="00DF2CF5"/>
    <w:rsid w:val="00E013F5"/>
    <w:rsid w:val="00E2174E"/>
    <w:rsid w:val="00E35FC2"/>
    <w:rsid w:val="00E441C0"/>
    <w:rsid w:val="00E4432F"/>
    <w:rsid w:val="00E53B50"/>
    <w:rsid w:val="00E63396"/>
    <w:rsid w:val="00E675C6"/>
    <w:rsid w:val="00E73939"/>
    <w:rsid w:val="00EA26A8"/>
    <w:rsid w:val="00EA34F5"/>
    <w:rsid w:val="00EB6999"/>
    <w:rsid w:val="00EE3E23"/>
    <w:rsid w:val="00EE7DCE"/>
    <w:rsid w:val="00F0424F"/>
    <w:rsid w:val="00F06123"/>
    <w:rsid w:val="00F173D8"/>
    <w:rsid w:val="00F22107"/>
    <w:rsid w:val="00F6300A"/>
    <w:rsid w:val="00F631B0"/>
    <w:rsid w:val="00F80973"/>
    <w:rsid w:val="00F933EF"/>
    <w:rsid w:val="00F951AD"/>
    <w:rsid w:val="00FA64EB"/>
    <w:rsid w:val="00FB0A9C"/>
    <w:rsid w:val="00FC4DCB"/>
    <w:rsid w:val="00FD1223"/>
    <w:rsid w:val="00FD7ABE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87B2C4-89C3-4741-8567-71F82A0E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0D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E63396"/>
    <w:rPr>
      <w:color w:val="000000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070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070D4"/>
    <w:rPr>
      <w:rFonts w:cs="Times New Roman"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070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070D4"/>
    <w:rPr>
      <w:rFonts w:cs="Times New Roman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B35B2"/>
    <w:rPr>
      <w:rFonts w:ascii="Tahoma" w:hAnsi="Tahoma" w:cs="Times New Roman"/>
      <w:sz w:val="16"/>
      <w:lang w:val="cs-CZ" w:eastAsia="cs-CZ"/>
    </w:rPr>
  </w:style>
  <w:style w:type="paragraph" w:customStyle="1" w:styleId="Texttabulky">
    <w:name w:val="Text tabulky"/>
    <w:uiPriority w:val="99"/>
    <w:rsid w:val="00CB64BD"/>
    <w:rPr>
      <w:color w:val="000000"/>
      <w:sz w:val="24"/>
      <w:lang w:eastAsia="cs-CZ"/>
    </w:rPr>
  </w:style>
  <w:style w:type="table" w:styleId="Mriekatabuky">
    <w:name w:val="Table Grid"/>
    <w:basedOn w:val="Normlnatabuka"/>
    <w:uiPriority w:val="99"/>
    <w:rsid w:val="00DF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MF-SR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sfaiglova</dc:creator>
  <cp:keywords/>
  <dc:description/>
  <cp:lastModifiedBy>Murinova Maria</cp:lastModifiedBy>
  <cp:revision>5</cp:revision>
  <cp:lastPrinted>2019-11-15T12:46:00Z</cp:lastPrinted>
  <dcterms:created xsi:type="dcterms:W3CDTF">2020-05-05T15:50:00Z</dcterms:created>
  <dcterms:modified xsi:type="dcterms:W3CDTF">2020-05-07T10:39:00Z</dcterms:modified>
</cp:coreProperties>
</file>