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E" w:rsidRPr="00413DE5" w:rsidRDefault="00750225" w:rsidP="005567FE">
      <w:pPr>
        <w:pStyle w:val="Hlavika"/>
        <w:tabs>
          <w:tab w:val="clear" w:pos="4536"/>
          <w:tab w:val="clear" w:pos="9072"/>
          <w:tab w:val="left" w:pos="4820"/>
          <w:tab w:val="right" w:pos="9214"/>
        </w:tabs>
        <w:rPr>
          <w:rFonts w:ascii="Corbel" w:hAnsi="Corbel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31750</wp:posOffset>
            </wp:positionV>
            <wp:extent cx="1732915" cy="438785"/>
            <wp:effectExtent l="0" t="0" r="0" b="0"/>
            <wp:wrapSquare wrapText="bothSides"/>
            <wp:docPr id="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FE">
        <w:rPr>
          <w:rFonts w:ascii="Corbel" w:hAnsi="Corbel"/>
          <w:color w:val="2E74B5" w:themeColor="accent1" w:themeShade="BF"/>
          <w:sz w:val="20"/>
          <w:szCs w:val="20"/>
        </w:rPr>
        <w:t xml:space="preserve">                                                                                                    </w:t>
      </w:r>
      <w:r w:rsidR="00A12BA5" w:rsidRPr="00D9191B">
        <w:rPr>
          <w:rFonts w:ascii="Calibri" w:hAnsi="Calibri"/>
          <w:color w:val="2E74B5" w:themeColor="accent1" w:themeShade="BF"/>
          <w:sz w:val="24"/>
          <w:szCs w:val="24"/>
        </w:rPr>
        <w:t>Sekcia daňová a colná</w:t>
      </w:r>
    </w:p>
    <w:p w:rsidR="00A15C2F" w:rsidRDefault="00A15C2F"/>
    <w:p w:rsidR="005567FE" w:rsidRDefault="005567FE"/>
    <w:p w:rsidR="005567FE" w:rsidRDefault="005567FE"/>
    <w:p w:rsidR="005567FE" w:rsidRPr="005B6BD2" w:rsidRDefault="005567FE" w:rsidP="00556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Oznámenie o začatí verejných e</w:t>
      </w:r>
      <w:r w:rsidRPr="005B6BD2">
        <w:rPr>
          <w:rFonts w:ascii="Times New Roman" w:hAnsi="Times New Roman"/>
          <w:b/>
          <w:sz w:val="28"/>
          <w:szCs w:val="28"/>
        </w:rPr>
        <w:t xml:space="preserve">x post </w:t>
      </w:r>
      <w:r>
        <w:rPr>
          <w:rFonts w:ascii="Times New Roman" w:hAnsi="Times New Roman"/>
          <w:b/>
          <w:sz w:val="28"/>
          <w:szCs w:val="28"/>
        </w:rPr>
        <w:t>konzultácii</w:t>
      </w:r>
    </w:p>
    <w:p w:rsidR="005567FE" w:rsidRDefault="005567FE" w:rsidP="005717DF">
      <w:pPr>
        <w:jc w:val="both"/>
        <w:rPr>
          <w:rFonts w:ascii="Times New Roman" w:hAnsi="Times New Roman"/>
          <w:sz w:val="24"/>
          <w:szCs w:val="24"/>
        </w:rPr>
      </w:pPr>
      <w:r w:rsidRPr="00413DE5">
        <w:rPr>
          <w:rFonts w:ascii="Times New Roman" w:hAnsi="Times New Roman"/>
          <w:sz w:val="24"/>
          <w:szCs w:val="24"/>
        </w:rPr>
        <w:t xml:space="preserve">Ministerstvo financií Slovenskej republiky  oznamuje, že dňa </w:t>
      </w:r>
      <w:r w:rsidR="0019746E">
        <w:rPr>
          <w:rFonts w:ascii="Times New Roman" w:hAnsi="Times New Roman"/>
          <w:sz w:val="24"/>
          <w:szCs w:val="24"/>
        </w:rPr>
        <w:t>20</w:t>
      </w:r>
      <w:r w:rsidRPr="00413DE5">
        <w:rPr>
          <w:rFonts w:ascii="Times New Roman" w:hAnsi="Times New Roman"/>
          <w:sz w:val="24"/>
          <w:szCs w:val="24"/>
        </w:rPr>
        <w:t xml:space="preserve">. októbra 2022 začína verejné ex post </w:t>
      </w:r>
      <w:r w:rsidR="00BA7E3A">
        <w:rPr>
          <w:rFonts w:ascii="Times New Roman" w:hAnsi="Times New Roman"/>
          <w:sz w:val="24"/>
          <w:szCs w:val="24"/>
        </w:rPr>
        <w:t>konzultácie s podnikateľskými subjektmi k ex post hodnoteniu</w:t>
      </w:r>
      <w:r w:rsidR="005717DF">
        <w:rPr>
          <w:rFonts w:ascii="Times New Roman" w:hAnsi="Times New Roman"/>
          <w:sz w:val="24"/>
          <w:szCs w:val="24"/>
        </w:rPr>
        <w:t xml:space="preserve"> nasledovnej</w:t>
      </w:r>
      <w:r w:rsidR="00BA7E3A">
        <w:rPr>
          <w:rFonts w:ascii="Times New Roman" w:hAnsi="Times New Roman"/>
          <w:sz w:val="24"/>
          <w:szCs w:val="24"/>
        </w:rPr>
        <w:t xml:space="preserve"> regulácie</w:t>
      </w:r>
      <w:r w:rsidR="0019746E" w:rsidRPr="0019746E">
        <w:rPr>
          <w:rFonts w:ascii="Times New Roman" w:hAnsi="Times New Roman"/>
          <w:sz w:val="24"/>
          <w:szCs w:val="24"/>
        </w:rPr>
        <w:t xml:space="preserve"> </w:t>
      </w:r>
      <w:r w:rsidR="0019746E">
        <w:rPr>
          <w:rFonts w:ascii="Times New Roman" w:hAnsi="Times New Roman"/>
          <w:sz w:val="24"/>
          <w:szCs w:val="24"/>
        </w:rPr>
        <w:t>v súlade s Jednotnou metodikou na posudzovanie vybraných vplyvov (ďalej len „JM“):</w:t>
      </w:r>
    </w:p>
    <w:p w:rsidR="0019746E" w:rsidRDefault="0019746E" w:rsidP="005717DF">
      <w:pPr>
        <w:jc w:val="both"/>
        <w:rPr>
          <w:rFonts w:ascii="Times New Roman" w:hAnsi="Times New Roman"/>
          <w:b/>
          <w:sz w:val="24"/>
          <w:szCs w:val="24"/>
        </w:rPr>
      </w:pPr>
    </w:p>
    <w:p w:rsidR="005717DF" w:rsidRDefault="005567FE" w:rsidP="005717DF">
      <w:pPr>
        <w:jc w:val="both"/>
        <w:rPr>
          <w:rFonts w:ascii="Times New Roman" w:hAnsi="Times New Roman"/>
          <w:sz w:val="24"/>
          <w:szCs w:val="24"/>
        </w:rPr>
      </w:pPr>
      <w:r w:rsidRPr="005B6BD2" w:rsidDel="001F1A30">
        <w:rPr>
          <w:rFonts w:ascii="Times New Roman" w:hAnsi="Times New Roman"/>
          <w:b/>
          <w:sz w:val="24"/>
          <w:szCs w:val="24"/>
        </w:rPr>
        <w:t xml:space="preserve">Gestor právneho predpisu: </w:t>
      </w:r>
      <w:r w:rsidR="005717DF">
        <w:rPr>
          <w:rFonts w:ascii="Times New Roman" w:hAnsi="Times New Roman"/>
          <w:b/>
          <w:sz w:val="24"/>
          <w:szCs w:val="24"/>
        </w:rPr>
        <w:t xml:space="preserve">  </w:t>
      </w:r>
      <w:r w:rsidR="005717DF" w:rsidRPr="005717DF">
        <w:rPr>
          <w:rFonts w:ascii="Times New Roman" w:hAnsi="Times New Roman"/>
          <w:sz w:val="24"/>
          <w:szCs w:val="24"/>
        </w:rPr>
        <w:t>Ministerstvo financií Slovenskej republiky</w:t>
      </w:r>
    </w:p>
    <w:p w:rsidR="005567FE" w:rsidRPr="005717DF" w:rsidRDefault="005567FE" w:rsidP="005717DF">
      <w:pPr>
        <w:jc w:val="both"/>
        <w:rPr>
          <w:rFonts w:ascii="Times New Roman" w:hAnsi="Times New Roman"/>
          <w:sz w:val="24"/>
          <w:szCs w:val="24"/>
        </w:rPr>
      </w:pPr>
      <w:r w:rsidRPr="005B6BD2" w:rsidDel="001F1A30">
        <w:rPr>
          <w:rFonts w:ascii="Times New Roman" w:hAnsi="Times New Roman"/>
          <w:b/>
          <w:sz w:val="24"/>
          <w:szCs w:val="24"/>
        </w:rPr>
        <w:t xml:space="preserve">Názov právneho predpisu: </w:t>
      </w:r>
      <w:r w:rsidR="005717DF">
        <w:rPr>
          <w:rFonts w:ascii="Times New Roman" w:hAnsi="Times New Roman"/>
          <w:b/>
          <w:sz w:val="24"/>
          <w:szCs w:val="24"/>
        </w:rPr>
        <w:t xml:space="preserve"> </w:t>
      </w:r>
      <w:r w:rsidR="005717DF" w:rsidRPr="005717DF">
        <w:rPr>
          <w:rFonts w:ascii="Times New Roman" w:hAnsi="Times New Roman"/>
          <w:sz w:val="24"/>
          <w:szCs w:val="24"/>
        </w:rPr>
        <w:t xml:space="preserve">Zákon </w:t>
      </w:r>
      <w:r w:rsidR="005717DF" w:rsidRPr="005717DF">
        <w:rPr>
          <w:rFonts w:ascii="Times New Roman" w:hAnsi="Times New Roman"/>
          <w:bCs/>
          <w:sz w:val="24"/>
          <w:szCs w:val="24"/>
        </w:rPr>
        <w:t xml:space="preserve">č. 530/2011 Z. z. o spotrebnej dani z alkoholických </w:t>
      </w:r>
      <w:r w:rsidR="005717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</w:t>
      </w:r>
      <w:r w:rsidR="005717DF" w:rsidRPr="005717DF">
        <w:rPr>
          <w:rFonts w:ascii="Times New Roman" w:hAnsi="Times New Roman"/>
          <w:bCs/>
          <w:sz w:val="24"/>
          <w:szCs w:val="24"/>
        </w:rPr>
        <w:t>nápojov v znení neskorších predpisov</w:t>
      </w:r>
      <w:r w:rsidR="005717DF">
        <w:rPr>
          <w:rFonts w:ascii="Times New Roman" w:hAnsi="Times New Roman"/>
          <w:bCs/>
          <w:sz w:val="24"/>
          <w:szCs w:val="24"/>
        </w:rPr>
        <w:t xml:space="preserve"> (ďalej len „zákon“)</w:t>
      </w:r>
    </w:p>
    <w:p w:rsidR="005567FE" w:rsidRPr="005B6BD2" w:rsidRDefault="005567FE" w:rsidP="005567FE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6BD2" w:rsidDel="001F1A30">
        <w:rPr>
          <w:rFonts w:ascii="Times New Roman" w:hAnsi="Times New Roman"/>
          <w:b/>
          <w:sz w:val="24"/>
          <w:szCs w:val="24"/>
        </w:rPr>
        <w:t xml:space="preserve">Špecifikácia: </w:t>
      </w:r>
      <w:r w:rsidRPr="005B6BD2">
        <w:rPr>
          <w:rFonts w:ascii="Times New Roman" w:hAnsi="Times New Roman"/>
          <w:b/>
          <w:sz w:val="24"/>
          <w:szCs w:val="24"/>
        </w:rPr>
        <w:tab/>
      </w:r>
    </w:p>
    <w:p w:rsidR="005567FE" w:rsidRPr="005B6BD2" w:rsidRDefault="005567FE" w:rsidP="005567FE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 w:rsidRPr="005B6BD2" w:rsidDel="001F1A30">
        <w:rPr>
          <w:rFonts w:ascii="Times New Roman" w:hAnsi="Times New Roman"/>
          <w:bCs/>
          <w:sz w:val="24"/>
          <w:szCs w:val="24"/>
        </w:rPr>
        <w:t>Internetový odkaz na ex ante štádium hodnoteného právneho predpisu:</w:t>
      </w:r>
      <w:r w:rsidRPr="005B6BD2" w:rsidDel="001F1A30">
        <w:t xml:space="preserve"> </w:t>
      </w:r>
      <w:r w:rsidRPr="005B6BD2">
        <w:rPr>
          <w:rStyle w:val="Hypertextovprepojenie"/>
          <w:rFonts w:ascii="Times New Roman" w:hAnsi="Times New Roman"/>
          <w:bCs/>
          <w:sz w:val="24"/>
          <w:szCs w:val="24"/>
        </w:rPr>
        <w:br/>
      </w:r>
      <w:r w:rsidR="005717DF">
        <w:rPr>
          <w:rFonts w:ascii="Times New Roman" w:hAnsi="Times New Roman"/>
          <w:bCs/>
          <w:sz w:val="24"/>
          <w:szCs w:val="24"/>
        </w:rPr>
        <w:t>-</w:t>
      </w:r>
    </w:p>
    <w:p w:rsidR="005567FE" w:rsidRPr="005B6BD2" w:rsidRDefault="005567FE" w:rsidP="005567FE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 w:rsidRPr="005B6BD2" w:rsidDel="001F1A30">
        <w:rPr>
          <w:rFonts w:ascii="Times New Roman" w:hAnsi="Times New Roman"/>
          <w:bCs/>
          <w:sz w:val="24"/>
          <w:szCs w:val="24"/>
        </w:rPr>
        <w:t xml:space="preserve">Číslo legislatívneho procesu hodnoteného právneho predpisu na portáli Slov-Lex: </w:t>
      </w:r>
      <w:r w:rsidRPr="005B6BD2">
        <w:rPr>
          <w:rFonts w:ascii="Times New Roman" w:hAnsi="Times New Roman"/>
          <w:bCs/>
          <w:sz w:val="24"/>
          <w:szCs w:val="24"/>
        </w:rPr>
        <w:br/>
      </w:r>
      <w:r w:rsidR="005717DF">
        <w:rPr>
          <w:rFonts w:ascii="Times New Roman" w:hAnsi="Times New Roman"/>
          <w:bCs/>
          <w:sz w:val="24"/>
          <w:szCs w:val="24"/>
        </w:rPr>
        <w:t>-</w:t>
      </w:r>
    </w:p>
    <w:p w:rsidR="005567FE" w:rsidRPr="005B6BD2" w:rsidRDefault="005567FE" w:rsidP="005567FE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 w:rsidRPr="005B6BD2" w:rsidDel="001F1A30">
        <w:rPr>
          <w:rFonts w:ascii="Times New Roman" w:hAnsi="Times New Roman"/>
          <w:bCs/>
          <w:sz w:val="24"/>
          <w:szCs w:val="24"/>
        </w:rPr>
        <w:t xml:space="preserve">Číslo parlamentnej tlače hodnoteného právneho predpisu: </w:t>
      </w:r>
    </w:p>
    <w:p w:rsidR="005567FE" w:rsidRPr="005B6BD2" w:rsidRDefault="00BE3A21" w:rsidP="005567FE">
      <w:pPr>
        <w:pStyle w:val="Odsekzoznamu"/>
        <w:tabs>
          <w:tab w:val="center" w:pos="453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</w:p>
    <w:p w:rsidR="005717DF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Lokalizácia: </w:t>
      </w:r>
      <w:r w:rsidRPr="005717DF">
        <w:rPr>
          <w:rFonts w:ascii="Times New Roman" w:hAnsi="Times New Roman"/>
          <w:sz w:val="24"/>
          <w:szCs w:val="24"/>
        </w:rPr>
        <w:t xml:space="preserve">§ 54 ods. </w:t>
      </w:r>
      <w:r w:rsidR="00434EB8">
        <w:rPr>
          <w:rFonts w:ascii="Times New Roman" w:hAnsi="Times New Roman"/>
          <w:sz w:val="24"/>
          <w:szCs w:val="24"/>
        </w:rPr>
        <w:t>19</w:t>
      </w:r>
      <w:r w:rsidRPr="005717DF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17DF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Číslo regulácie: </w:t>
      </w:r>
      <w:r w:rsidR="00434EB8">
        <w:rPr>
          <w:rFonts w:ascii="Times New Roman" w:hAnsi="Times New Roman"/>
          <w:sz w:val="24"/>
          <w:szCs w:val="24"/>
        </w:rPr>
        <w:t>1</w:t>
      </w:r>
    </w:p>
    <w:p w:rsidR="005717DF" w:rsidRDefault="005717DF" w:rsidP="0055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Dôvod zaradenia do registra: </w:t>
      </w:r>
      <w:r w:rsidRPr="005717D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M</w:t>
      </w:r>
      <w:r w:rsidRPr="005717DF">
        <w:rPr>
          <w:rFonts w:ascii="Times New Roman" w:hAnsi="Times New Roman"/>
          <w:sz w:val="24"/>
          <w:szCs w:val="24"/>
        </w:rPr>
        <w:t xml:space="preserve"> 10.3 písm. d)</w:t>
      </w:r>
    </w:p>
    <w:p w:rsidR="005717DF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 w:rsidRPr="005717DF">
        <w:rPr>
          <w:rFonts w:ascii="Times New Roman" w:hAnsi="Times New Roman"/>
          <w:b/>
          <w:sz w:val="24"/>
          <w:szCs w:val="24"/>
        </w:rPr>
        <w:t>Stručný opis regulácie:</w:t>
      </w:r>
      <w:r>
        <w:rPr>
          <w:rFonts w:ascii="Times New Roman" w:hAnsi="Times New Roman"/>
          <w:sz w:val="24"/>
          <w:szCs w:val="24"/>
        </w:rPr>
        <w:t xml:space="preserve"> </w:t>
      </w:r>
      <w:r w:rsidR="00434EB8" w:rsidRPr="00434EB8">
        <w:rPr>
          <w:rFonts w:ascii="Times New Roman" w:hAnsi="Times New Roman"/>
          <w:sz w:val="24"/>
          <w:szCs w:val="24"/>
        </w:rPr>
        <w:t>Povinnosť držiteľa povolenia alebo osoba oprávnená na distribúciu mať v prevádzkarni k dispozícií doklady o nákupe a predaji spotrebiteľského balenia liehu alebo ich kópie k aktuálnemu stavu zásob spotrebiteľského balenia, ktoré sa nachádza v prevádzkarni.</w:t>
      </w:r>
    </w:p>
    <w:p w:rsidR="005717DF" w:rsidRDefault="005717DF" w:rsidP="00571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Znenie podnetov z podnikateľského prostredia:</w:t>
      </w:r>
    </w:p>
    <w:p w:rsidR="005717DF" w:rsidRDefault="00434EB8" w:rsidP="0055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4EB8">
        <w:rPr>
          <w:rFonts w:ascii="Times New Roman" w:hAnsi="Times New Roman"/>
          <w:sz w:val="24"/>
          <w:szCs w:val="24"/>
        </w:rPr>
        <w:t xml:space="preserve">odľa § 54 ods. 19 zákona, držiteľ povolenia alebo osoba oprávnená na distribúciu je povinná mať v každej prevádzkarni k dispozícii doklady o nákupe a predaji spotrebiteľského balenia liehu </w:t>
      </w:r>
      <w:r w:rsidR="00C7536E">
        <w:rPr>
          <w:rFonts w:ascii="Times New Roman" w:hAnsi="Times New Roman"/>
          <w:sz w:val="24"/>
          <w:szCs w:val="24"/>
        </w:rPr>
        <w:t xml:space="preserve">(ďalej len „SBL“) </w:t>
      </w:r>
      <w:r w:rsidRPr="00434EB8">
        <w:rPr>
          <w:rFonts w:ascii="Times New Roman" w:hAnsi="Times New Roman"/>
          <w:sz w:val="24"/>
          <w:szCs w:val="24"/>
        </w:rPr>
        <w:t xml:space="preserve">alebo ich kópie k aktuálnemu stavu zásob, ktoré sa nachádzajú v prevádzkarni, čo je pre spoločnosti/ obchodníkov s veľkým počtom prevádzok v praxi nevykonateľné, z toho dôvodu navrhujeme upraviť ustanovenie tak, aby daňový subjekt mal doklady o nákupe a predaji </w:t>
      </w:r>
      <w:r w:rsidR="00C7536E">
        <w:rPr>
          <w:rFonts w:ascii="Times New Roman" w:hAnsi="Times New Roman"/>
          <w:sz w:val="24"/>
          <w:szCs w:val="24"/>
        </w:rPr>
        <w:t>SBL</w:t>
      </w:r>
      <w:r w:rsidRPr="00434EB8">
        <w:rPr>
          <w:rFonts w:ascii="Times New Roman" w:hAnsi="Times New Roman"/>
          <w:sz w:val="24"/>
          <w:szCs w:val="24"/>
        </w:rPr>
        <w:t xml:space="preserve"> k dispozícii v prevádzkarni alebo v sídle spoločnosti, resp. bol daňový subjekt povinný predložiť požadované doklady o nákupe a predaji spotrebiteľského balenia v lehote, ktorá je najmenej 5 pracovných dní.</w:t>
      </w:r>
    </w:p>
    <w:p w:rsidR="00C7536E" w:rsidRDefault="00C7536E" w:rsidP="005567FE">
      <w:pPr>
        <w:jc w:val="both"/>
        <w:rPr>
          <w:rFonts w:ascii="Times New Roman" w:hAnsi="Times New Roman"/>
          <w:b/>
          <w:sz w:val="24"/>
          <w:szCs w:val="24"/>
        </w:rPr>
      </w:pPr>
    </w:p>
    <w:p w:rsidR="009F119F" w:rsidRDefault="009F119F" w:rsidP="005567FE">
      <w:pPr>
        <w:jc w:val="both"/>
        <w:rPr>
          <w:rFonts w:ascii="Times New Roman" w:hAnsi="Times New Roman"/>
          <w:b/>
          <w:sz w:val="24"/>
          <w:szCs w:val="24"/>
        </w:rPr>
      </w:pPr>
    </w:p>
    <w:p w:rsidR="005717DF" w:rsidRDefault="005717DF" w:rsidP="005567FE">
      <w:pPr>
        <w:jc w:val="both"/>
        <w:rPr>
          <w:rFonts w:ascii="Times New Roman" w:hAnsi="Times New Roman"/>
          <w:sz w:val="24"/>
          <w:szCs w:val="24"/>
        </w:rPr>
      </w:pPr>
      <w:r w:rsidRPr="00BE3A21">
        <w:rPr>
          <w:rFonts w:ascii="Times New Roman" w:hAnsi="Times New Roman"/>
          <w:b/>
          <w:sz w:val="24"/>
          <w:szCs w:val="24"/>
        </w:rPr>
        <w:t>Termín ukončenia verejných konzultácii:</w:t>
      </w:r>
      <w:r>
        <w:rPr>
          <w:rFonts w:ascii="Times New Roman" w:hAnsi="Times New Roman"/>
          <w:sz w:val="24"/>
          <w:szCs w:val="24"/>
        </w:rPr>
        <w:t xml:space="preserve"> </w:t>
      </w:r>
      <w:r w:rsidR="001974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novembra 2022</w:t>
      </w:r>
    </w:p>
    <w:p w:rsidR="005567FE" w:rsidRDefault="0044262E" w:rsidP="00197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Predbežné </w:t>
      </w:r>
      <w:r w:rsidR="005567FE" w:rsidRPr="005B6BD2" w:rsidDel="001F1A30">
        <w:rPr>
          <w:rFonts w:ascii="Times New Roman" w:hAnsi="Times New Roman"/>
          <w:b/>
          <w:sz w:val="24"/>
          <w:szCs w:val="24"/>
        </w:rPr>
        <w:t>hodnotenie</w:t>
      </w:r>
      <w:r>
        <w:rPr>
          <w:rFonts w:ascii="Times New Roman" w:hAnsi="Times New Roman"/>
          <w:b/>
          <w:sz w:val="24"/>
          <w:szCs w:val="24"/>
        </w:rPr>
        <w:t xml:space="preserve"> návrhu gestorom</w:t>
      </w:r>
      <w:r w:rsidR="005567FE" w:rsidRPr="005B6BD2" w:rsidDel="001F1A30">
        <w:rPr>
          <w:rFonts w:ascii="Times New Roman" w:hAnsi="Times New Roman"/>
          <w:b/>
          <w:sz w:val="24"/>
          <w:szCs w:val="24"/>
        </w:rPr>
        <w:t>:</w:t>
      </w:r>
    </w:p>
    <w:p w:rsidR="0044262E" w:rsidRPr="00267828" w:rsidRDefault="0044262E" w:rsidP="001974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A21">
        <w:rPr>
          <w:rFonts w:ascii="Times New Roman" w:hAnsi="Times New Roman"/>
          <w:color w:val="000000"/>
          <w:sz w:val="24"/>
          <w:szCs w:val="24"/>
        </w:rPr>
        <w:t xml:space="preserve">V rámci opatrení prijatých na boj s daňovými únikmi na SD z liehu bol zavedený systém sledovania pohybu liehu od jeho výroby, spracovania, dovozu až po predaj konečnému spotrebiteľovi. Predmetný systém je založený na vyhotovovaní kontrolných známok určených na označovanie </w:t>
      </w:r>
      <w:r w:rsidR="00CC3185" w:rsidRPr="00BE3A21">
        <w:rPr>
          <w:rFonts w:ascii="Times New Roman" w:hAnsi="Times New Roman"/>
          <w:color w:val="000000"/>
          <w:sz w:val="24"/>
          <w:szCs w:val="24"/>
        </w:rPr>
        <w:t xml:space="preserve">SBL </w:t>
      </w:r>
      <w:r w:rsidRPr="00BE3A21">
        <w:rPr>
          <w:rFonts w:ascii="Times New Roman" w:hAnsi="Times New Roman"/>
          <w:color w:val="000000"/>
          <w:sz w:val="24"/>
          <w:szCs w:val="24"/>
        </w:rPr>
        <w:t xml:space="preserve">štátnou tlačiarňou cenín a ich jedinečných identifikačných číslach, prepojení so systémom vydávania povolení na distribúciu a predaj SBL, vedení evidencií o prijatých a vydaných SBL a povinnosti preukázať spôsob nadobudnutia SBL na každom stupni. Nastavený systém nie je samoúčelný a zbytočne zaťažujúci daňové subjekty, ale z dôvodu množstva vstupných údajov a komplikovaného vyhodnocovania zisťovaného stavu, vyžaduje presné dodržiavanie nastavených povinností. Správca dane pri výkone daňového dozoru potrebuje získavať informácie v reálnom čase, preveriť spôsob nadobudnutia SBL a zamedziť tak ponúkaniu nelegálne vyrobených SBL na predaj, čím chráni nielen príjmy štátneho rozpočtu, ale najmä zdravie konečného spotrebiteľa. </w:t>
      </w:r>
      <w:r w:rsidR="00CC3185">
        <w:rPr>
          <w:rFonts w:ascii="Times New Roman" w:hAnsi="Times New Roman"/>
          <w:color w:val="000000"/>
          <w:sz w:val="24"/>
          <w:szCs w:val="24"/>
        </w:rPr>
        <w:t xml:space="preserve">Z uvedených dôvodov je </w:t>
      </w:r>
      <w:r w:rsidR="00C7536E">
        <w:rPr>
          <w:rFonts w:ascii="Times New Roman" w:hAnsi="Times New Roman"/>
          <w:color w:val="000000"/>
          <w:sz w:val="24"/>
          <w:szCs w:val="24"/>
        </w:rPr>
        <w:t xml:space="preserve">možnosť preveriť na mieste a identifikovať SBL porovnaním s nadobúdacími dokladmi nevyhnutým predpokladom </w:t>
      </w:r>
      <w:r w:rsidR="00CC3185" w:rsidRPr="00267828">
        <w:rPr>
          <w:rFonts w:ascii="Times New Roman" w:hAnsi="Times New Roman"/>
          <w:color w:val="000000"/>
          <w:sz w:val="24"/>
          <w:szCs w:val="24"/>
        </w:rPr>
        <w:t>pre zachovanie</w:t>
      </w:r>
      <w:r w:rsidR="00267828" w:rsidRPr="00267828">
        <w:rPr>
          <w:rFonts w:ascii="Times New Roman" w:hAnsi="Times New Roman"/>
          <w:color w:val="000000"/>
          <w:sz w:val="24"/>
          <w:szCs w:val="24"/>
        </w:rPr>
        <w:t xml:space="preserve"> efektivity prijatých opatrení, ktoré vytvárajú</w:t>
      </w:r>
      <w:r w:rsidR="00267828" w:rsidRPr="00267828">
        <w:rPr>
          <w:rFonts w:ascii="Times New Roman" w:hAnsi="Times New Roman"/>
          <w:sz w:val="24"/>
          <w:szCs w:val="24"/>
        </w:rPr>
        <w:t xml:space="preserve"> priaznivé podnikateľské prostredie pre tie subjekty, ktoré si riadne plnia svoje povinnosti a podnikajú v súlade s právnymi predpismi upravujúcimi túto oblasť. </w:t>
      </w:r>
    </w:p>
    <w:p w:rsidR="00945A9C" w:rsidRDefault="00945A9C" w:rsidP="00945A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Verejné </w:t>
      </w:r>
      <w:r w:rsidR="00267828">
        <w:rPr>
          <w:rFonts w:ascii="Times New Roman" w:hAnsi="Times New Roman"/>
          <w:color w:val="000000"/>
          <w:sz w:val="24"/>
          <w:szCs w:val="24"/>
        </w:rPr>
        <w:t xml:space="preserve">ex post </w:t>
      </w:r>
      <w:r>
        <w:rPr>
          <w:rFonts w:ascii="Times New Roman" w:hAnsi="Times New Roman"/>
          <w:color w:val="000000"/>
          <w:sz w:val="24"/>
          <w:szCs w:val="24"/>
        </w:rPr>
        <w:t xml:space="preserve">konzultácie je možné vykonať formou dotazníka, ktorý je prílohou tohto oznámenia a je zverejnený na webovom sídle Ministerstva financií SR. Vyplnený dotazník zašlite na email </w:t>
      </w:r>
      <w:hyperlink r:id="rId8" w:history="1">
        <w:r w:rsidRPr="008A1EA0">
          <w:rPr>
            <w:rStyle w:val="Hypertextovprepojenie"/>
            <w:rFonts w:ascii="Times New Roman" w:hAnsi="Times New Roman"/>
            <w:b/>
            <w:sz w:val="24"/>
            <w:szCs w:val="24"/>
          </w:rPr>
          <w:t>expost.sd@mfsr.sk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5567FE" w:rsidRDefault="0044262E" w:rsidP="005567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Kontaktné osoby: Ing. Michaela Jarošová, </w:t>
      </w:r>
      <w:hyperlink r:id="rId9" w:history="1">
        <w:r w:rsidR="00BE3A21" w:rsidRPr="008A1EA0">
          <w:rPr>
            <w:rStyle w:val="Hypertextovprepojenie"/>
            <w:rFonts w:ascii="Times New Roman" w:hAnsi="Times New Roman"/>
            <w:b/>
            <w:sz w:val="24"/>
            <w:szCs w:val="24"/>
          </w:rPr>
          <w:t>expost.sd@mfsr.sk</w:t>
        </w:r>
      </w:hyperlink>
    </w:p>
    <w:p w:rsidR="00BE3A21" w:rsidRDefault="00945A9C" w:rsidP="00556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45A9C">
        <w:rPr>
          <w:rFonts w:ascii="Times New Roman" w:hAnsi="Times New Roman"/>
          <w:sz w:val="24"/>
          <w:szCs w:val="24"/>
        </w:rPr>
        <w:t>02/59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A9C">
        <w:rPr>
          <w:rFonts w:ascii="Times New Roman" w:hAnsi="Times New Roman"/>
          <w:sz w:val="24"/>
          <w:szCs w:val="24"/>
        </w:rPr>
        <w:t>58 34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A9C">
        <w:rPr>
          <w:rFonts w:ascii="Times New Roman" w:hAnsi="Times New Roman"/>
          <w:sz w:val="24"/>
          <w:szCs w:val="24"/>
        </w:rPr>
        <w:t>96</w:t>
      </w: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19746E" w:rsidRDefault="0019746E" w:rsidP="005567FE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817586" w:rsidRDefault="00A81538" w:rsidP="00A81538">
      <w:pPr>
        <w:spacing w:after="0"/>
        <w:jc w:val="right"/>
        <w:rPr>
          <w:rFonts w:ascii="Times New Roman" w:hAnsi="Times New Roman"/>
        </w:rPr>
      </w:pPr>
      <w:r w:rsidRPr="00817586">
        <w:rPr>
          <w:rFonts w:ascii="Times New Roman" w:hAnsi="Times New Roman"/>
        </w:rPr>
        <w:lastRenderedPageBreak/>
        <w:t xml:space="preserve">Príloha </w:t>
      </w:r>
    </w:p>
    <w:p w:rsidR="00A81538" w:rsidRPr="006620D0" w:rsidRDefault="00A81538" w:rsidP="00A815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Dotazník k ex post hodnoteniu regulácie č.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1538" w:rsidRPr="006620D0" w:rsidRDefault="00A81538" w:rsidP="00A8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Lokalizácia hodnotenej regulácie: </w:t>
      </w:r>
      <w:r w:rsidRPr="006620D0">
        <w:rPr>
          <w:rFonts w:ascii="Times New Roman" w:hAnsi="Times New Roman"/>
          <w:sz w:val="24"/>
          <w:szCs w:val="24"/>
        </w:rPr>
        <w:t xml:space="preserve">§ 54 ods. </w:t>
      </w:r>
      <w:r>
        <w:rPr>
          <w:rFonts w:ascii="Times New Roman" w:hAnsi="Times New Roman"/>
          <w:sz w:val="24"/>
          <w:szCs w:val="24"/>
        </w:rPr>
        <w:t>19</w:t>
      </w:r>
      <w:r w:rsidRPr="006620D0">
        <w:rPr>
          <w:rFonts w:ascii="Times New Roman" w:hAnsi="Times New Roman"/>
          <w:sz w:val="24"/>
          <w:szCs w:val="24"/>
        </w:rPr>
        <w:t xml:space="preserve"> zákona č. 530/2011 Z. z. o spotrebnej dani z alkoholických nápojov v znení neskorších predpisov</w:t>
      </w: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Default="00A81538" w:rsidP="00A815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Identifikačné údaje subjektu</w:t>
      </w:r>
      <w:r w:rsidRPr="006620D0">
        <w:rPr>
          <w:rFonts w:ascii="Times New Roman" w:hAnsi="Times New Roman"/>
          <w:sz w:val="24"/>
          <w:szCs w:val="24"/>
        </w:rPr>
        <w:t xml:space="preserve"> (meno a priezvisko/obchodné meno, trvalý pobyt/sídlo, IČO):</w:t>
      </w: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Kontaktné údaje subjektu</w:t>
      </w:r>
      <w:r w:rsidRPr="006620D0">
        <w:rPr>
          <w:rFonts w:ascii="Times New Roman" w:hAnsi="Times New Roman"/>
          <w:sz w:val="24"/>
          <w:szCs w:val="24"/>
        </w:rPr>
        <w:t xml:space="preserve"> (tel. číslo/e-mail) za účelom príp. pozvánky na cielené konzultácie: </w:t>
      </w: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A81538" w:rsidRPr="006620D0" w:rsidTr="00DD6135">
        <w:tc>
          <w:tcPr>
            <w:tcW w:w="2912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Počet zamestnancov 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Čistý obrat subjektu </w:t>
            </w:r>
          </w:p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(výnosy z predaja výrobkov, tovarov a služieb)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Hodnota majetku subjektu </w:t>
            </w:r>
          </w:p>
        </w:tc>
      </w:tr>
      <w:tr w:rsidR="00A81538" w:rsidRPr="006620D0" w:rsidTr="00DD6135">
        <w:tc>
          <w:tcPr>
            <w:tcW w:w="2912" w:type="dxa"/>
          </w:tcPr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250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500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1 000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1 000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 tis.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250 tis.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500 tis.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1 mil.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1 mil.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43 mil.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43 mil.</w:t>
            </w:r>
          </w:p>
        </w:tc>
      </w:tr>
    </w:tbl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Popíšte Vami realizovaný spôsob </w:t>
      </w:r>
      <w:r>
        <w:rPr>
          <w:rFonts w:ascii="Times New Roman" w:hAnsi="Times New Roman"/>
          <w:b/>
          <w:sz w:val="24"/>
          <w:szCs w:val="24"/>
        </w:rPr>
        <w:t>zaobchádzania s dokladmi</w:t>
      </w:r>
      <w:r w:rsidRPr="006620D0">
        <w:rPr>
          <w:rFonts w:ascii="Times New Roman" w:hAnsi="Times New Roman"/>
          <w:sz w:val="24"/>
          <w:szCs w:val="24"/>
        </w:rPr>
        <w:t xml:space="preserve"> (napr. uviesť poče</w:t>
      </w:r>
      <w:r>
        <w:rPr>
          <w:rFonts w:ascii="Times New Roman" w:hAnsi="Times New Roman"/>
          <w:sz w:val="24"/>
          <w:szCs w:val="24"/>
        </w:rPr>
        <w:t>t zamestnancov zabezpečujúcich dodanie dokladov na prevádzkareň, počet prevádzkarní, spôsob dodania</w:t>
      </w:r>
      <w:r w:rsidRPr="0066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dokladov na prevádzku osobne</w:t>
      </w:r>
      <w:r w:rsidRPr="006620D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elektronicky/</w:t>
      </w:r>
      <w:r w:rsidRPr="006620D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systém</w:t>
      </w:r>
      <w:r w:rsidRPr="006620D0">
        <w:rPr>
          <w:rFonts w:ascii="Times New Roman" w:hAnsi="Times New Roman"/>
          <w:sz w:val="24"/>
          <w:szCs w:val="24"/>
        </w:rPr>
        <w:t xml:space="preserve">, iné skutočnosti...): </w:t>
      </w: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Uveďte </w:t>
      </w:r>
      <w:r>
        <w:rPr>
          <w:rFonts w:ascii="Times New Roman" w:hAnsi="Times New Roman"/>
          <w:b/>
          <w:sz w:val="24"/>
          <w:szCs w:val="24"/>
        </w:rPr>
        <w:t xml:space="preserve">osobitne </w:t>
      </w:r>
      <w:r w:rsidRPr="006620D0">
        <w:rPr>
          <w:rFonts w:ascii="Times New Roman" w:hAnsi="Times New Roman"/>
          <w:b/>
          <w:sz w:val="24"/>
          <w:szCs w:val="24"/>
        </w:rPr>
        <w:t xml:space="preserve">čas potrebný na </w:t>
      </w:r>
      <w:r>
        <w:rPr>
          <w:rFonts w:ascii="Times New Roman" w:hAnsi="Times New Roman"/>
          <w:b/>
          <w:sz w:val="24"/>
          <w:szCs w:val="24"/>
        </w:rPr>
        <w:t xml:space="preserve">prípravu a zaslanie dokladov na prevádzkareň </w:t>
      </w:r>
      <w:r w:rsidRPr="006620D0">
        <w:rPr>
          <w:rFonts w:ascii="Times New Roman" w:hAnsi="Times New Roman"/>
          <w:b/>
          <w:sz w:val="24"/>
          <w:szCs w:val="24"/>
        </w:rPr>
        <w:t xml:space="preserve">za kalendárny mesiac (v min.): </w:t>
      </w: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lastRenderedPageBreak/>
        <w:t>Vyčíslite priemerné mesačné náklady spojené so spracovaním a</w:t>
      </w:r>
      <w:r>
        <w:rPr>
          <w:rFonts w:ascii="Times New Roman" w:hAnsi="Times New Roman"/>
          <w:b/>
          <w:sz w:val="24"/>
          <w:szCs w:val="24"/>
        </w:rPr>
        <w:t> zaslaním dokladov</w:t>
      </w:r>
      <w:r w:rsidRPr="006620D0">
        <w:rPr>
          <w:rFonts w:ascii="Times New Roman" w:hAnsi="Times New Roman"/>
          <w:b/>
          <w:sz w:val="24"/>
          <w:szCs w:val="24"/>
        </w:rPr>
        <w:t xml:space="preserve">: </w:t>
      </w:r>
      <w:r w:rsidRPr="006620D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A81538" w:rsidRPr="006620D0" w:rsidTr="00DD6135">
        <w:tc>
          <w:tcPr>
            <w:tcW w:w="2977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 xml:space="preserve">  Výška priemerných mesačných nákladov </w:t>
            </w:r>
          </w:p>
        </w:tc>
      </w:tr>
      <w:tr w:rsidR="00A81538" w:rsidRPr="006620D0" w:rsidTr="00DD6135">
        <w:tc>
          <w:tcPr>
            <w:tcW w:w="2977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Personálne</w:t>
            </w:r>
          </w:p>
        </w:tc>
        <w:tc>
          <w:tcPr>
            <w:tcW w:w="5670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8" w:rsidRPr="006620D0" w:rsidTr="00DD6135">
        <w:tc>
          <w:tcPr>
            <w:tcW w:w="2977" w:type="dxa"/>
          </w:tcPr>
          <w:p w:rsidR="00A81538" w:rsidRPr="006620D0" w:rsidRDefault="00A81538" w:rsidP="00DD6135">
            <w:pPr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Vecné (IT, kanc. potreby...)</w:t>
            </w:r>
          </w:p>
        </w:tc>
        <w:tc>
          <w:tcPr>
            <w:tcW w:w="5670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8" w:rsidRPr="006620D0" w:rsidTr="00DD6135">
        <w:tc>
          <w:tcPr>
            <w:tcW w:w="2977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Iné – uveďte aké ...</w:t>
            </w:r>
          </w:p>
        </w:tc>
        <w:tc>
          <w:tcPr>
            <w:tcW w:w="5670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538" w:rsidRPr="006620D0" w:rsidRDefault="00A81538" w:rsidP="00A81538">
      <w:pPr>
        <w:jc w:val="both"/>
        <w:rPr>
          <w:rFonts w:ascii="Times New Roman" w:hAnsi="Times New Roman"/>
          <w:smallCaps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mallCaps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mallCaps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 xml:space="preserve">Popíšte, akým spôsobom ovplyvňuje regulácia výšku Vašich nákladov: </w:t>
      </w: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Uveďte a popíšte Váš návrh na riešenie problému na zlepšenie regulácie s prihliadnutím na zámer zavedenej regulácie, vrátane vyčíslenia úspory nákladov vyplývajúcej z Vášho návrhu:</w:t>
      </w:r>
      <w:r w:rsidRPr="006620D0">
        <w:rPr>
          <w:rFonts w:ascii="Times New Roman" w:hAnsi="Times New Roman"/>
          <w:b/>
          <w:sz w:val="24"/>
          <w:szCs w:val="24"/>
        </w:rPr>
        <w:tab/>
      </w:r>
      <w:r w:rsidRPr="006620D0">
        <w:rPr>
          <w:rFonts w:ascii="Times New Roman" w:hAnsi="Times New Roman"/>
          <w:b/>
          <w:sz w:val="24"/>
          <w:szCs w:val="24"/>
        </w:rPr>
        <w:tab/>
      </w: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2"/>
        <w:gridCol w:w="5685"/>
      </w:tblGrid>
      <w:tr w:rsidR="00A81538" w:rsidRPr="006620D0" w:rsidTr="00DD6135">
        <w:tc>
          <w:tcPr>
            <w:tcW w:w="0" w:type="auto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5685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>Priemerná mesačná úspora nákladov</w:t>
            </w:r>
          </w:p>
        </w:tc>
      </w:tr>
      <w:tr w:rsidR="00A81538" w:rsidRPr="006620D0" w:rsidTr="00DD6135">
        <w:tc>
          <w:tcPr>
            <w:tcW w:w="0" w:type="auto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Personálne</w:t>
            </w:r>
          </w:p>
        </w:tc>
        <w:tc>
          <w:tcPr>
            <w:tcW w:w="5685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8" w:rsidRPr="006620D0" w:rsidTr="00DD6135">
        <w:tc>
          <w:tcPr>
            <w:tcW w:w="0" w:type="auto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Vecné (IT, kanc. potreby....)</w:t>
            </w:r>
          </w:p>
        </w:tc>
        <w:tc>
          <w:tcPr>
            <w:tcW w:w="5685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8" w:rsidRPr="006620D0" w:rsidTr="00DD6135">
        <w:tc>
          <w:tcPr>
            <w:tcW w:w="0" w:type="auto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Iné – uveďte aké...</w:t>
            </w:r>
          </w:p>
        </w:tc>
        <w:tc>
          <w:tcPr>
            <w:tcW w:w="5685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538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Uveďte časovú úsporu vyplývajúcu z Vami navrhovaného riešenia za kalendárny mesiac (v min.):</w:t>
      </w:r>
    </w:p>
    <w:p w:rsidR="00A81538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Default="00A81538" w:rsidP="00A81538">
      <w:pPr>
        <w:jc w:val="both"/>
        <w:rPr>
          <w:rFonts w:ascii="Times New Roman" w:hAnsi="Times New Roman"/>
          <w:b/>
          <w:sz w:val="24"/>
          <w:szCs w:val="24"/>
        </w:rPr>
      </w:pPr>
    </w:p>
    <w:p w:rsidR="00A81538" w:rsidRPr="006620D0" w:rsidRDefault="00A81538" w:rsidP="00A81538">
      <w:pPr>
        <w:jc w:val="both"/>
        <w:rPr>
          <w:rFonts w:ascii="Times New Roman" w:hAnsi="Times New Roman"/>
          <w:b/>
          <w:sz w:val="24"/>
          <w:szCs w:val="24"/>
        </w:rPr>
      </w:pPr>
    </w:p>
    <w:p w:rsidR="0019746E" w:rsidRPr="00945A9C" w:rsidRDefault="00A81538" w:rsidP="009F119F">
      <w:pPr>
        <w:jc w:val="both"/>
        <w:rPr>
          <w:rFonts w:ascii="Times New Roman" w:hAnsi="Times New Roman"/>
          <w:sz w:val="24"/>
          <w:szCs w:val="24"/>
        </w:rPr>
      </w:pPr>
      <w:r w:rsidRPr="0069250C">
        <w:rPr>
          <w:rFonts w:ascii="Times New Roman" w:hAnsi="Times New Roman"/>
          <w:sz w:val="24"/>
          <w:szCs w:val="24"/>
        </w:rPr>
        <w:t xml:space="preserve">ĎAKUJEME ZA VYPLNENIE A ZASLANIE DOTAZNÍKA NA ADRESU: </w:t>
      </w:r>
      <w:hyperlink r:id="rId10" w:history="1">
        <w:r w:rsidRPr="00F50B2E">
          <w:rPr>
            <w:rStyle w:val="Hypertextovprepojenie"/>
            <w:rFonts w:ascii="Times New Roman" w:hAnsi="Times New Roman"/>
            <w:sz w:val="24"/>
            <w:szCs w:val="24"/>
          </w:rPr>
          <w:t>expost.sd@mfsr.sk</w:t>
        </w:r>
      </w:hyperlink>
      <w:bookmarkStart w:id="0" w:name="_GoBack"/>
      <w:bookmarkEnd w:id="0"/>
    </w:p>
    <w:sectPr w:rsidR="0019746E" w:rsidRPr="0094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25" w:rsidRDefault="00750225" w:rsidP="005567FE">
      <w:pPr>
        <w:spacing w:after="0" w:line="240" w:lineRule="auto"/>
      </w:pPr>
      <w:r>
        <w:separator/>
      </w:r>
    </w:p>
  </w:endnote>
  <w:endnote w:type="continuationSeparator" w:id="0">
    <w:p w:rsidR="00750225" w:rsidRDefault="00750225" w:rsidP="005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25" w:rsidRDefault="00750225" w:rsidP="005567FE">
      <w:pPr>
        <w:spacing w:after="0" w:line="240" w:lineRule="auto"/>
      </w:pPr>
      <w:r>
        <w:separator/>
      </w:r>
    </w:p>
  </w:footnote>
  <w:footnote w:type="continuationSeparator" w:id="0">
    <w:p w:rsidR="00750225" w:rsidRDefault="00750225" w:rsidP="0055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E"/>
    <w:rsid w:val="0019746E"/>
    <w:rsid w:val="001E1FA6"/>
    <w:rsid w:val="001F1A30"/>
    <w:rsid w:val="00267828"/>
    <w:rsid w:val="003B2EBC"/>
    <w:rsid w:val="003D0B16"/>
    <w:rsid w:val="0041272A"/>
    <w:rsid w:val="00413DE5"/>
    <w:rsid w:val="00434EB8"/>
    <w:rsid w:val="00435C6E"/>
    <w:rsid w:val="0044262E"/>
    <w:rsid w:val="0049188A"/>
    <w:rsid w:val="005567FE"/>
    <w:rsid w:val="005717DF"/>
    <w:rsid w:val="005B6BD2"/>
    <w:rsid w:val="006620D0"/>
    <w:rsid w:val="0069250C"/>
    <w:rsid w:val="00750225"/>
    <w:rsid w:val="007C200B"/>
    <w:rsid w:val="00817586"/>
    <w:rsid w:val="008A1EA0"/>
    <w:rsid w:val="00941AC8"/>
    <w:rsid w:val="0094482D"/>
    <w:rsid w:val="00945A9C"/>
    <w:rsid w:val="009A6695"/>
    <w:rsid w:val="009F119F"/>
    <w:rsid w:val="00A12BA5"/>
    <w:rsid w:val="00A15C2F"/>
    <w:rsid w:val="00A235DA"/>
    <w:rsid w:val="00A81538"/>
    <w:rsid w:val="00BA7E3A"/>
    <w:rsid w:val="00BE3A21"/>
    <w:rsid w:val="00C418DC"/>
    <w:rsid w:val="00C7536E"/>
    <w:rsid w:val="00CC3185"/>
    <w:rsid w:val="00CF70F2"/>
    <w:rsid w:val="00D46318"/>
    <w:rsid w:val="00D875DE"/>
    <w:rsid w:val="00D9191B"/>
    <w:rsid w:val="00DD6135"/>
    <w:rsid w:val="00E15B44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1812"/>
  <w14:defaultImageDpi w14:val="0"/>
  <w15:docId w15:val="{C72F5812-3838-4851-A8BA-B167840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67FE"/>
    <w:rPr>
      <w:rFonts w:cs="Times New Roman"/>
    </w:rPr>
  </w:style>
  <w:style w:type="paragraph" w:styleId="Odsekzoznamu">
    <w:name w:val="List Paragraph"/>
    <w:basedOn w:val="Normlny"/>
    <w:uiPriority w:val="34"/>
    <w:qFormat/>
    <w:rsid w:val="005567F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567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567FE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67FE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567F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3A2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974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st.sd@mf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post.sd@mf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st.sd@mf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Ferus Marek</cp:lastModifiedBy>
  <cp:revision>3</cp:revision>
  <cp:lastPrinted>2022-10-19T07:03:00Z</cp:lastPrinted>
  <dcterms:created xsi:type="dcterms:W3CDTF">2022-10-20T12:21:00Z</dcterms:created>
  <dcterms:modified xsi:type="dcterms:W3CDTF">2022-10-20T12:22:00Z</dcterms:modified>
</cp:coreProperties>
</file>