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CB8B5" w14:textId="77777777" w:rsidR="00D03E5D" w:rsidRPr="002D7AC4" w:rsidRDefault="00D03E5D" w:rsidP="00D03E5D">
      <w:pPr>
        <w:spacing w:after="200" w:line="276" w:lineRule="auto"/>
        <w:rPr>
          <w:noProof/>
          <w:lang w:eastAsia="sk-SK"/>
        </w:rPr>
      </w:pPr>
      <w:r w:rsidRPr="002D7AC4">
        <w:rPr>
          <w:noProof/>
          <w:color w:val="2B579A"/>
          <w:shd w:val="clear" w:color="auto" w:fill="E6E6E6"/>
          <w:lang w:eastAsia="sk-S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14D7FC" wp14:editId="78AEC1AD">
                <wp:simplePos x="0" y="0"/>
                <wp:positionH relativeFrom="margin">
                  <wp:posOffset>1224280</wp:posOffset>
                </wp:positionH>
                <wp:positionV relativeFrom="page">
                  <wp:posOffset>895350</wp:posOffset>
                </wp:positionV>
                <wp:extent cx="3305175" cy="628650"/>
                <wp:effectExtent l="0" t="0" r="9525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2D5BC" w14:textId="77777777" w:rsidR="00D03E5D" w:rsidRPr="00FD5E26" w:rsidRDefault="00D03E5D" w:rsidP="00D03E5D">
                            <w:pPr>
                              <w:jc w:val="center"/>
                              <w:rPr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EB38BE">
                              <w:rPr>
                                <w:color w:val="0070C0"/>
                                <w:sz w:val="52"/>
                                <w:szCs w:val="52"/>
                              </w:rPr>
                              <w:t>Útvar hodnoty za peniaze</w:t>
                            </w:r>
                          </w:p>
                          <w:p w14:paraId="499E3A2E" w14:textId="77777777" w:rsidR="00D03E5D" w:rsidRDefault="00D03E5D" w:rsidP="00D03E5D">
                            <w:pPr>
                              <w:jc w:val="center"/>
                              <w:rPr>
                                <w:color w:val="0070C0"/>
                                <w:sz w:val="52"/>
                                <w:szCs w:val="52"/>
                              </w:rPr>
                            </w:pPr>
                          </w:p>
                          <w:p w14:paraId="562AC8FB" w14:textId="77777777" w:rsidR="00D03E5D" w:rsidRPr="008A04D5" w:rsidRDefault="00D03E5D" w:rsidP="00D03E5D">
                            <w:pPr>
                              <w:jc w:val="center"/>
                              <w:rPr>
                                <w:color w:val="0070C0"/>
                                <w:sz w:val="52"/>
                                <w:szCs w:val="52"/>
                              </w:rPr>
                            </w:pPr>
                          </w:p>
                          <w:p w14:paraId="426D2FF5" w14:textId="77777777" w:rsidR="00D03E5D" w:rsidRPr="008A04D5" w:rsidRDefault="00D03E5D" w:rsidP="00D03E5D">
                            <w:pPr>
                              <w:rPr>
                                <w:color w:val="5B9BD5" w:themeColor="accent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4D7F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96.4pt;margin-top:70.5pt;width:260.25pt;height:49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" fillcolor="white [3201]" stroked="f" strokeweight=".5pt">
                <v:textbox>
                  <w:txbxContent>
                    <w:p w14:paraId="0C12D5BC" w14:textId="77777777" w:rsidR="00D03E5D" w:rsidRPr="00FD5E26" w:rsidRDefault="00D03E5D" w:rsidP="00D03E5D">
                      <w:pPr>
                        <w:jc w:val="center"/>
                        <w:rPr>
                          <w:color w:val="0070C0"/>
                          <w:sz w:val="52"/>
                          <w:szCs w:val="52"/>
                        </w:rPr>
                      </w:pPr>
                      <w:r w:rsidRPr="00EB38BE">
                        <w:rPr>
                          <w:color w:val="0070C0"/>
                          <w:sz w:val="52"/>
                          <w:szCs w:val="52"/>
                        </w:rPr>
                        <w:t>Útvar hodnoty za peniaze</w:t>
                      </w:r>
                    </w:p>
                    <w:p w14:paraId="499E3A2E" w14:textId="77777777" w:rsidR="00D03E5D" w:rsidRDefault="00D03E5D" w:rsidP="00D03E5D">
                      <w:pPr>
                        <w:jc w:val="center"/>
                        <w:rPr>
                          <w:color w:val="0070C0"/>
                          <w:sz w:val="52"/>
                          <w:szCs w:val="52"/>
                        </w:rPr>
                      </w:pPr>
                    </w:p>
                    <w:p w14:paraId="562AC8FB" w14:textId="77777777" w:rsidR="00D03E5D" w:rsidRPr="008A04D5" w:rsidRDefault="00D03E5D" w:rsidP="00D03E5D">
                      <w:pPr>
                        <w:jc w:val="center"/>
                        <w:rPr>
                          <w:color w:val="0070C0"/>
                          <w:sz w:val="52"/>
                          <w:szCs w:val="52"/>
                        </w:rPr>
                      </w:pPr>
                    </w:p>
                    <w:p w14:paraId="426D2FF5" w14:textId="77777777" w:rsidR="00D03E5D" w:rsidRPr="008A04D5" w:rsidRDefault="00D03E5D" w:rsidP="00D03E5D">
                      <w:pPr>
                        <w:rPr>
                          <w:color w:val="5B9BD5" w:themeColor="accent1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3C6FE19" w14:textId="77777777" w:rsidR="00D03E5D" w:rsidRPr="002D7AC4" w:rsidRDefault="00D03E5D" w:rsidP="00D03E5D">
      <w:pPr>
        <w:tabs>
          <w:tab w:val="left" w:pos="3945"/>
        </w:tabs>
        <w:spacing w:after="200" w:line="276" w:lineRule="auto"/>
      </w:pPr>
      <w:r w:rsidRPr="002D7AC4">
        <w:rPr>
          <w:noProof/>
          <w:color w:val="2B579A"/>
          <w:shd w:val="clear" w:color="auto" w:fill="E6E6E6"/>
          <w:lang w:eastAsia="sk-SK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348EF99" wp14:editId="001CB433">
                <wp:simplePos x="0" y="0"/>
                <wp:positionH relativeFrom="margin">
                  <wp:posOffset>1500505</wp:posOffset>
                </wp:positionH>
                <wp:positionV relativeFrom="page">
                  <wp:posOffset>1428750</wp:posOffset>
                </wp:positionV>
                <wp:extent cx="2762250" cy="361950"/>
                <wp:effectExtent l="0" t="0" r="0" b="0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0CD1E0" w14:textId="77777777" w:rsidR="00D03E5D" w:rsidRPr="0095203C" w:rsidRDefault="00D03E5D" w:rsidP="00D03E5D">
                            <w:pPr>
                              <w:jc w:val="center"/>
                              <w:rPr>
                                <w:color w:val="5B9BD5" w:themeColor="accent1"/>
                              </w:rPr>
                            </w:pPr>
                            <w:r w:rsidRPr="0095203C">
                              <w:rPr>
                                <w:color w:val="5B9BD5" w:themeColor="accent1"/>
                              </w:rPr>
                              <w:t>Ministerstvo financií SR / www.finance.gov.sk/uhp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8EF99" id="Textové pole 23" o:spid="_x0000_s1027" type="#_x0000_t202" style="position:absolute;left:0;text-align:left;margin-left:118.15pt;margin-top:112.5pt;width:217.5pt;height:28.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" fillcolor="white [3201]" stroked="f" strokeweight=".5pt">
                <v:textbox>
                  <w:txbxContent>
                    <w:p w14:paraId="2B0CD1E0" w14:textId="77777777" w:rsidR="00D03E5D" w:rsidRPr="0095203C" w:rsidRDefault="00D03E5D" w:rsidP="00D03E5D">
                      <w:pPr>
                        <w:jc w:val="center"/>
                        <w:rPr>
                          <w:color w:val="5B9BD5" w:themeColor="accent1"/>
                        </w:rPr>
                      </w:pPr>
                      <w:r w:rsidRPr="0095203C">
                        <w:rPr>
                          <w:color w:val="5B9BD5" w:themeColor="accent1"/>
                        </w:rPr>
                        <w:t>Ministerstvo financií SR / www.finance.gov.sk/uhp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2D7AC4">
        <w:tab/>
      </w:r>
    </w:p>
    <w:p w14:paraId="640EF925" w14:textId="77777777" w:rsidR="00D03E5D" w:rsidRPr="002D7AC4" w:rsidRDefault="00D03E5D" w:rsidP="00D03E5D">
      <w:pPr>
        <w:spacing w:after="200" w:line="276" w:lineRule="auto"/>
      </w:pPr>
    </w:p>
    <w:p w14:paraId="2D78E825" w14:textId="77777777" w:rsidR="00D03E5D" w:rsidRPr="002D7AC4" w:rsidRDefault="00D03E5D" w:rsidP="00D03E5D">
      <w:pPr>
        <w:spacing w:after="200" w:line="276" w:lineRule="auto"/>
      </w:pPr>
    </w:p>
    <w:p w14:paraId="126E95E8" w14:textId="77777777" w:rsidR="00D03E5D" w:rsidRPr="002D7AC4" w:rsidRDefault="00D03E5D" w:rsidP="00D03E5D">
      <w:pPr>
        <w:spacing w:after="200" w:line="276" w:lineRule="auto"/>
      </w:pPr>
      <w:r w:rsidRPr="002D7AC4">
        <w:rPr>
          <w:noProof/>
          <w:color w:val="2B579A"/>
          <w:shd w:val="clear" w:color="auto" w:fill="E6E6E6"/>
          <w:lang w:eastAsia="sk-SK"/>
        </w:rPr>
        <w:drawing>
          <wp:anchor distT="0" distB="0" distL="114300" distR="114300" simplePos="0" relativeHeight="251658752" behindDoc="0" locked="0" layoutInCell="1" allowOverlap="1" wp14:anchorId="6839C66A" wp14:editId="0B7DD210">
            <wp:simplePos x="0" y="0"/>
            <wp:positionH relativeFrom="margin">
              <wp:align>center</wp:align>
            </wp:positionH>
            <wp:positionV relativeFrom="margin">
              <wp:posOffset>1493832</wp:posOffset>
            </wp:positionV>
            <wp:extent cx="729615" cy="951230"/>
            <wp:effectExtent l="0" t="0" r="0" b="1270"/>
            <wp:wrapSquare wrapText="bothSides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uhpv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799D2E" w14:textId="77777777" w:rsidR="00D03E5D" w:rsidRPr="002D7AC4" w:rsidRDefault="00D03E5D" w:rsidP="00D03E5D">
      <w:pPr>
        <w:tabs>
          <w:tab w:val="left" w:pos="3510"/>
        </w:tabs>
        <w:spacing w:after="200" w:line="276" w:lineRule="auto"/>
      </w:pPr>
      <w:r w:rsidRPr="002D7AC4">
        <w:tab/>
      </w:r>
    </w:p>
    <w:p w14:paraId="4F8FB484" w14:textId="77777777" w:rsidR="00D03E5D" w:rsidRPr="002D7AC4" w:rsidRDefault="00D03E5D" w:rsidP="00D03E5D">
      <w:pPr>
        <w:tabs>
          <w:tab w:val="left" w:pos="2550"/>
        </w:tabs>
        <w:spacing w:after="200" w:line="276" w:lineRule="auto"/>
      </w:pPr>
      <w:r w:rsidRPr="002D7AC4">
        <w:tab/>
      </w:r>
    </w:p>
    <w:p w14:paraId="570D1EBE" w14:textId="77777777" w:rsidR="00D03E5D" w:rsidRPr="002D7AC4" w:rsidRDefault="00D03E5D" w:rsidP="00D03E5D">
      <w:pPr>
        <w:spacing w:after="0" w:line="276" w:lineRule="auto"/>
      </w:pPr>
    </w:p>
    <w:p w14:paraId="2D61435B" w14:textId="77777777" w:rsidR="00D03E5D" w:rsidRPr="002D7AC4" w:rsidRDefault="00D03E5D" w:rsidP="00D03E5D">
      <w:pPr>
        <w:spacing w:after="0" w:line="276" w:lineRule="auto"/>
      </w:pPr>
    </w:p>
    <w:p w14:paraId="0761B5DB" w14:textId="77777777" w:rsidR="00D03E5D" w:rsidRPr="002D7AC4" w:rsidRDefault="00D03E5D" w:rsidP="00D03E5D">
      <w:pPr>
        <w:spacing w:after="0" w:line="276" w:lineRule="auto"/>
      </w:pPr>
    </w:p>
    <w:p w14:paraId="4A8A4416" w14:textId="77777777" w:rsidR="00D03E5D" w:rsidRPr="002D7AC4" w:rsidRDefault="00D03E5D" w:rsidP="00D03E5D">
      <w:pPr>
        <w:spacing w:after="0" w:line="276" w:lineRule="auto"/>
      </w:pPr>
      <w:r w:rsidRPr="002D7AC4">
        <w:rPr>
          <w:noProof/>
          <w:color w:val="2B579A"/>
          <w:shd w:val="clear" w:color="auto" w:fill="E6E6E6"/>
          <w:lang w:eastAsia="sk-SK"/>
        </w:rPr>
        <mc:AlternateContent>
          <mc:Choice Requires="wps">
            <w:drawing>
              <wp:anchor distT="0" distB="0" distL="114300" distR="114300" simplePos="0" relativeHeight="251664896" behindDoc="0" locked="1" layoutInCell="1" allowOverlap="1" wp14:anchorId="74F073D8" wp14:editId="6A8C4AF2">
                <wp:simplePos x="0" y="0"/>
                <wp:positionH relativeFrom="margin">
                  <wp:posOffset>944880</wp:posOffset>
                </wp:positionH>
                <wp:positionV relativeFrom="page">
                  <wp:posOffset>4078605</wp:posOffset>
                </wp:positionV>
                <wp:extent cx="3862705" cy="421005"/>
                <wp:effectExtent l="0" t="0" r="4445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705" cy="421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BE2F1" w14:textId="253095DA" w:rsidR="00D03E5D" w:rsidRPr="00DC52D5" w:rsidRDefault="00D03E5D" w:rsidP="00DC52D5">
                            <w:pPr>
                              <w:spacing w:after="0" w:line="276" w:lineRule="auto"/>
                              <w:jc w:val="center"/>
                              <w:rPr>
                                <w:color w:val="0070C0"/>
                                <w:sz w:val="52"/>
                                <w:szCs w:val="56"/>
                              </w:rPr>
                            </w:pPr>
                            <w:r w:rsidRPr="00DC52D5">
                              <w:rPr>
                                <w:color w:val="0070C0"/>
                                <w:sz w:val="52"/>
                                <w:szCs w:val="56"/>
                              </w:rPr>
                              <w:t>Vzor štúdie uskutočniteľnosti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073D8" id="Textové pole 3" o:spid="_x0000_s1028" type="#_x0000_t202" style="position:absolute;left:0;text-align:left;margin-left:74.4pt;margin-top:321.15pt;width:304.15pt;height:33.1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" fillcolor="white [3201]" stroked="f" strokeweight=".5pt">
                <v:textbox>
                  <w:txbxContent>
                    <w:p w14:paraId="636BE2F1" w14:textId="253095DA" w:rsidR="00D03E5D" w:rsidRPr="00DC52D5" w:rsidRDefault="00D03E5D" w:rsidP="00DC52D5">
                      <w:pPr>
                        <w:spacing w:after="0" w:line="276" w:lineRule="auto"/>
                        <w:jc w:val="center"/>
                        <w:rPr>
                          <w:color w:val="0070C0"/>
                          <w:sz w:val="52"/>
                          <w:szCs w:val="56"/>
                        </w:rPr>
                      </w:pPr>
                      <w:r w:rsidRPr="00DC52D5">
                        <w:rPr>
                          <w:color w:val="0070C0"/>
                          <w:sz w:val="52"/>
                          <w:szCs w:val="56"/>
                        </w:rPr>
                        <w:t>Vzor štúdie uskutočniteľnosti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3562DC4E" w14:textId="77777777" w:rsidR="00D03E5D" w:rsidRPr="002D7AC4" w:rsidRDefault="00D03E5D" w:rsidP="00D03E5D">
      <w:pPr>
        <w:spacing w:after="0" w:line="276" w:lineRule="auto"/>
        <w:jc w:val="center"/>
        <w:rPr>
          <w:color w:val="2E74B5" w:themeColor="accent1" w:themeShade="BF"/>
          <w:sz w:val="52"/>
          <w:szCs w:val="56"/>
        </w:rPr>
      </w:pPr>
    </w:p>
    <w:p w14:paraId="2CAA6DC9" w14:textId="77777777" w:rsidR="00D03E5D" w:rsidRPr="002D7AC4" w:rsidRDefault="00D03E5D" w:rsidP="00D03E5D">
      <w:pPr>
        <w:spacing w:after="0" w:line="276" w:lineRule="auto"/>
        <w:jc w:val="center"/>
        <w:rPr>
          <w:color w:val="2E74B5" w:themeColor="accent1" w:themeShade="BF"/>
          <w:sz w:val="40"/>
          <w:szCs w:val="40"/>
        </w:rPr>
      </w:pPr>
      <w:r w:rsidRPr="002D7AC4">
        <w:rPr>
          <w:noProof/>
          <w:color w:val="2E74B5" w:themeColor="accent1" w:themeShade="BF"/>
          <w:sz w:val="52"/>
          <w:szCs w:val="56"/>
          <w:shd w:val="clear" w:color="auto" w:fill="E6E6E6"/>
          <w:lang w:eastAsia="sk-SK"/>
        </w:rPr>
        <mc:AlternateContent>
          <mc:Choice Requires="wps">
            <w:drawing>
              <wp:anchor distT="0" distB="0" distL="114300" distR="114300" simplePos="0" relativeHeight="251666944" behindDoc="0" locked="1" layoutInCell="1" allowOverlap="1" wp14:anchorId="58DF8DE3" wp14:editId="135318BB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448175" cy="1533525"/>
                <wp:effectExtent l="0" t="0" r="9525" b="952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7786B" w14:textId="2140BC8A" w:rsidR="00D03E5D" w:rsidRPr="00DC52D5" w:rsidRDefault="00D03E5D" w:rsidP="00D03E5D">
                            <w:pPr>
                              <w:jc w:val="center"/>
                              <w:rPr>
                                <w:i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DC52D5">
                              <w:rPr>
                                <w:i/>
                                <w:color w:val="0070C0"/>
                                <w:sz w:val="40"/>
                                <w:szCs w:val="40"/>
                              </w:rPr>
                              <w:t>Administratívna budova „Lajka“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F8DE3" id="Textové pole 6" o:spid="_x0000_s1029" type="#_x0000_t202" style="position:absolute;left:0;text-align:left;margin-left:0;margin-top:0;width:350.25pt;height:120.75pt;z-index:251666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" fillcolor="white [3201]" stroked="f" strokeweight=".5pt">
                <v:textbox>
                  <w:txbxContent>
                    <w:p w14:paraId="1457786B" w14:textId="2140BC8A" w:rsidR="00D03E5D" w:rsidRPr="00DC52D5" w:rsidRDefault="00D03E5D" w:rsidP="00D03E5D">
                      <w:pPr>
                        <w:jc w:val="center"/>
                        <w:rPr>
                          <w:i/>
                          <w:color w:val="0070C0"/>
                          <w:sz w:val="40"/>
                          <w:szCs w:val="40"/>
                        </w:rPr>
                      </w:pPr>
                      <w:r w:rsidRPr="00DC52D5">
                        <w:rPr>
                          <w:i/>
                          <w:color w:val="0070C0"/>
                          <w:sz w:val="40"/>
                          <w:szCs w:val="40"/>
                        </w:rPr>
                        <w:t>Administratívna budova „Lajka“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21427C82" w14:textId="77777777" w:rsidR="00D03E5D" w:rsidRPr="002D7AC4" w:rsidRDefault="00D03E5D" w:rsidP="00D03E5D">
      <w:pPr>
        <w:spacing w:after="200" w:line="276" w:lineRule="auto"/>
      </w:pPr>
    </w:p>
    <w:p w14:paraId="0EAF3B74" w14:textId="77777777" w:rsidR="00D03E5D" w:rsidRPr="002D7AC4" w:rsidRDefault="00D03E5D" w:rsidP="00D03E5D">
      <w:pPr>
        <w:spacing w:after="200" w:line="276" w:lineRule="auto"/>
        <w:rPr>
          <w:color w:val="2E74B5" w:themeColor="accent1" w:themeShade="BF"/>
        </w:rPr>
      </w:pPr>
    </w:p>
    <w:p w14:paraId="73889BC4" w14:textId="77777777" w:rsidR="00D03E5D" w:rsidRPr="002D7AC4" w:rsidRDefault="00D03E5D" w:rsidP="00D03E5D"/>
    <w:p w14:paraId="5ACCAB1B" w14:textId="77777777" w:rsidR="00D03E5D" w:rsidRPr="002D7AC4" w:rsidRDefault="00D03E5D" w:rsidP="00D03E5D"/>
    <w:p w14:paraId="78CD2337" w14:textId="77777777" w:rsidR="00D03E5D" w:rsidRPr="002D7AC4" w:rsidRDefault="00D03E5D" w:rsidP="00D03E5D"/>
    <w:p w14:paraId="70CCF135" w14:textId="77777777" w:rsidR="00D03E5D" w:rsidRPr="002D7AC4" w:rsidRDefault="00D03E5D" w:rsidP="00D03E5D"/>
    <w:p w14:paraId="014E84C1" w14:textId="77777777" w:rsidR="00D03E5D" w:rsidRPr="002D7AC4" w:rsidRDefault="00D03E5D" w:rsidP="00D03E5D"/>
    <w:p w14:paraId="3C479563" w14:textId="77777777" w:rsidR="00D03E5D" w:rsidRPr="002D7AC4" w:rsidRDefault="00D03E5D" w:rsidP="00D03E5D"/>
    <w:p w14:paraId="213AD66D" w14:textId="77777777" w:rsidR="00D03E5D" w:rsidRPr="002D7AC4" w:rsidRDefault="00D03E5D" w:rsidP="00D03E5D"/>
    <w:p w14:paraId="6940E245" w14:textId="77777777" w:rsidR="00D03E5D" w:rsidRPr="002D7AC4" w:rsidRDefault="00D03E5D" w:rsidP="00D03E5D"/>
    <w:p w14:paraId="793566A0" w14:textId="77777777" w:rsidR="00D03E5D" w:rsidRPr="002D7AC4" w:rsidRDefault="00D03E5D" w:rsidP="00D03E5D"/>
    <w:p w14:paraId="10AF081B" w14:textId="77777777" w:rsidR="00D03E5D" w:rsidRPr="002D7AC4" w:rsidRDefault="00D03E5D" w:rsidP="00D03E5D"/>
    <w:p w14:paraId="25D6B094" w14:textId="77777777" w:rsidR="00D03E5D" w:rsidRPr="002D7AC4" w:rsidRDefault="00D03E5D" w:rsidP="00D03E5D"/>
    <w:p w14:paraId="3840DD28" w14:textId="77777777" w:rsidR="00D03E5D" w:rsidRPr="002D7AC4" w:rsidRDefault="00D03E5D" w:rsidP="00D03E5D">
      <w:r w:rsidRPr="002D7AC4">
        <w:rPr>
          <w:b/>
          <w:noProof/>
          <w:color w:val="2B579A"/>
          <w:sz w:val="20"/>
          <w:szCs w:val="20"/>
          <w:shd w:val="clear" w:color="auto" w:fill="E6E6E6"/>
          <w:lang w:eastAsia="sk-SK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75E87A8C" wp14:editId="72B24B09">
                <wp:simplePos x="2682815" y="9420045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1781175" cy="638175"/>
                <wp:effectExtent l="0" t="0" r="9525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BF69C" w14:textId="2FF1D9E8" w:rsidR="00D03E5D" w:rsidRPr="000730AE" w:rsidRDefault="0038559D" w:rsidP="00D03E5D">
                            <w:pPr>
                              <w:jc w:val="center"/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Marec</w:t>
                            </w:r>
                            <w:r w:rsidR="00D03E5D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87A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0;margin-top:0;width:140.25pt;height:50.2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" stroked="f">
                <v:textbox>
                  <w:txbxContent>
                    <w:p w14:paraId="4BCBF69C" w14:textId="2FF1D9E8" w:rsidR="00D03E5D" w:rsidRPr="000730AE" w:rsidRDefault="0038559D" w:rsidP="00D03E5D">
                      <w:pPr>
                        <w:jc w:val="center"/>
                        <w:rPr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Marec</w:t>
                      </w:r>
                      <w:r w:rsidR="00D03E5D">
                        <w:rPr>
                          <w:color w:val="0070C0"/>
                          <w:sz w:val="40"/>
                          <w:szCs w:val="40"/>
                        </w:rPr>
                        <w:t xml:space="preserve"> 2023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p w14:paraId="2B7114A2" w14:textId="77777777" w:rsidR="00D03E5D" w:rsidRPr="002D7AC4" w:rsidRDefault="00D03E5D" w:rsidP="00D03E5D">
      <w:pPr>
        <w:jc w:val="right"/>
        <w:rPr>
          <w:b/>
          <w:sz w:val="36"/>
          <w:szCs w:val="36"/>
        </w:rPr>
      </w:pPr>
    </w:p>
    <w:p w14:paraId="2C31612C" w14:textId="77777777" w:rsidR="00D03E5D" w:rsidRPr="002D7AC4" w:rsidRDefault="00D03E5D" w:rsidP="00D03E5D">
      <w:pPr>
        <w:jc w:val="left"/>
        <w:rPr>
          <w:b/>
          <w:sz w:val="36"/>
          <w:szCs w:val="36"/>
        </w:rPr>
      </w:pPr>
    </w:p>
    <w:p w14:paraId="7D69920C" w14:textId="77777777" w:rsidR="00D03E5D" w:rsidRPr="002D7AC4" w:rsidRDefault="00D03E5D" w:rsidP="00D03E5D">
      <w:pPr>
        <w:jc w:val="left"/>
        <w:rPr>
          <w:b/>
          <w:sz w:val="36"/>
          <w:szCs w:val="36"/>
        </w:rPr>
      </w:pPr>
    </w:p>
    <w:p w14:paraId="23EC036C" w14:textId="026FFCAC" w:rsidR="00D03E5D" w:rsidRDefault="00D03E5D" w:rsidP="00D03E5D">
      <w:pPr>
        <w:pStyle w:val="Nadpis1"/>
        <w:numPr>
          <w:ilvl w:val="0"/>
          <w:numId w:val="0"/>
        </w:numPr>
        <w:ind w:left="431" w:hanging="431"/>
      </w:pPr>
      <w:bookmarkStart w:id="0" w:name="_Toc121679684"/>
      <w:r>
        <w:lastRenderedPageBreak/>
        <w:t>Manažérske zhrnutie</w:t>
      </w:r>
    </w:p>
    <w:p w14:paraId="1D3CF255" w14:textId="507C74F9" w:rsidR="00D03E5D" w:rsidRPr="009B43E2" w:rsidRDefault="00D03E5D" w:rsidP="00D03E5D">
      <w:r w:rsidRPr="00D03E5D">
        <w:rPr>
          <w:b/>
        </w:rPr>
        <w:t xml:space="preserve">Hlavný analytický úrad pripravuje </w:t>
      </w:r>
      <w:r w:rsidR="009B43E2">
        <w:rPr>
          <w:b/>
        </w:rPr>
        <w:t>výstavbu</w:t>
      </w:r>
      <w:r w:rsidRPr="00D03E5D">
        <w:rPr>
          <w:b/>
        </w:rPr>
        <w:t xml:space="preserve"> novej administratívnej budovy</w:t>
      </w:r>
      <w:r>
        <w:rPr>
          <w:b/>
        </w:rPr>
        <w:t xml:space="preserve"> </w:t>
      </w:r>
      <w:r w:rsidRPr="00D03E5D">
        <w:rPr>
          <w:b/>
        </w:rPr>
        <w:t xml:space="preserve">v Bratislave </w:t>
      </w:r>
      <w:r>
        <w:rPr>
          <w:b/>
        </w:rPr>
        <w:t xml:space="preserve"> s predpokladanými nákladmi vo výške</w:t>
      </w:r>
      <w:r w:rsidRPr="00D03E5D">
        <w:rPr>
          <w:b/>
        </w:rPr>
        <w:t xml:space="preserve"> 23 mil. eur.</w:t>
      </w:r>
      <w:r w:rsidR="009B43E2">
        <w:rPr>
          <w:b/>
        </w:rPr>
        <w:t xml:space="preserve"> </w:t>
      </w:r>
      <w:r w:rsidR="009B43E2">
        <w:t>V objekte bude umiestnených 500 zamestnancov, ktorí sú aktuálne v prenajímaných priestoroch.</w:t>
      </w:r>
      <w:r w:rsidR="009B43E2" w:rsidRPr="009B43E2">
        <w:t xml:space="preserve"> Projekt </w:t>
      </w:r>
      <w:r w:rsidR="009B43E2">
        <w:t>je na začiatku procesu prípravy.</w:t>
      </w:r>
    </w:p>
    <w:p w14:paraId="79048DA3" w14:textId="6753EDD8" w:rsidR="00D03E5D" w:rsidRPr="00DC52D5" w:rsidRDefault="009B43E2" w:rsidP="00D03E5D">
      <w:r>
        <w:rPr>
          <w:b/>
        </w:rPr>
        <w:t xml:space="preserve">Projekt </w:t>
      </w:r>
      <w:r w:rsidR="007424EB" w:rsidRPr="009B43E2">
        <w:rPr>
          <w:b/>
        </w:rPr>
        <w:t>je potrebn</w:t>
      </w:r>
      <w:r>
        <w:rPr>
          <w:b/>
        </w:rPr>
        <w:t>ý</w:t>
      </w:r>
      <w:r w:rsidR="007424EB" w:rsidRPr="009B43E2">
        <w:rPr>
          <w:b/>
        </w:rPr>
        <w:t xml:space="preserve"> kvôli vysokým nákladom na súčasný nájom. </w:t>
      </w:r>
      <w:r>
        <w:t xml:space="preserve">Náklady spojené s nájmom predstavujú približne 1,5 mil. eur ročne. </w:t>
      </w:r>
      <w:r w:rsidRPr="009B43E2">
        <w:rPr>
          <w:rFonts w:cs="Times New Roman"/>
          <w:bCs/>
        </w:rPr>
        <w:t xml:space="preserve">Nová budova </w:t>
      </w:r>
      <w:r>
        <w:rPr>
          <w:rFonts w:cs="Times New Roman"/>
          <w:bCs/>
        </w:rPr>
        <w:t xml:space="preserve">zároveň </w:t>
      </w:r>
      <w:r w:rsidRPr="009B43E2">
        <w:rPr>
          <w:rFonts w:cs="Times New Roman"/>
          <w:bCs/>
        </w:rPr>
        <w:t>umožní zníženie prevádzkových výdavkov na energie a podporné služby.</w:t>
      </w:r>
    </w:p>
    <w:p w14:paraId="47589980" w14:textId="5E7CE804" w:rsidR="007424EB" w:rsidRPr="00F320FD" w:rsidRDefault="007424EB" w:rsidP="007424EB">
      <w:r w:rsidRPr="00B0779A">
        <w:rPr>
          <w:b/>
        </w:rPr>
        <w:t xml:space="preserve">Výstavba novej budovy umožní efektívnejšie umiestnenie rovnakého počtu zamestnancov. </w:t>
      </w:r>
      <w:r w:rsidRPr="00F320FD">
        <w:t xml:space="preserve">Kvôli flexibilnému nastaveniu parametrov budovy a vnútornej dispozície </w:t>
      </w:r>
      <w:r>
        <w:t xml:space="preserve">je možné zvýšiť priestorovú efektivitu administratívnych priestorov a všetkých zamestnancov umiestniť na </w:t>
      </w:r>
      <w:r w:rsidR="009D7381">
        <w:t>menšej</w:t>
      </w:r>
      <w:r>
        <w:t xml:space="preserve"> ploche.</w:t>
      </w:r>
    </w:p>
    <w:p w14:paraId="3B02E44A" w14:textId="45BA665A" w:rsidR="009B43E2" w:rsidRDefault="009D7381" w:rsidP="009B43E2">
      <w:pPr>
        <w:rPr>
          <w:rFonts w:cs="Times New Roman"/>
          <w:color w:val="000000"/>
        </w:rPr>
      </w:pPr>
      <w:r>
        <w:rPr>
          <w:rFonts w:cs="Times New Roman"/>
          <w:b/>
          <w:bCs/>
          <w:color w:val="000000" w:themeColor="text1"/>
        </w:rPr>
        <w:t>Podľa finančnej a ekonomickej analýzy je výstavba najlepšou alternatívou.</w:t>
      </w:r>
      <w:r w:rsidR="009B43E2" w:rsidRPr="31CADDE7">
        <w:rPr>
          <w:rFonts w:cs="Times New Roman"/>
          <w:color w:val="000000" w:themeColor="text1"/>
        </w:rPr>
        <w:t xml:space="preserve"> Hlavným cieľom je dlhodobé znížen</w:t>
      </w:r>
      <w:r>
        <w:rPr>
          <w:rFonts w:cs="Times New Roman"/>
          <w:color w:val="000000" w:themeColor="text1"/>
        </w:rPr>
        <w:t>ie prevádzkových nákladov, čo najviac umožňuje</w:t>
      </w:r>
      <w:r w:rsidR="009B43E2" w:rsidRPr="31CADDE7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výstavba vlastného objektu. Zároveň má potenciál vytvoriť najväčšie spoločenské prínosy vo forme úspory emisií skleníkových plynov. Ďalšími analyzovanými alternatívami boli prenájom</w:t>
      </w:r>
      <w:r w:rsidR="009B43E2" w:rsidRPr="31CADDE7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nových priestorov alebo odkúpenie</w:t>
      </w:r>
      <w:r w:rsidR="009B43E2" w:rsidRPr="31CADDE7">
        <w:rPr>
          <w:rFonts w:cs="Times New Roman"/>
          <w:color w:val="000000" w:themeColor="text1"/>
        </w:rPr>
        <w:t xml:space="preserve"> budovy.</w:t>
      </w:r>
    </w:p>
    <w:p w14:paraId="6430ADB7" w14:textId="25936DE7" w:rsidR="00BB2B99" w:rsidRPr="004F3027" w:rsidRDefault="004F3027" w:rsidP="006B7B0F">
      <w:pPr>
        <w:pStyle w:val="Nadpis1"/>
      </w:pPr>
      <w:r>
        <w:t>Opis a c</w:t>
      </w:r>
      <w:r w:rsidR="00CA3E6B">
        <w:t>iele projektu</w:t>
      </w:r>
      <w:bookmarkEnd w:id="0"/>
    </w:p>
    <w:p w14:paraId="019BD12D" w14:textId="319F48BD" w:rsidR="694B6F3E" w:rsidRDefault="694B6F3E" w:rsidP="657FE4DA">
      <w:pPr>
        <w:spacing w:line="257" w:lineRule="auto"/>
      </w:pPr>
      <w:r w:rsidRPr="465F9B3D">
        <w:rPr>
          <w:rFonts w:eastAsia="Arial Narrow" w:cs="Arial Narrow"/>
          <w:b/>
          <w:bCs/>
        </w:rPr>
        <w:t xml:space="preserve">Predmetom projektu je zabezpečenie </w:t>
      </w:r>
      <w:r w:rsidR="00B0779A">
        <w:rPr>
          <w:rFonts w:eastAsia="Arial Narrow" w:cs="Arial Narrow"/>
          <w:b/>
          <w:bCs/>
        </w:rPr>
        <w:t xml:space="preserve">nových </w:t>
      </w:r>
      <w:r w:rsidRPr="465F9B3D">
        <w:rPr>
          <w:rFonts w:eastAsia="Arial Narrow" w:cs="Arial Narrow"/>
          <w:b/>
          <w:bCs/>
        </w:rPr>
        <w:t xml:space="preserve">priestorov pre zamestnancov </w:t>
      </w:r>
      <w:r w:rsidR="141CC3F3" w:rsidRPr="64A7C9D9">
        <w:rPr>
          <w:rFonts w:eastAsia="Arial Narrow" w:cs="Arial Narrow"/>
          <w:b/>
          <w:bCs/>
        </w:rPr>
        <w:t xml:space="preserve">Hlavného analytického </w:t>
      </w:r>
      <w:r w:rsidR="00E81A37">
        <w:rPr>
          <w:rFonts w:eastAsia="Arial Narrow" w:cs="Arial Narrow"/>
          <w:b/>
          <w:bCs/>
        </w:rPr>
        <w:t>útvaru</w:t>
      </w:r>
      <w:r w:rsidR="141CC3F3" w:rsidRPr="64A7C9D9">
        <w:rPr>
          <w:rFonts w:eastAsia="Arial Narrow" w:cs="Arial Narrow"/>
          <w:b/>
          <w:bCs/>
        </w:rPr>
        <w:t xml:space="preserve"> </w:t>
      </w:r>
      <w:r w:rsidR="00B0779A">
        <w:rPr>
          <w:rFonts w:eastAsia="Arial Narrow" w:cs="Arial Narrow"/>
          <w:b/>
          <w:bCs/>
        </w:rPr>
        <w:t xml:space="preserve">z dôvodu nehospodárnosti súčasného </w:t>
      </w:r>
      <w:r w:rsidR="00195445">
        <w:rPr>
          <w:rFonts w:eastAsia="Arial Narrow" w:cs="Arial Narrow"/>
          <w:b/>
          <w:bCs/>
        </w:rPr>
        <w:t>stavu. Preferovaná</w:t>
      </w:r>
      <w:r w:rsidRPr="465F9B3D">
        <w:rPr>
          <w:rFonts w:eastAsia="Arial Narrow" w:cs="Arial Narrow"/>
          <w:b/>
          <w:bCs/>
        </w:rPr>
        <w:t xml:space="preserve"> je výstavba novej administratívnej budovy </w:t>
      </w:r>
      <w:r w:rsidR="00195445">
        <w:rPr>
          <w:rFonts w:eastAsia="Arial Narrow" w:cs="Arial Narrow"/>
          <w:b/>
          <w:bCs/>
        </w:rPr>
        <w:t xml:space="preserve">za </w:t>
      </w:r>
      <w:r w:rsidR="529887DA" w:rsidRPr="64A7C9D9">
        <w:rPr>
          <w:rFonts w:eastAsia="Arial Narrow" w:cs="Arial Narrow"/>
          <w:b/>
          <w:bCs/>
        </w:rPr>
        <w:t>22,56</w:t>
      </w:r>
      <w:r w:rsidRPr="465F9B3D">
        <w:rPr>
          <w:rFonts w:eastAsia="Arial Narrow" w:cs="Arial Narrow"/>
          <w:b/>
          <w:bCs/>
        </w:rPr>
        <w:t xml:space="preserve"> mil. eur s DPH. </w:t>
      </w:r>
      <w:r w:rsidRPr="465F9B3D">
        <w:rPr>
          <w:rFonts w:eastAsia="Arial Narrow" w:cs="Arial Narrow"/>
        </w:rPr>
        <w:t xml:space="preserve">Do budovy bude presťahovaných </w:t>
      </w:r>
      <w:r w:rsidR="00195445">
        <w:rPr>
          <w:rFonts w:eastAsia="Arial Narrow" w:cs="Arial Narrow"/>
        </w:rPr>
        <w:t xml:space="preserve">všetkých </w:t>
      </w:r>
      <w:r w:rsidR="407BA958" w:rsidRPr="465F9B3D">
        <w:rPr>
          <w:rFonts w:eastAsia="Arial Narrow" w:cs="Arial Narrow"/>
        </w:rPr>
        <w:t>5</w:t>
      </w:r>
      <w:r w:rsidR="7335EC06" w:rsidRPr="465F9B3D">
        <w:rPr>
          <w:rFonts w:eastAsia="Arial Narrow" w:cs="Arial Narrow"/>
        </w:rPr>
        <w:t>00</w:t>
      </w:r>
      <w:r w:rsidRPr="465F9B3D">
        <w:rPr>
          <w:rFonts w:eastAsia="Arial Narrow" w:cs="Arial Narrow"/>
        </w:rPr>
        <w:t xml:space="preserve"> zamestnancov zo súčasných prenajímaných priestorov</w:t>
      </w:r>
      <w:r w:rsidR="00195445">
        <w:rPr>
          <w:rFonts w:eastAsia="Arial Narrow" w:cs="Arial Narrow"/>
        </w:rPr>
        <w:t xml:space="preserve">. Realizácia projektu </w:t>
      </w:r>
      <w:r w:rsidR="00F320FD">
        <w:rPr>
          <w:rFonts w:eastAsia="Arial Narrow" w:cs="Arial Narrow"/>
        </w:rPr>
        <w:t>povedie k úspore 1,</w:t>
      </w:r>
      <w:r w:rsidR="6F5B43F6" w:rsidRPr="64A7C9D9">
        <w:rPr>
          <w:rFonts w:eastAsia="Arial Narrow" w:cs="Arial Narrow"/>
        </w:rPr>
        <w:t>54</w:t>
      </w:r>
      <w:r w:rsidR="00195445">
        <w:rPr>
          <w:rFonts w:eastAsia="Arial Narrow" w:cs="Arial Narrow"/>
        </w:rPr>
        <w:t xml:space="preserve"> mil. eur ročne na </w:t>
      </w:r>
      <w:r w:rsidR="00F320FD">
        <w:rPr>
          <w:rFonts w:eastAsia="Arial Narrow" w:cs="Arial Narrow"/>
        </w:rPr>
        <w:t xml:space="preserve">výdavkoch spojených s </w:t>
      </w:r>
      <w:r w:rsidR="00195445">
        <w:rPr>
          <w:rFonts w:eastAsia="Arial Narrow" w:cs="Arial Narrow"/>
        </w:rPr>
        <w:t>n</w:t>
      </w:r>
      <w:r w:rsidR="00F320FD">
        <w:rPr>
          <w:rFonts w:eastAsia="Arial Narrow" w:cs="Arial Narrow"/>
        </w:rPr>
        <w:t>ájmom</w:t>
      </w:r>
      <w:r w:rsidRPr="465F9B3D">
        <w:rPr>
          <w:rFonts w:eastAsia="Arial Narrow" w:cs="Arial Narrow"/>
        </w:rPr>
        <w:t>.</w:t>
      </w:r>
    </w:p>
    <w:p w14:paraId="53CAFDA5" w14:textId="055110E6" w:rsidR="00F320FD" w:rsidRPr="00F320FD" w:rsidRDefault="00F320FD" w:rsidP="00F320FD">
      <w:r w:rsidRPr="00B0779A">
        <w:rPr>
          <w:b/>
        </w:rPr>
        <w:t xml:space="preserve">Výstavba novej budovy umožní efektívnejšie umiestnenie rovnakého počtu zamestnancov. </w:t>
      </w:r>
      <w:r w:rsidRPr="00F320FD">
        <w:t xml:space="preserve">Kvôli flexibilnému nastaveniu parametrov budovy a vnútornej dispozície </w:t>
      </w:r>
      <w:r>
        <w:t>je možné výrazne zvýšiť priestorovú efektivitu administratívnych priestorov a všetkých zamestnancov umiestniť na nižšej ploche.</w:t>
      </w:r>
    </w:p>
    <w:p w14:paraId="603739E9" w14:textId="5C7560FB" w:rsidR="694B6F3E" w:rsidRPr="00F738C6" w:rsidRDefault="00F320FD" w:rsidP="00F320FD">
      <w:pPr>
        <w:spacing w:line="257" w:lineRule="auto"/>
      </w:pPr>
      <w:r>
        <w:rPr>
          <w:rFonts w:eastAsia="Arial Narrow" w:cs="Arial Narrow"/>
          <w:b/>
          <w:bCs/>
        </w:rPr>
        <w:t xml:space="preserve">Objekt </w:t>
      </w:r>
      <w:r w:rsidR="694B6F3E" w:rsidRPr="657FE4DA">
        <w:rPr>
          <w:rFonts w:eastAsia="Arial Narrow" w:cs="Arial Narrow"/>
          <w:b/>
          <w:bCs/>
        </w:rPr>
        <w:t>bude umies</w:t>
      </w:r>
      <w:r>
        <w:rPr>
          <w:rFonts w:eastAsia="Arial Narrow" w:cs="Arial Narrow"/>
          <w:b/>
          <w:bCs/>
        </w:rPr>
        <w:t>tnený</w:t>
      </w:r>
      <w:r w:rsidR="694B6F3E" w:rsidRPr="657FE4DA">
        <w:rPr>
          <w:rFonts w:eastAsia="Arial Narrow" w:cs="Arial Narrow"/>
          <w:b/>
          <w:bCs/>
        </w:rPr>
        <w:t xml:space="preserve"> </w:t>
      </w:r>
      <w:r w:rsidRPr="657FE4DA">
        <w:rPr>
          <w:rFonts w:eastAsia="Arial Narrow" w:cs="Arial Narrow"/>
          <w:b/>
          <w:bCs/>
        </w:rPr>
        <w:t xml:space="preserve">na vlastných pozemkoch </w:t>
      </w:r>
      <w:r w:rsidR="694B6F3E" w:rsidRPr="657FE4DA">
        <w:rPr>
          <w:rFonts w:eastAsia="Arial Narrow" w:cs="Arial Narrow"/>
          <w:b/>
          <w:bCs/>
        </w:rPr>
        <w:t xml:space="preserve">v areáli </w:t>
      </w:r>
      <w:r w:rsidR="001D5E38" w:rsidRPr="64A7C9D9">
        <w:rPr>
          <w:rFonts w:eastAsia="Arial Narrow" w:cs="Arial Narrow"/>
          <w:b/>
          <w:bCs/>
        </w:rPr>
        <w:t xml:space="preserve">Hlavného analytického </w:t>
      </w:r>
      <w:r w:rsidR="001D5E38">
        <w:rPr>
          <w:rFonts w:eastAsia="Arial Narrow" w:cs="Arial Narrow"/>
          <w:b/>
          <w:bCs/>
        </w:rPr>
        <w:t>útvaru</w:t>
      </w:r>
      <w:r w:rsidR="694B6F3E" w:rsidRPr="64A7C9D9">
        <w:rPr>
          <w:rFonts w:eastAsia="Arial Narrow" w:cs="Arial Narrow"/>
          <w:b/>
          <w:bCs/>
        </w:rPr>
        <w:t>.</w:t>
      </w:r>
      <w:r w:rsidR="694B6F3E" w:rsidRPr="657FE4DA">
        <w:rPr>
          <w:rFonts w:eastAsia="Arial Narrow" w:cs="Arial Narrow"/>
        </w:rPr>
        <w:t xml:space="preserve"> Táto skutočnosť znižuje investičnú náročnosť projektu, nakoľko do nákladov nevstupuje cena pozemku. Koncentrácia zamestnancov v jednom areáli zároveň predstavuje potenciál na zvýšenie efektivity práce a úsporu nákladov na podporných činnostiach.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B168E" w:rsidRPr="005F186D" w14:paraId="02C4CA48" w14:textId="77777777" w:rsidTr="00FA78B0">
        <w:tc>
          <w:tcPr>
            <w:tcW w:w="9072" w:type="dxa"/>
          </w:tcPr>
          <w:p w14:paraId="44EF69E8" w14:textId="1F64141D" w:rsidR="006B168E" w:rsidRPr="006B168E" w:rsidRDefault="006B168E" w:rsidP="006B168E">
            <w:pPr>
              <w:pStyle w:val="Popis"/>
              <w:spacing w:after="0"/>
              <w:rPr>
                <w:color w:val="auto"/>
                <w:sz w:val="20"/>
              </w:rPr>
            </w:pPr>
            <w:bookmarkStart w:id="1" w:name="_Toc121679695"/>
            <w:r w:rsidRPr="006B168E">
              <w:rPr>
                <w:color w:val="auto"/>
                <w:sz w:val="20"/>
              </w:rPr>
              <w:t xml:space="preserve">Obrázok </w:t>
            </w:r>
            <w:r w:rsidRPr="006B168E">
              <w:rPr>
                <w:color w:val="auto"/>
                <w:sz w:val="20"/>
              </w:rPr>
              <w:fldChar w:fldCharType="begin"/>
            </w:r>
            <w:r w:rsidRPr="006B168E">
              <w:rPr>
                <w:color w:val="auto"/>
                <w:sz w:val="20"/>
              </w:rPr>
              <w:instrText xml:space="preserve"> SEQ Obrázok \* ARABIC </w:instrText>
            </w:r>
            <w:r w:rsidRPr="006B168E">
              <w:rPr>
                <w:color w:val="auto"/>
                <w:sz w:val="20"/>
              </w:rPr>
              <w:fldChar w:fldCharType="separate"/>
            </w:r>
            <w:r w:rsidR="006E5723">
              <w:rPr>
                <w:noProof/>
                <w:color w:val="auto"/>
                <w:sz w:val="20"/>
              </w:rPr>
              <w:t>1</w:t>
            </w:r>
            <w:r w:rsidRPr="006B168E">
              <w:rPr>
                <w:color w:val="auto"/>
                <w:sz w:val="20"/>
              </w:rPr>
              <w:fldChar w:fldCharType="end"/>
            </w:r>
            <w:r w:rsidRPr="006B168E">
              <w:rPr>
                <w:color w:val="auto"/>
                <w:sz w:val="20"/>
              </w:rPr>
              <w:t xml:space="preserve">: Umiestnenie novej budovy v areáli </w:t>
            </w:r>
            <w:bookmarkEnd w:id="1"/>
            <w:r w:rsidR="001D5E38" w:rsidRPr="001D5E38">
              <w:rPr>
                <w:color w:val="auto"/>
                <w:sz w:val="20"/>
              </w:rPr>
              <w:t>Hlavného analytického útvaru</w:t>
            </w:r>
          </w:p>
        </w:tc>
      </w:tr>
      <w:tr w:rsidR="006B168E" w:rsidRPr="005F186D" w14:paraId="08CE6F91" w14:textId="77777777" w:rsidTr="00FA78B0">
        <w:tc>
          <w:tcPr>
            <w:tcW w:w="9072" w:type="dxa"/>
          </w:tcPr>
          <w:p w14:paraId="61CDCEAD" w14:textId="57E589BE" w:rsidR="006B168E" w:rsidRPr="005F186D" w:rsidRDefault="00DC52D5" w:rsidP="008A1B8F">
            <w:r>
              <w:rPr>
                <w:noProof/>
                <w:lang w:eastAsia="sk-SK"/>
              </w:rPr>
              <w:drawing>
                <wp:inline distT="0" distB="0" distL="0" distR="0" wp14:anchorId="5D8AA636" wp14:editId="562F376B">
                  <wp:extent cx="5665939" cy="2763496"/>
                  <wp:effectExtent l="0" t="0" r="0" b="0"/>
                  <wp:docPr id="10" name="Obrázo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957" cy="27830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68E" w:rsidRPr="005F186D" w14:paraId="032291AB" w14:textId="77777777" w:rsidTr="008A1B8F">
        <w:trPr>
          <w:trHeight w:val="60"/>
        </w:trPr>
        <w:tc>
          <w:tcPr>
            <w:tcW w:w="9072" w:type="dxa"/>
          </w:tcPr>
          <w:p w14:paraId="01EC634B" w14:textId="77777777" w:rsidR="006B168E" w:rsidRPr="008A1B8F" w:rsidRDefault="006B168E" w:rsidP="00D1482C">
            <w:pPr>
              <w:jc w:val="right"/>
              <w:rPr>
                <w:bCs/>
                <w:i/>
                <w:sz w:val="16"/>
              </w:rPr>
            </w:pPr>
            <w:r w:rsidRPr="008A1B8F">
              <w:rPr>
                <w:bCs/>
                <w:i/>
                <w:sz w:val="16"/>
              </w:rPr>
              <w:t>Zdroj: Mapy Google</w:t>
            </w:r>
          </w:p>
        </w:tc>
      </w:tr>
    </w:tbl>
    <w:p w14:paraId="68B2A592" w14:textId="77777777" w:rsidR="006B168E" w:rsidRPr="005F186D" w:rsidRDefault="006B168E" w:rsidP="00805F63">
      <w:pPr>
        <w:keepNext/>
      </w:pPr>
      <w:r>
        <w:lastRenderedPageBreak/>
        <w:t>C</w:t>
      </w:r>
      <w:r w:rsidRPr="005F186D">
        <w:t>ieľom investície</w:t>
      </w:r>
      <w:r>
        <w:t xml:space="preserve"> je</w:t>
      </w:r>
      <w:r w:rsidRPr="005F186D">
        <w:t>:</w:t>
      </w:r>
    </w:p>
    <w:p w14:paraId="687B6A6D" w14:textId="7FE32DC6" w:rsidR="006B168E" w:rsidRPr="005F186D" w:rsidRDefault="0003675E" w:rsidP="006B168E">
      <w:pPr>
        <w:pStyle w:val="Odsekzoznamu"/>
        <w:numPr>
          <w:ilvl w:val="0"/>
          <w:numId w:val="35"/>
        </w:numPr>
      </w:pPr>
      <w:r>
        <w:t>Zabezpečenie</w:t>
      </w:r>
      <w:r w:rsidR="00316F16">
        <w:t xml:space="preserve"> dostatočných</w:t>
      </w:r>
      <w:r>
        <w:t xml:space="preserve"> </w:t>
      </w:r>
      <w:r w:rsidR="006B168E" w:rsidRPr="005F186D">
        <w:t xml:space="preserve">kapacít na umiestnenie nových zamestnancov </w:t>
      </w:r>
      <w:r w:rsidR="001D5E38" w:rsidRPr="001D5E38">
        <w:t>Hlavného analytického útvaru</w:t>
      </w:r>
      <w:r w:rsidR="006B168E" w:rsidRPr="005F186D">
        <w:t>.</w:t>
      </w:r>
    </w:p>
    <w:p w14:paraId="634F8382" w14:textId="53973290" w:rsidR="006B168E" w:rsidRPr="005F186D" w:rsidRDefault="006B168E" w:rsidP="006B168E">
      <w:pPr>
        <w:pStyle w:val="Odsekzoznamu"/>
        <w:numPr>
          <w:ilvl w:val="0"/>
          <w:numId w:val="35"/>
        </w:numPr>
      </w:pPr>
      <w:r>
        <w:t>Zjednotenie všetkých organizačných útvarov do jedného priestoru so zámerom z</w:t>
      </w:r>
      <w:r w:rsidR="42C0F380">
        <w:t>výšenia efektivity práce</w:t>
      </w:r>
      <w:r>
        <w:t>.</w:t>
      </w:r>
    </w:p>
    <w:p w14:paraId="2A3E49E4" w14:textId="545205C1" w:rsidR="006B168E" w:rsidRPr="005F186D" w:rsidRDefault="006B168E" w:rsidP="006B168E">
      <w:pPr>
        <w:pStyle w:val="Odsekzoznamu"/>
        <w:numPr>
          <w:ilvl w:val="0"/>
          <w:numId w:val="35"/>
        </w:numPr>
      </w:pPr>
      <w:r>
        <w:t>Zníženie celkových nákladov súvisiacich s prenájmom budov</w:t>
      </w:r>
      <w:r w:rsidR="1540C366">
        <w:t xml:space="preserve"> a</w:t>
      </w:r>
      <w:r>
        <w:t xml:space="preserve"> prevádzkových nákladov.</w:t>
      </w:r>
    </w:p>
    <w:p w14:paraId="67BE0DD1" w14:textId="77777777" w:rsidR="004F3027" w:rsidRPr="009F388B" w:rsidRDefault="009F388B" w:rsidP="004F3027">
      <w:pPr>
        <w:pStyle w:val="Nadpis1"/>
      </w:pPr>
      <w:bookmarkStart w:id="2" w:name="_Toc121679685"/>
      <w:r w:rsidRPr="009F388B">
        <w:t>Zdôvodnenie</w:t>
      </w:r>
      <w:r w:rsidR="004F3027" w:rsidRPr="009F388B">
        <w:t xml:space="preserve"> dopytu</w:t>
      </w:r>
      <w:r>
        <w:t xml:space="preserve"> a rozsahu</w:t>
      </w:r>
      <w:bookmarkEnd w:id="2"/>
    </w:p>
    <w:p w14:paraId="41A0F987" w14:textId="670137EA" w:rsidR="006D3DDB" w:rsidRDefault="3255BC1C" w:rsidP="465F9B3D">
      <w:pPr>
        <w:rPr>
          <w:rFonts w:cs="Times New Roman"/>
        </w:rPr>
      </w:pPr>
      <w:r w:rsidRPr="0DC7E24F">
        <w:rPr>
          <w:b/>
          <w:bCs/>
        </w:rPr>
        <w:t>Dopyt</w:t>
      </w:r>
      <w:r w:rsidR="006B168E" w:rsidRPr="0DC7E24F">
        <w:rPr>
          <w:b/>
          <w:bCs/>
        </w:rPr>
        <w:t xml:space="preserve"> </w:t>
      </w:r>
      <w:r w:rsidRPr="0DC7E24F">
        <w:rPr>
          <w:b/>
          <w:bCs/>
        </w:rPr>
        <w:t xml:space="preserve">po </w:t>
      </w:r>
      <w:r w:rsidR="23C06FB1" w:rsidRPr="0DC7E24F">
        <w:rPr>
          <w:b/>
          <w:bCs/>
        </w:rPr>
        <w:t>projekt</w:t>
      </w:r>
      <w:r w:rsidR="5476E84C" w:rsidRPr="0DC7E24F">
        <w:rPr>
          <w:b/>
          <w:bCs/>
        </w:rPr>
        <w:t>e</w:t>
      </w:r>
      <w:r w:rsidR="23C06FB1" w:rsidRPr="0DC7E24F">
        <w:rPr>
          <w:b/>
          <w:bCs/>
        </w:rPr>
        <w:t xml:space="preserve"> </w:t>
      </w:r>
      <w:r w:rsidR="006B168E" w:rsidRPr="0DC7E24F">
        <w:rPr>
          <w:b/>
          <w:bCs/>
        </w:rPr>
        <w:t xml:space="preserve">vyplýva z </w:t>
      </w:r>
      <w:r w:rsidR="75730F64" w:rsidRPr="0DC7E24F">
        <w:rPr>
          <w:b/>
          <w:bCs/>
        </w:rPr>
        <w:t xml:space="preserve">úspory </w:t>
      </w:r>
      <w:r w:rsidR="45981BF2" w:rsidRPr="0DC7E24F">
        <w:rPr>
          <w:b/>
          <w:bCs/>
        </w:rPr>
        <w:t>nákladov na prenájom súčasných priestorov</w:t>
      </w:r>
      <w:r w:rsidR="006B168E" w:rsidRPr="0DC7E24F">
        <w:rPr>
          <w:b/>
          <w:bCs/>
        </w:rPr>
        <w:t>.</w:t>
      </w:r>
      <w:r w:rsidR="006B168E">
        <w:t xml:space="preserve"> </w:t>
      </w:r>
      <w:r w:rsidR="006935F9" w:rsidRPr="0DC7E24F">
        <w:rPr>
          <w:rFonts w:cs="Times New Roman"/>
        </w:rPr>
        <w:t>Zamestnanci</w:t>
      </w:r>
      <w:r w:rsidR="006B168E" w:rsidRPr="0DC7E24F">
        <w:rPr>
          <w:rFonts w:cs="Times New Roman"/>
        </w:rPr>
        <w:t xml:space="preserve"> </w:t>
      </w:r>
      <w:r w:rsidR="001D5E38" w:rsidRPr="001D5E38">
        <w:rPr>
          <w:rFonts w:cs="Times New Roman"/>
        </w:rPr>
        <w:t xml:space="preserve">Hlavného analytického útvaru </w:t>
      </w:r>
      <w:r w:rsidR="001D5E38">
        <w:rPr>
          <w:rFonts w:cs="Times New Roman"/>
        </w:rPr>
        <w:t>(HAU)</w:t>
      </w:r>
      <w:r w:rsidR="006B168E" w:rsidRPr="0DC7E24F">
        <w:rPr>
          <w:rFonts w:cs="Times New Roman"/>
        </w:rPr>
        <w:t xml:space="preserve"> </w:t>
      </w:r>
      <w:r w:rsidR="006935F9" w:rsidRPr="0DC7E24F">
        <w:rPr>
          <w:rFonts w:cs="Times New Roman"/>
        </w:rPr>
        <w:t xml:space="preserve">aktuálne </w:t>
      </w:r>
      <w:r w:rsidR="006B168E" w:rsidRPr="0DC7E24F">
        <w:rPr>
          <w:rFonts w:cs="Times New Roman"/>
        </w:rPr>
        <w:t>sídlia v</w:t>
      </w:r>
      <w:r w:rsidR="00A27206" w:rsidRPr="0DC7E24F">
        <w:rPr>
          <w:rFonts w:cs="Times New Roman"/>
        </w:rPr>
        <w:t xml:space="preserve"> areáli </w:t>
      </w:r>
      <w:r w:rsidR="006D5455" w:rsidRPr="0DC7E24F">
        <w:rPr>
          <w:rFonts w:cs="Times New Roman"/>
        </w:rPr>
        <w:t xml:space="preserve">na Námestí </w:t>
      </w:r>
      <w:r w:rsidR="00E81A37">
        <w:rPr>
          <w:rFonts w:cs="Times New Roman"/>
        </w:rPr>
        <w:t>dlažobných kociek</w:t>
      </w:r>
      <w:r w:rsidR="006D5455" w:rsidRPr="0DC7E24F">
        <w:rPr>
          <w:rFonts w:cs="Times New Roman"/>
        </w:rPr>
        <w:t xml:space="preserve"> </w:t>
      </w:r>
      <w:r w:rsidR="00A27206" w:rsidRPr="0DC7E24F">
        <w:rPr>
          <w:rFonts w:cs="Times New Roman"/>
        </w:rPr>
        <w:t xml:space="preserve">(235 zamestnancov) a v </w:t>
      </w:r>
      <w:r w:rsidR="006B168E" w:rsidRPr="0DC7E24F">
        <w:rPr>
          <w:rFonts w:cs="Times New Roman"/>
        </w:rPr>
        <w:t xml:space="preserve">prenajatých priestoroch </w:t>
      </w:r>
      <w:r w:rsidR="006935F9" w:rsidRPr="0DC7E24F">
        <w:rPr>
          <w:rFonts w:cs="Times New Roman"/>
        </w:rPr>
        <w:t>P</w:t>
      </w:r>
      <w:r w:rsidR="006B168E" w:rsidRPr="0DC7E24F">
        <w:rPr>
          <w:rFonts w:cs="Times New Roman"/>
        </w:rPr>
        <w:t xml:space="preserve">ark </w:t>
      </w:r>
      <w:proofErr w:type="spellStart"/>
      <w:r w:rsidR="006935F9" w:rsidRPr="0DC7E24F">
        <w:rPr>
          <w:rFonts w:cs="Times New Roman"/>
        </w:rPr>
        <w:t>Two</w:t>
      </w:r>
      <w:proofErr w:type="spellEnd"/>
      <w:r w:rsidR="006B168E" w:rsidRPr="0DC7E24F">
        <w:rPr>
          <w:rFonts w:cs="Times New Roman"/>
        </w:rPr>
        <w:t xml:space="preserve"> </w:t>
      </w:r>
      <w:r w:rsidR="75C90D4E" w:rsidRPr="0DC7E24F">
        <w:rPr>
          <w:rFonts w:cs="Times New Roman"/>
        </w:rPr>
        <w:t>(</w:t>
      </w:r>
      <w:r w:rsidR="19FB5798" w:rsidRPr="0DC7E24F">
        <w:rPr>
          <w:rFonts w:cs="Times New Roman"/>
        </w:rPr>
        <w:t>5</w:t>
      </w:r>
      <w:r w:rsidR="006B168E" w:rsidRPr="0DC7E24F">
        <w:rPr>
          <w:rFonts w:cs="Times New Roman"/>
        </w:rPr>
        <w:t>00 zamestnancov</w:t>
      </w:r>
      <w:r w:rsidR="3B49B4B5" w:rsidRPr="0DC7E24F">
        <w:rPr>
          <w:rFonts w:cs="Times New Roman"/>
        </w:rPr>
        <w:t>)</w:t>
      </w:r>
      <w:r w:rsidR="006B168E" w:rsidRPr="0DC7E24F">
        <w:rPr>
          <w:rFonts w:cs="Times New Roman"/>
        </w:rPr>
        <w:t>.</w:t>
      </w:r>
      <w:r w:rsidR="6680934A" w:rsidRPr="0DC7E24F">
        <w:rPr>
          <w:rFonts w:cs="Times New Roman"/>
        </w:rPr>
        <w:t xml:space="preserve"> </w:t>
      </w:r>
      <w:r w:rsidR="001D05DB" w:rsidRPr="0DC7E24F">
        <w:rPr>
          <w:rFonts w:cs="Times New Roman"/>
        </w:rPr>
        <w:t>Ročné náklady</w:t>
      </w:r>
      <w:r w:rsidR="6680934A" w:rsidRPr="0DC7E24F">
        <w:rPr>
          <w:rFonts w:cs="Times New Roman"/>
        </w:rPr>
        <w:t xml:space="preserve"> </w:t>
      </w:r>
      <w:r w:rsidR="235870C0" w:rsidRPr="0DC7E24F">
        <w:rPr>
          <w:rFonts w:cs="Times New Roman"/>
        </w:rPr>
        <w:t>spojené s pre</w:t>
      </w:r>
      <w:r w:rsidR="6680934A" w:rsidRPr="0DC7E24F">
        <w:rPr>
          <w:rFonts w:cs="Times New Roman"/>
        </w:rPr>
        <w:t>nájm</w:t>
      </w:r>
      <w:r w:rsidR="4977B4D8" w:rsidRPr="0DC7E24F">
        <w:rPr>
          <w:rFonts w:cs="Times New Roman"/>
        </w:rPr>
        <w:t>om</w:t>
      </w:r>
      <w:r w:rsidR="6680934A" w:rsidRPr="0DC7E24F">
        <w:rPr>
          <w:rFonts w:cs="Times New Roman"/>
        </w:rPr>
        <w:t xml:space="preserve"> </w:t>
      </w:r>
      <w:r w:rsidR="2478C6C1" w:rsidRPr="0DC7E24F">
        <w:rPr>
          <w:rFonts w:cs="Times New Roman"/>
        </w:rPr>
        <w:t>dosahujú</w:t>
      </w:r>
      <w:r w:rsidR="6680934A" w:rsidRPr="0DC7E24F">
        <w:rPr>
          <w:rFonts w:cs="Times New Roman"/>
        </w:rPr>
        <w:t xml:space="preserve"> </w:t>
      </w:r>
      <w:r w:rsidR="00F320FD">
        <w:rPr>
          <w:rFonts w:cs="Times New Roman"/>
        </w:rPr>
        <w:t>1,</w:t>
      </w:r>
      <w:r w:rsidR="001D5E38">
        <w:rPr>
          <w:rFonts w:cs="Times New Roman"/>
        </w:rPr>
        <w:t>54</w:t>
      </w:r>
      <w:r w:rsidR="6680934A" w:rsidRPr="0DC7E24F">
        <w:rPr>
          <w:rFonts w:cs="Times New Roman"/>
        </w:rPr>
        <w:t xml:space="preserve"> </w:t>
      </w:r>
      <w:r w:rsidR="66FBA7B8" w:rsidRPr="0DC7E24F">
        <w:rPr>
          <w:rFonts w:cs="Times New Roman"/>
        </w:rPr>
        <w:t>mil</w:t>
      </w:r>
      <w:r w:rsidR="1CAE422E" w:rsidRPr="0DC7E24F">
        <w:rPr>
          <w:rFonts w:cs="Times New Roman"/>
        </w:rPr>
        <w:t xml:space="preserve">. </w:t>
      </w:r>
      <w:r w:rsidR="6680934A" w:rsidRPr="0DC7E24F">
        <w:rPr>
          <w:rFonts w:cs="Times New Roman"/>
        </w:rPr>
        <w:t>eur</w:t>
      </w:r>
      <w:r w:rsidR="317285CD" w:rsidRPr="0DC7E24F">
        <w:rPr>
          <w:rFonts w:cs="Times New Roman"/>
        </w:rPr>
        <w:t xml:space="preserve"> </w:t>
      </w:r>
      <w:r w:rsidR="6680934A" w:rsidRPr="0DC7E24F">
        <w:rPr>
          <w:rFonts w:cs="Times New Roman"/>
        </w:rPr>
        <w:t xml:space="preserve">a </w:t>
      </w:r>
      <w:r w:rsidR="3713E66C" w:rsidRPr="0DC7E24F">
        <w:rPr>
          <w:rFonts w:cs="Times New Roman"/>
        </w:rPr>
        <w:t xml:space="preserve">rokovania s vlastníkom </w:t>
      </w:r>
      <w:r w:rsidR="6680934A" w:rsidRPr="0DC7E24F">
        <w:rPr>
          <w:rFonts w:cs="Times New Roman"/>
        </w:rPr>
        <w:t>o znížen</w:t>
      </w:r>
      <w:r w:rsidR="0E351B52" w:rsidRPr="0DC7E24F">
        <w:rPr>
          <w:rFonts w:cs="Times New Roman"/>
        </w:rPr>
        <w:t>í</w:t>
      </w:r>
      <w:r w:rsidR="02F5215C" w:rsidRPr="0DC7E24F">
        <w:rPr>
          <w:rFonts w:cs="Times New Roman"/>
        </w:rPr>
        <w:t xml:space="preserve"> nájomného</w:t>
      </w:r>
      <w:r w:rsidR="0E351B52" w:rsidRPr="0DC7E24F">
        <w:rPr>
          <w:rFonts w:cs="Times New Roman"/>
        </w:rPr>
        <w:t xml:space="preserve"> boli neúspešné.</w:t>
      </w:r>
    </w:p>
    <w:p w14:paraId="61DAE13A" w14:textId="32E4C997" w:rsidR="3DA4B33A" w:rsidRDefault="3DA4B33A" w:rsidP="0DC7E24F">
      <w:r w:rsidRPr="31CADDE7">
        <w:rPr>
          <w:b/>
          <w:bCs/>
        </w:rPr>
        <w:t xml:space="preserve">K vysokým nákladom prispieva aj </w:t>
      </w:r>
      <w:r w:rsidR="00195445">
        <w:rPr>
          <w:b/>
          <w:bCs/>
        </w:rPr>
        <w:t xml:space="preserve">nízka </w:t>
      </w:r>
      <w:r w:rsidR="12F6FBE1" w:rsidRPr="31CADDE7">
        <w:rPr>
          <w:b/>
          <w:bCs/>
        </w:rPr>
        <w:t>priestorov</w:t>
      </w:r>
      <w:r w:rsidR="0D93F181" w:rsidRPr="31CADDE7">
        <w:rPr>
          <w:b/>
          <w:bCs/>
        </w:rPr>
        <w:t>á</w:t>
      </w:r>
      <w:r w:rsidR="12F6FBE1" w:rsidRPr="31CADDE7">
        <w:rPr>
          <w:b/>
          <w:bCs/>
        </w:rPr>
        <w:t xml:space="preserve"> efektívn</w:t>
      </w:r>
      <w:r w:rsidR="5EEA8F29" w:rsidRPr="31CADDE7">
        <w:rPr>
          <w:b/>
          <w:bCs/>
        </w:rPr>
        <w:t>osť prenajímaných priestorov</w:t>
      </w:r>
      <w:r w:rsidR="006935F9" w:rsidRPr="31CADDE7">
        <w:rPr>
          <w:b/>
          <w:bCs/>
        </w:rPr>
        <w:t>.</w:t>
      </w:r>
      <w:r w:rsidR="006935F9" w:rsidRPr="31CADDE7">
        <w:rPr>
          <w:rFonts w:cs="Times New Roman"/>
          <w:b/>
          <w:bCs/>
        </w:rPr>
        <w:t xml:space="preserve"> </w:t>
      </w:r>
      <w:r w:rsidR="006935F9">
        <w:t xml:space="preserve">Na jedného zamestnanca </w:t>
      </w:r>
      <w:r w:rsidR="7CA9D5C7">
        <w:t>v prenájme</w:t>
      </w:r>
      <w:r w:rsidR="04D58EF0">
        <w:t xml:space="preserve"> aktuálne</w:t>
      </w:r>
      <w:r w:rsidR="7CA9D5C7">
        <w:t xml:space="preserve"> pripadá </w:t>
      </w:r>
      <w:r w:rsidR="03886DA3">
        <w:t>1</w:t>
      </w:r>
      <w:r w:rsidR="001D5E38">
        <w:t>6</w:t>
      </w:r>
      <w:r w:rsidR="5B69F27F">
        <w:t xml:space="preserve"> m</w:t>
      </w:r>
      <w:r w:rsidR="5B69F27F" w:rsidRPr="31CADDE7">
        <w:rPr>
          <w:vertAlign w:val="superscript"/>
        </w:rPr>
        <w:t>2</w:t>
      </w:r>
      <w:r w:rsidR="5B69F27F">
        <w:t xml:space="preserve"> administratívnej plochy, zatiaľ čo </w:t>
      </w:r>
      <w:r w:rsidR="006D5455">
        <w:t xml:space="preserve">v areáli </w:t>
      </w:r>
      <w:r w:rsidR="00E81A37">
        <w:t>HAU</w:t>
      </w:r>
      <w:r w:rsidR="006D5455">
        <w:t xml:space="preserve"> </w:t>
      </w:r>
      <w:r w:rsidR="72A5214F">
        <w:t>je to</w:t>
      </w:r>
      <w:r w:rsidR="006D5455">
        <w:t xml:space="preserve"> </w:t>
      </w:r>
      <w:r w:rsidR="72A5214F">
        <w:t xml:space="preserve">len </w:t>
      </w:r>
      <w:r w:rsidR="006D5455">
        <w:t>14</w:t>
      </w:r>
      <w:r w:rsidR="31D1B19C">
        <w:t xml:space="preserve"> až </w:t>
      </w:r>
      <w:r w:rsidR="1A40F036">
        <w:t>1</w:t>
      </w:r>
      <w:r w:rsidR="001D5E38">
        <w:t>5</w:t>
      </w:r>
      <w:r w:rsidR="006D5455">
        <w:t xml:space="preserve"> m</w:t>
      </w:r>
      <w:r w:rsidR="006D5455" w:rsidRPr="31CADDE7">
        <w:rPr>
          <w:vertAlign w:val="superscript"/>
        </w:rPr>
        <w:t>2</w:t>
      </w:r>
      <w:r w:rsidR="4D6C7B60">
        <w:t xml:space="preserve">. </w:t>
      </w:r>
      <w:r w:rsidR="440B499E">
        <w:t xml:space="preserve">Snahou </w:t>
      </w:r>
      <w:r w:rsidR="00E81A37">
        <w:t>HAU</w:t>
      </w:r>
      <w:r w:rsidR="440B499E">
        <w:t xml:space="preserve"> je nové priestory </w:t>
      </w:r>
      <w:r w:rsidR="67E505AA">
        <w:t xml:space="preserve">využiť </w:t>
      </w:r>
      <w:r w:rsidR="5A225656">
        <w:t xml:space="preserve">ešte </w:t>
      </w:r>
      <w:r w:rsidR="67E505AA">
        <w:t>efektívnejšie a dosiahnuť 12 m</w:t>
      </w:r>
      <w:r w:rsidR="67E505AA" w:rsidRPr="31CADDE7">
        <w:rPr>
          <w:vertAlign w:val="superscript"/>
        </w:rPr>
        <w:t>2</w:t>
      </w:r>
      <w:r w:rsidR="67E505AA">
        <w:t xml:space="preserve"> na zamestnanca.</w:t>
      </w:r>
      <w:r w:rsidR="76AF1C40">
        <w:t xml:space="preserve"> Celková administratívna plocha</w:t>
      </w:r>
      <w:r w:rsidR="63E30679">
        <w:t xml:space="preserve"> pre 500 zamestnancov</w:t>
      </w:r>
      <w:r w:rsidR="76AF1C40">
        <w:t xml:space="preserve"> tak </w:t>
      </w:r>
      <w:r w:rsidR="7738B88B">
        <w:t>dosiahne 6 tis. m</w:t>
      </w:r>
      <w:r w:rsidR="7738B88B" w:rsidRPr="00AE6BD0">
        <w:rPr>
          <w:vertAlign w:val="superscript"/>
        </w:rPr>
        <w:t>2</w:t>
      </w:r>
      <w:r w:rsidR="7738B88B">
        <w:t xml:space="preserve"> a oproti súčasnému stavu </w:t>
      </w:r>
      <w:r w:rsidR="76AF1C40">
        <w:t xml:space="preserve">klesne o </w:t>
      </w:r>
      <w:r w:rsidR="001D5E38">
        <w:t>25</w:t>
      </w:r>
      <w:r w:rsidR="1AA39EA0">
        <w:t xml:space="preserve"> %.</w:t>
      </w:r>
    </w:p>
    <w:p w14:paraId="69F10E63" w14:textId="2A35654D" w:rsidR="006D5455" w:rsidRPr="006B168E" w:rsidRDefault="006D5455" w:rsidP="465F9B3D">
      <w:pPr>
        <w:pStyle w:val="Popis"/>
        <w:spacing w:after="0"/>
        <w:rPr>
          <w:color w:val="auto"/>
          <w:sz w:val="20"/>
        </w:rPr>
      </w:pPr>
      <w:bookmarkStart w:id="3" w:name="_Toc121679696"/>
      <w:r w:rsidRPr="465F9B3D">
        <w:rPr>
          <w:color w:val="auto"/>
          <w:sz w:val="20"/>
        </w:rPr>
        <w:t xml:space="preserve">Tabuľka </w:t>
      </w:r>
      <w:r w:rsidRPr="465F9B3D">
        <w:rPr>
          <w:color w:val="auto"/>
          <w:sz w:val="20"/>
        </w:rPr>
        <w:fldChar w:fldCharType="begin"/>
      </w:r>
      <w:r w:rsidRPr="465F9B3D">
        <w:rPr>
          <w:color w:val="auto"/>
          <w:sz w:val="20"/>
        </w:rPr>
        <w:instrText xml:space="preserve"> SEQ Tabuľka \* ARABIC </w:instrText>
      </w:r>
      <w:r w:rsidRPr="465F9B3D">
        <w:rPr>
          <w:color w:val="auto"/>
          <w:sz w:val="20"/>
        </w:rPr>
        <w:fldChar w:fldCharType="separate"/>
      </w:r>
      <w:r w:rsidR="006E5723">
        <w:rPr>
          <w:noProof/>
          <w:color w:val="auto"/>
          <w:sz w:val="20"/>
        </w:rPr>
        <w:t>1</w:t>
      </w:r>
      <w:r w:rsidRPr="465F9B3D">
        <w:rPr>
          <w:color w:val="auto"/>
          <w:sz w:val="20"/>
        </w:rPr>
        <w:fldChar w:fldCharType="end"/>
      </w:r>
      <w:r w:rsidRPr="465F9B3D">
        <w:rPr>
          <w:color w:val="auto"/>
          <w:sz w:val="20"/>
        </w:rPr>
        <w:t>: Využitie priestorových kapacít</w:t>
      </w:r>
      <w:r w:rsidR="45F0ABBF" w:rsidRPr="465F9B3D">
        <w:rPr>
          <w:color w:val="auto"/>
          <w:sz w:val="20"/>
        </w:rPr>
        <w:t xml:space="preserve"> (čistá administratívna plocha)</w:t>
      </w:r>
      <w:bookmarkEnd w:id="3"/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842"/>
        <w:gridCol w:w="2127"/>
        <w:gridCol w:w="1842"/>
      </w:tblGrid>
      <w:tr w:rsidR="006D5455" w:rsidRPr="00AE6BD0" w14:paraId="22C4BC2D" w14:textId="77777777" w:rsidTr="00C07516">
        <w:trPr>
          <w:trHeight w:val="42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F02F" w14:textId="77777777" w:rsidR="006D5455" w:rsidRPr="00AE6BD0" w:rsidRDefault="006D5455" w:rsidP="0038559D">
            <w:pPr>
              <w:keepNext/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E6BD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Lokalita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3A7570" w14:textId="77777777" w:rsidR="006D5455" w:rsidRPr="00AE6BD0" w:rsidRDefault="006D5455" w:rsidP="0038559D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E6BD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Plocha (m</w:t>
            </w:r>
            <w:r w:rsidRPr="00AE6BD0"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  <w:lang w:eastAsia="sk-SK"/>
              </w:rPr>
              <w:t>2</w:t>
            </w:r>
            <w:r w:rsidRPr="00AE6BD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425928" w14:textId="77777777" w:rsidR="006D5455" w:rsidRPr="00AE6BD0" w:rsidRDefault="006D5455" w:rsidP="0038559D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E6BD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Počet zamestnancov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3A3D5" w14:textId="77777777" w:rsidR="006D5455" w:rsidRPr="00AE6BD0" w:rsidRDefault="006D5455" w:rsidP="0038559D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E6BD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Priestorová efektiv</w:t>
            </w:r>
            <w:r w:rsidR="00F94814" w:rsidRPr="00AE6BD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i</w:t>
            </w:r>
            <w:r w:rsidRPr="00AE6BD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ta</w:t>
            </w:r>
          </w:p>
        </w:tc>
      </w:tr>
      <w:tr w:rsidR="006D5455" w:rsidRPr="00AE6BD0" w14:paraId="12E5F609" w14:textId="77777777" w:rsidTr="00C07516">
        <w:trPr>
          <w:trHeight w:val="268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A1AB" w14:textId="4B16773F" w:rsidR="006D5455" w:rsidRPr="00AE6BD0" w:rsidRDefault="399526A4" w:rsidP="0038559D">
            <w:pPr>
              <w:keepNext/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AE6BD0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Areál </w:t>
            </w:r>
            <w:r w:rsidR="00E81A37" w:rsidRPr="00AE6BD0">
              <w:rPr>
                <w:rFonts w:eastAsia="Times New Roman" w:cs="Times New Roman"/>
                <w:sz w:val="20"/>
                <w:szCs w:val="20"/>
                <w:lang w:eastAsia="sk-SK"/>
              </w:rPr>
              <w:t>HAU</w:t>
            </w:r>
            <w:r w:rsidRPr="00AE6BD0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(budova A)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3466" w14:textId="24A705C2" w:rsidR="006D5455" w:rsidRPr="00AE6BD0" w:rsidRDefault="006D5455" w:rsidP="0038559D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AE6BD0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2 </w:t>
            </w:r>
            <w:r w:rsidR="001D5E38" w:rsidRPr="00AE6BD0">
              <w:rPr>
                <w:rFonts w:eastAsia="Times New Roman" w:cs="Times New Roman"/>
                <w:sz w:val="20"/>
                <w:szCs w:val="20"/>
                <w:lang w:eastAsia="sk-SK"/>
              </w:rPr>
              <w:t>0</w:t>
            </w:r>
            <w:r w:rsidRPr="00AE6BD0">
              <w:rPr>
                <w:rFonts w:eastAsia="Times New Roman" w:cs="Times New Roman"/>
                <w:sz w:val="20"/>
                <w:szCs w:val="20"/>
                <w:lang w:eastAsia="sk-SK"/>
              </w:rPr>
              <w:t>0</w:t>
            </w:r>
            <w:r w:rsidR="1299B370" w:rsidRPr="00AE6BD0">
              <w:rPr>
                <w:rFonts w:eastAsia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8579" w14:textId="63274A27" w:rsidR="006D5455" w:rsidRPr="00AE6BD0" w:rsidRDefault="006D5455" w:rsidP="0038559D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AE6BD0">
              <w:rPr>
                <w:rFonts w:eastAsia="Times New Roman" w:cs="Times New Roman"/>
                <w:sz w:val="20"/>
                <w:szCs w:val="20"/>
                <w:lang w:eastAsia="sk-SK"/>
              </w:rPr>
              <w:t>14</w:t>
            </w:r>
            <w:r w:rsidR="578C7E6E" w:rsidRPr="00AE6BD0">
              <w:rPr>
                <w:rFonts w:eastAsia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1415F84F" w14:textId="79C859BB" w:rsidR="006D5455" w:rsidRPr="00AE6BD0" w:rsidRDefault="006D5455" w:rsidP="0038559D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AE6BD0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14 </w:t>
            </w:r>
            <w:r w:rsidR="00AE6BD0" w:rsidRPr="00AE6BD0">
              <w:rPr>
                <w:sz w:val="20"/>
                <w:szCs w:val="20"/>
              </w:rPr>
              <w:t>m</w:t>
            </w:r>
            <w:r w:rsidR="00AE6BD0" w:rsidRPr="00AE6BD0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6D5455" w:rsidRPr="00AE6BD0" w14:paraId="102BC70F" w14:textId="77777777" w:rsidTr="00C07516">
        <w:trPr>
          <w:trHeight w:val="268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AFD883B" w14:textId="13EA2BB0" w:rsidR="006D5455" w:rsidRPr="00AE6BD0" w:rsidRDefault="18F15AD8" w:rsidP="0038559D">
            <w:pPr>
              <w:keepNext/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AE6BD0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Areál </w:t>
            </w:r>
            <w:r w:rsidR="00E81A37" w:rsidRPr="00AE6BD0">
              <w:rPr>
                <w:rFonts w:eastAsia="Times New Roman" w:cs="Times New Roman"/>
                <w:sz w:val="20"/>
                <w:szCs w:val="20"/>
                <w:lang w:eastAsia="sk-SK"/>
              </w:rPr>
              <w:t>HAU</w:t>
            </w:r>
            <w:r w:rsidRPr="00AE6BD0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(budova B)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C5FA683" w14:textId="413C0825" w:rsidR="006D5455" w:rsidRPr="00AE6BD0" w:rsidRDefault="1686835D" w:rsidP="003855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6BD0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1 </w:t>
            </w:r>
            <w:r w:rsidR="001D5E38" w:rsidRPr="00AE6BD0">
              <w:rPr>
                <w:rFonts w:eastAsia="Times New Roman" w:cs="Times New Roman"/>
                <w:sz w:val="20"/>
                <w:szCs w:val="20"/>
                <w:lang w:eastAsia="sk-SK"/>
              </w:rPr>
              <w:t>45</w:t>
            </w:r>
            <w:r w:rsidRPr="00AE6BD0">
              <w:rPr>
                <w:rFonts w:eastAsia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27AF44A3" w14:textId="1576762A" w:rsidR="006D5455" w:rsidRPr="00AE6BD0" w:rsidRDefault="6079FDB8" w:rsidP="003855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6BD0">
              <w:rPr>
                <w:rFonts w:eastAsia="Times New Roman" w:cs="Times New Roman"/>
                <w:sz w:val="20"/>
                <w:szCs w:val="20"/>
                <w:lang w:eastAsia="sk-SK"/>
              </w:rPr>
              <w:t>95</w:t>
            </w:r>
          </w:p>
        </w:tc>
        <w:tc>
          <w:tcPr>
            <w:tcW w:w="1842" w:type="dxa"/>
            <w:vAlign w:val="center"/>
          </w:tcPr>
          <w:p w14:paraId="41CCCACC" w14:textId="4CD0FD17" w:rsidR="006D5455" w:rsidRPr="00AE6BD0" w:rsidRDefault="006D5455" w:rsidP="0038559D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AE6BD0">
              <w:rPr>
                <w:rFonts w:eastAsia="Times New Roman" w:cs="Times New Roman"/>
                <w:sz w:val="20"/>
                <w:szCs w:val="20"/>
                <w:lang w:eastAsia="sk-SK"/>
              </w:rPr>
              <w:t>1</w:t>
            </w:r>
            <w:r w:rsidR="001D5E38" w:rsidRPr="00AE6BD0">
              <w:rPr>
                <w:rFonts w:eastAsia="Times New Roman" w:cs="Times New Roman"/>
                <w:sz w:val="20"/>
                <w:szCs w:val="20"/>
                <w:lang w:eastAsia="sk-SK"/>
              </w:rPr>
              <w:t>5</w:t>
            </w:r>
            <w:r w:rsidRPr="00AE6BD0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</w:t>
            </w:r>
            <w:r w:rsidR="00AE6BD0" w:rsidRPr="00AE6BD0">
              <w:rPr>
                <w:sz w:val="20"/>
                <w:szCs w:val="20"/>
              </w:rPr>
              <w:t>m</w:t>
            </w:r>
            <w:r w:rsidR="00AE6BD0" w:rsidRPr="00AE6BD0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6D5455" w:rsidRPr="00AE6BD0" w14:paraId="518211F6" w14:textId="77777777" w:rsidTr="00C07516">
        <w:trPr>
          <w:trHeight w:val="268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9145669" w14:textId="54B3F805" w:rsidR="006D5455" w:rsidRPr="00AE6BD0" w:rsidRDefault="006D5455" w:rsidP="0038559D">
            <w:pPr>
              <w:keepNext/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AE6BD0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Park </w:t>
            </w:r>
            <w:proofErr w:type="spellStart"/>
            <w:r w:rsidRPr="00AE6BD0">
              <w:rPr>
                <w:rFonts w:eastAsia="Times New Roman" w:cs="Times New Roman"/>
                <w:sz w:val="20"/>
                <w:szCs w:val="20"/>
                <w:lang w:eastAsia="sk-SK"/>
              </w:rPr>
              <w:t>Two</w:t>
            </w:r>
            <w:proofErr w:type="spellEnd"/>
            <w:r w:rsidR="408D621D" w:rsidRPr="00AE6BD0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(prenájom)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40FAFCA" w14:textId="709675ED" w:rsidR="006D5455" w:rsidRPr="00AE6BD0" w:rsidRDefault="001D5E38" w:rsidP="0038559D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AE6BD0">
              <w:rPr>
                <w:rFonts w:eastAsia="Times New Roman" w:cs="Times New Roman"/>
                <w:sz w:val="20"/>
                <w:szCs w:val="20"/>
                <w:lang w:eastAsia="sk-SK"/>
              </w:rPr>
              <w:t>8</w:t>
            </w:r>
            <w:r w:rsidR="3698485F" w:rsidRPr="00AE6BD0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2D25D4D" w14:textId="73A52FE2" w:rsidR="006D5455" w:rsidRPr="00AE6BD0" w:rsidRDefault="6D2D9D29" w:rsidP="0038559D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AE6BD0">
              <w:rPr>
                <w:rFonts w:eastAsia="Times New Roman" w:cs="Times New Roman"/>
                <w:sz w:val="20"/>
                <w:szCs w:val="20"/>
                <w:lang w:eastAsia="sk-SK"/>
              </w:rPr>
              <w:t>5</w:t>
            </w:r>
            <w:r w:rsidR="5D6EE2B0" w:rsidRPr="00AE6BD0">
              <w:rPr>
                <w:rFonts w:eastAsia="Times New Roman" w:cs="Times New Roman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1842" w:type="dxa"/>
            <w:vAlign w:val="center"/>
          </w:tcPr>
          <w:p w14:paraId="24003716" w14:textId="69ABEEED" w:rsidR="006D5455" w:rsidRPr="00AE6BD0" w:rsidRDefault="006D5455" w:rsidP="0038559D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AE6BD0">
              <w:rPr>
                <w:rFonts w:eastAsia="Times New Roman" w:cs="Times New Roman"/>
                <w:sz w:val="20"/>
                <w:szCs w:val="20"/>
                <w:lang w:eastAsia="sk-SK"/>
              </w:rPr>
              <w:t>1</w:t>
            </w:r>
            <w:r w:rsidR="001D5E38" w:rsidRPr="00AE6BD0">
              <w:rPr>
                <w:rFonts w:eastAsia="Times New Roman" w:cs="Times New Roman"/>
                <w:sz w:val="20"/>
                <w:szCs w:val="20"/>
                <w:lang w:eastAsia="sk-SK"/>
              </w:rPr>
              <w:t>6</w:t>
            </w:r>
            <w:r w:rsidRPr="00AE6BD0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</w:t>
            </w:r>
            <w:r w:rsidR="00AE6BD0" w:rsidRPr="00AE6BD0">
              <w:rPr>
                <w:sz w:val="20"/>
                <w:szCs w:val="20"/>
              </w:rPr>
              <w:t>m</w:t>
            </w:r>
            <w:r w:rsidR="00AE6BD0" w:rsidRPr="00AE6BD0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465F9B3D" w:rsidRPr="00AE6BD0" w14:paraId="34D4EE71" w14:textId="77777777" w:rsidTr="00C07516">
        <w:trPr>
          <w:trHeight w:val="268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53445B2" w14:textId="3319947B" w:rsidR="253093E3" w:rsidRPr="00AE6BD0" w:rsidRDefault="253093E3" w:rsidP="0038559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AE6BD0">
              <w:rPr>
                <w:rFonts w:eastAsia="Times New Roman" w:cs="Times New Roman"/>
                <w:sz w:val="20"/>
                <w:szCs w:val="20"/>
                <w:lang w:eastAsia="sk-SK"/>
              </w:rPr>
              <w:t>Nová budova “Lajka”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11E843F" w14:textId="3F6C1170" w:rsidR="54A79EFD" w:rsidRPr="00AE6BD0" w:rsidRDefault="7C4AFC55" w:rsidP="003855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AE6BD0">
              <w:rPr>
                <w:rFonts w:eastAsia="Times New Roman" w:cs="Times New Roman"/>
                <w:sz w:val="20"/>
                <w:szCs w:val="20"/>
                <w:lang w:eastAsia="sk-SK"/>
              </w:rPr>
              <w:t>6</w:t>
            </w:r>
            <w:r w:rsidR="1BE9B4D1" w:rsidRPr="00AE6BD0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754833D0" w14:textId="2B4A0829" w:rsidR="465F9B3D" w:rsidRPr="00AE6BD0" w:rsidRDefault="21385502" w:rsidP="003855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AE6BD0">
              <w:rPr>
                <w:rFonts w:eastAsia="Times New Roman" w:cs="Times New Roman"/>
                <w:sz w:val="20"/>
                <w:szCs w:val="20"/>
                <w:lang w:eastAsia="sk-SK"/>
              </w:rPr>
              <w:t>500</w:t>
            </w:r>
          </w:p>
        </w:tc>
        <w:tc>
          <w:tcPr>
            <w:tcW w:w="1842" w:type="dxa"/>
            <w:vAlign w:val="center"/>
          </w:tcPr>
          <w:p w14:paraId="35683877" w14:textId="16F31F7F" w:rsidR="465F9B3D" w:rsidRPr="00AE6BD0" w:rsidRDefault="21385502" w:rsidP="003855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AE6BD0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12 </w:t>
            </w:r>
            <w:r w:rsidR="00AE6BD0" w:rsidRPr="00AE6BD0">
              <w:rPr>
                <w:sz w:val="20"/>
                <w:szCs w:val="20"/>
              </w:rPr>
              <w:t>m</w:t>
            </w:r>
            <w:r w:rsidR="00AE6BD0" w:rsidRPr="00AE6BD0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6D5455" w:rsidRPr="00AE6BD0" w14:paraId="588BFDE0" w14:textId="77777777" w:rsidTr="0DC7E24F">
        <w:trPr>
          <w:trHeight w:val="251"/>
        </w:trPr>
        <w:tc>
          <w:tcPr>
            <w:tcW w:w="9072" w:type="dxa"/>
            <w:gridSpan w:val="4"/>
            <w:tcBorders>
              <w:top w:val="single" w:sz="4" w:space="0" w:color="auto"/>
            </w:tcBorders>
            <w:shd w:val="clear" w:color="auto" w:fill="auto"/>
            <w:noWrap/>
          </w:tcPr>
          <w:p w14:paraId="5A9A4020" w14:textId="784BAC86" w:rsidR="006D5455" w:rsidRPr="0038559D" w:rsidRDefault="006D5455" w:rsidP="0038559D">
            <w:pPr>
              <w:keepNext/>
              <w:spacing w:after="0" w:line="240" w:lineRule="auto"/>
              <w:jc w:val="right"/>
              <w:rPr>
                <w:rFonts w:cs="Times New Roman"/>
                <w:i/>
                <w:sz w:val="16"/>
                <w:szCs w:val="20"/>
                <w:lang w:eastAsia="cs-CZ"/>
              </w:rPr>
            </w:pPr>
            <w:r w:rsidRPr="0038559D">
              <w:rPr>
                <w:rFonts w:cs="Times New Roman"/>
                <w:i/>
                <w:sz w:val="16"/>
                <w:szCs w:val="20"/>
                <w:lang w:eastAsia="cs-CZ"/>
              </w:rPr>
              <w:t>Zdroj:</w:t>
            </w:r>
            <w:r w:rsidRPr="0038559D">
              <w:rPr>
                <w:rFonts w:cs="Times New Roman"/>
                <w:i/>
                <w:sz w:val="16"/>
                <w:szCs w:val="20"/>
              </w:rPr>
              <w:t xml:space="preserve"> </w:t>
            </w:r>
            <w:r w:rsidR="00E81A37" w:rsidRPr="0038559D">
              <w:rPr>
                <w:rFonts w:cs="Times New Roman"/>
                <w:i/>
                <w:sz w:val="16"/>
                <w:szCs w:val="20"/>
              </w:rPr>
              <w:t>HAU</w:t>
            </w:r>
          </w:p>
        </w:tc>
      </w:tr>
    </w:tbl>
    <w:p w14:paraId="6C12B154" w14:textId="18044608" w:rsidR="0003675E" w:rsidRDefault="0003675E" w:rsidP="006B168E">
      <w:pPr>
        <w:rPr>
          <w:rFonts w:cs="Times New Roman"/>
          <w:color w:val="000000" w:themeColor="text1"/>
        </w:rPr>
      </w:pPr>
      <w:r w:rsidRPr="465F9B3D">
        <w:rPr>
          <w:rFonts w:cs="Times New Roman"/>
          <w:b/>
          <w:bCs/>
          <w:color w:val="000000" w:themeColor="text1"/>
        </w:rPr>
        <w:t xml:space="preserve">Výstavba novej budovy v areáli </w:t>
      </w:r>
      <w:r w:rsidR="00E81A37">
        <w:rPr>
          <w:rFonts w:cs="Times New Roman"/>
          <w:b/>
          <w:bCs/>
          <w:color w:val="000000" w:themeColor="text1"/>
        </w:rPr>
        <w:t>HAU</w:t>
      </w:r>
      <w:r w:rsidRPr="465F9B3D">
        <w:rPr>
          <w:rFonts w:cs="Times New Roman"/>
          <w:b/>
          <w:bCs/>
          <w:color w:val="000000" w:themeColor="text1"/>
        </w:rPr>
        <w:t xml:space="preserve"> umožní centralizáciu organizačných útvarov a úsporu na podporných činnostiach. </w:t>
      </w:r>
      <w:r w:rsidRPr="465F9B3D">
        <w:rPr>
          <w:rFonts w:cs="Times New Roman"/>
          <w:color w:val="000000" w:themeColor="text1"/>
        </w:rPr>
        <w:t xml:space="preserve">Agenda zamestnancov vyžaduje pravidelné stretávanie jednotlivých organizačných útvarov. Zjednotenie </w:t>
      </w:r>
      <w:r w:rsidR="00E81A37">
        <w:rPr>
          <w:rFonts w:cs="Times New Roman"/>
          <w:color w:val="000000" w:themeColor="text1"/>
        </w:rPr>
        <w:t>HAU</w:t>
      </w:r>
      <w:r w:rsidRPr="465F9B3D">
        <w:rPr>
          <w:rFonts w:cs="Times New Roman"/>
          <w:color w:val="000000" w:themeColor="text1"/>
        </w:rPr>
        <w:t xml:space="preserve"> v rámci jedného areálu umožní efektívnejšiu prácu a úsporu nákladov na podporných činnostiach (</w:t>
      </w:r>
      <w:r w:rsidR="0BD58EF0" w:rsidRPr="465F9B3D">
        <w:rPr>
          <w:rFonts w:cs="Times New Roman"/>
          <w:color w:val="000000" w:themeColor="text1"/>
        </w:rPr>
        <w:t>bezpečnostná služba</w:t>
      </w:r>
      <w:r w:rsidRPr="465F9B3D">
        <w:rPr>
          <w:rFonts w:cs="Times New Roman"/>
          <w:color w:val="000000" w:themeColor="text1"/>
        </w:rPr>
        <w:t>, kancelárska podpora, a</w:t>
      </w:r>
      <w:r w:rsidR="2273558A" w:rsidRPr="465F9B3D">
        <w:rPr>
          <w:rFonts w:cs="Times New Roman"/>
          <w:color w:val="000000" w:themeColor="text1"/>
        </w:rPr>
        <w:t xml:space="preserve"> pod.</w:t>
      </w:r>
      <w:r w:rsidRPr="465F9B3D">
        <w:rPr>
          <w:rFonts w:cs="Times New Roman"/>
          <w:color w:val="000000" w:themeColor="text1"/>
        </w:rPr>
        <w:t>).</w:t>
      </w:r>
    </w:p>
    <w:p w14:paraId="67EBCBDA" w14:textId="77777777" w:rsidR="00C13786" w:rsidRPr="004F3027" w:rsidRDefault="009F388B" w:rsidP="009F388B">
      <w:pPr>
        <w:pStyle w:val="Nadpis1"/>
      </w:pPr>
      <w:bookmarkStart w:id="4" w:name="_Toc121679686"/>
      <w:r>
        <w:t>Opis a a</w:t>
      </w:r>
      <w:r w:rsidR="00C13786" w:rsidRPr="004F3027">
        <w:t xml:space="preserve">nalýza </w:t>
      </w:r>
      <w:r>
        <w:t>alternatív</w:t>
      </w:r>
      <w:bookmarkEnd w:id="4"/>
    </w:p>
    <w:p w14:paraId="3E808624" w14:textId="44514730" w:rsidR="00316F16" w:rsidRDefault="00316F16" w:rsidP="00316F16">
      <w:pPr>
        <w:rPr>
          <w:rFonts w:cs="Times New Roman"/>
          <w:color w:val="000000"/>
        </w:rPr>
      </w:pPr>
      <w:r w:rsidRPr="31CADDE7">
        <w:rPr>
          <w:rFonts w:cs="Times New Roman"/>
          <w:b/>
          <w:bCs/>
          <w:color w:val="000000" w:themeColor="text1"/>
        </w:rPr>
        <w:t>Na základe stanovených cieľov bol</w:t>
      </w:r>
      <w:r w:rsidR="65302C9B" w:rsidRPr="31CADDE7">
        <w:rPr>
          <w:rFonts w:cs="Times New Roman"/>
          <w:b/>
          <w:bCs/>
          <w:color w:val="000000" w:themeColor="text1"/>
        </w:rPr>
        <w:t>i</w:t>
      </w:r>
      <w:r w:rsidRPr="31CADDE7">
        <w:rPr>
          <w:rFonts w:cs="Times New Roman"/>
          <w:b/>
          <w:bCs/>
          <w:color w:val="000000" w:themeColor="text1"/>
        </w:rPr>
        <w:t xml:space="preserve"> identifikovan</w:t>
      </w:r>
      <w:r w:rsidR="0799FACA" w:rsidRPr="31CADDE7">
        <w:rPr>
          <w:rFonts w:cs="Times New Roman"/>
          <w:b/>
          <w:bCs/>
          <w:color w:val="000000" w:themeColor="text1"/>
        </w:rPr>
        <w:t>é</w:t>
      </w:r>
      <w:r w:rsidRPr="31CADDE7">
        <w:rPr>
          <w:rFonts w:cs="Times New Roman"/>
          <w:b/>
          <w:bCs/>
          <w:color w:val="000000" w:themeColor="text1"/>
        </w:rPr>
        <w:t xml:space="preserve"> a analyzovan</w:t>
      </w:r>
      <w:r w:rsidR="0B3D972B" w:rsidRPr="31CADDE7">
        <w:rPr>
          <w:rFonts w:cs="Times New Roman"/>
          <w:b/>
          <w:bCs/>
          <w:color w:val="000000" w:themeColor="text1"/>
        </w:rPr>
        <w:t>é</w:t>
      </w:r>
      <w:r w:rsidRPr="31CADDE7">
        <w:rPr>
          <w:rFonts w:cs="Times New Roman"/>
          <w:b/>
          <w:bCs/>
          <w:color w:val="000000" w:themeColor="text1"/>
        </w:rPr>
        <w:t xml:space="preserve"> </w:t>
      </w:r>
      <w:r w:rsidR="007738B9" w:rsidRPr="31CADDE7">
        <w:rPr>
          <w:rFonts w:cs="Times New Roman"/>
          <w:b/>
          <w:bCs/>
          <w:color w:val="000000" w:themeColor="text1"/>
        </w:rPr>
        <w:t xml:space="preserve">štyri </w:t>
      </w:r>
      <w:r w:rsidRPr="31CADDE7">
        <w:rPr>
          <w:rFonts w:cs="Times New Roman"/>
          <w:b/>
          <w:bCs/>
          <w:color w:val="000000" w:themeColor="text1"/>
        </w:rPr>
        <w:t>alternatív</w:t>
      </w:r>
      <w:r w:rsidR="71021462" w:rsidRPr="31CADDE7">
        <w:rPr>
          <w:rFonts w:cs="Times New Roman"/>
          <w:b/>
          <w:bCs/>
          <w:color w:val="000000" w:themeColor="text1"/>
        </w:rPr>
        <w:t>y</w:t>
      </w:r>
      <w:r w:rsidRPr="31CADDE7">
        <w:rPr>
          <w:rFonts w:cs="Times New Roman"/>
          <w:b/>
          <w:bCs/>
          <w:color w:val="000000" w:themeColor="text1"/>
        </w:rPr>
        <w:t>.</w:t>
      </w:r>
      <w:r w:rsidRPr="31CADDE7">
        <w:rPr>
          <w:rFonts w:cs="Times New Roman"/>
          <w:color w:val="000000" w:themeColor="text1"/>
        </w:rPr>
        <w:t xml:space="preserve"> Hlavným cieľom je </w:t>
      </w:r>
      <w:r w:rsidR="3992974A" w:rsidRPr="31CADDE7">
        <w:rPr>
          <w:rFonts w:cs="Times New Roman"/>
          <w:color w:val="000000" w:themeColor="text1"/>
        </w:rPr>
        <w:t>dlhodobé zníženie prevádzkových nákladov</w:t>
      </w:r>
      <w:r w:rsidRPr="31CADDE7">
        <w:rPr>
          <w:rFonts w:cs="Times New Roman"/>
          <w:color w:val="000000" w:themeColor="text1"/>
        </w:rPr>
        <w:t xml:space="preserve">, čo je možné splniť </w:t>
      </w:r>
      <w:r w:rsidR="4D0CFFF9" w:rsidRPr="31CADDE7">
        <w:rPr>
          <w:rFonts w:cs="Times New Roman"/>
          <w:color w:val="000000" w:themeColor="text1"/>
        </w:rPr>
        <w:t>výstavbou vlastného objektu, lacnejším nájmom alebo odkúpením budovy</w:t>
      </w:r>
      <w:r w:rsidRPr="31CADDE7">
        <w:rPr>
          <w:rFonts w:cs="Times New Roman"/>
          <w:color w:val="000000" w:themeColor="text1"/>
        </w:rPr>
        <w:t>.</w:t>
      </w:r>
    </w:p>
    <w:p w14:paraId="458EDC4F" w14:textId="41F3DD1E" w:rsidR="00316F16" w:rsidRPr="005F186D" w:rsidRDefault="00316F16" w:rsidP="31CADDE7">
      <w:r w:rsidRPr="31CADDE7">
        <w:rPr>
          <w:rFonts w:eastAsiaTheme="majorEastAsia" w:cstheme="majorBidi"/>
          <w:b/>
          <w:bCs/>
        </w:rPr>
        <w:t xml:space="preserve">Alternatíva 0 – Status </w:t>
      </w:r>
      <w:proofErr w:type="spellStart"/>
      <w:r w:rsidRPr="31CADDE7">
        <w:rPr>
          <w:rFonts w:eastAsiaTheme="majorEastAsia" w:cstheme="majorBidi"/>
          <w:b/>
          <w:bCs/>
        </w:rPr>
        <w:t>quo</w:t>
      </w:r>
      <w:proofErr w:type="spellEnd"/>
      <w:r w:rsidRPr="31CADDE7">
        <w:rPr>
          <w:rFonts w:eastAsiaTheme="majorEastAsia" w:cstheme="majorBidi"/>
          <w:b/>
          <w:bCs/>
        </w:rPr>
        <w:t xml:space="preserve"> (pokračovanie v súčasnom </w:t>
      </w:r>
      <w:r w:rsidR="117E0552" w:rsidRPr="31CADDE7">
        <w:rPr>
          <w:rFonts w:eastAsiaTheme="majorEastAsia" w:cstheme="majorBidi"/>
          <w:b/>
          <w:bCs/>
        </w:rPr>
        <w:t>nájm</w:t>
      </w:r>
      <w:r w:rsidRPr="31CADDE7">
        <w:rPr>
          <w:rFonts w:eastAsiaTheme="majorEastAsia" w:cstheme="majorBidi"/>
          <w:b/>
          <w:bCs/>
        </w:rPr>
        <w:t>e)</w:t>
      </w:r>
      <w:r w:rsidRPr="31CADDE7">
        <w:rPr>
          <w:rFonts w:eastAsiaTheme="majorEastAsia" w:cstheme="majorBidi"/>
        </w:rPr>
        <w:t xml:space="preserve"> je považovaná za ne</w:t>
      </w:r>
      <w:r w:rsidR="5373965D" w:rsidRPr="31CADDE7">
        <w:rPr>
          <w:rFonts w:eastAsiaTheme="majorEastAsia" w:cstheme="majorBidi"/>
        </w:rPr>
        <w:t>hospodárn</w:t>
      </w:r>
      <w:r w:rsidR="03278466" w:rsidRPr="31CADDE7">
        <w:rPr>
          <w:rFonts w:eastAsiaTheme="majorEastAsia" w:cstheme="majorBidi"/>
        </w:rPr>
        <w:t>e riešenie</w:t>
      </w:r>
      <w:r w:rsidR="5373965D" w:rsidRPr="31CADDE7">
        <w:rPr>
          <w:rFonts w:eastAsiaTheme="majorEastAsia" w:cstheme="majorBidi"/>
        </w:rPr>
        <w:t xml:space="preserve"> </w:t>
      </w:r>
      <w:r>
        <w:t xml:space="preserve">z dôvodu </w:t>
      </w:r>
      <w:r w:rsidR="53F58FCE">
        <w:t xml:space="preserve">vysokých ročných nákladov </w:t>
      </w:r>
      <w:r w:rsidR="4F115AF3">
        <w:t>na prenájom</w:t>
      </w:r>
      <w:r w:rsidR="6279F6FE">
        <w:t xml:space="preserve"> priestorov v Park </w:t>
      </w:r>
      <w:proofErr w:type="spellStart"/>
      <w:r w:rsidR="6279F6FE">
        <w:t>Two</w:t>
      </w:r>
      <w:proofErr w:type="spellEnd"/>
      <w:r w:rsidR="4F115AF3">
        <w:t xml:space="preserve"> </w:t>
      </w:r>
      <w:r>
        <w:t>a nemožnos</w:t>
      </w:r>
      <w:r w:rsidR="4F229DB0">
        <w:t>ť</w:t>
      </w:r>
      <w:r>
        <w:t xml:space="preserve"> </w:t>
      </w:r>
      <w:r w:rsidR="11A57EA8">
        <w:t>úpravy</w:t>
      </w:r>
      <w:r>
        <w:t xml:space="preserve"> nájomnej zmluvy.</w:t>
      </w:r>
    </w:p>
    <w:p w14:paraId="7AD03DCF" w14:textId="4034DE7B" w:rsidR="00316F16" w:rsidRPr="005F186D" w:rsidRDefault="43FE6D12" w:rsidP="00316F16">
      <w:r w:rsidRPr="31CADDE7">
        <w:rPr>
          <w:rFonts w:eastAsiaTheme="majorEastAsia" w:cstheme="majorBidi"/>
          <w:b/>
          <w:bCs/>
        </w:rPr>
        <w:t>Alternatíva 1 – Výstavba nového objektu</w:t>
      </w:r>
      <w:r w:rsidRPr="31CADDE7">
        <w:rPr>
          <w:rFonts w:eastAsiaTheme="majorEastAsia" w:cstheme="majorBidi"/>
        </w:rPr>
        <w:t xml:space="preserve"> </w:t>
      </w:r>
      <w:r>
        <w:t xml:space="preserve">počíta s presťahovaním všetkých </w:t>
      </w:r>
      <w:r w:rsidR="7A0AB864">
        <w:t xml:space="preserve">500 </w:t>
      </w:r>
      <w:r>
        <w:t xml:space="preserve">zamestnancov </w:t>
      </w:r>
      <w:r w:rsidR="73A42200">
        <w:t>z</w:t>
      </w:r>
      <w:r>
        <w:t xml:space="preserve"> Park </w:t>
      </w:r>
      <w:proofErr w:type="spellStart"/>
      <w:r>
        <w:t>Two</w:t>
      </w:r>
      <w:proofErr w:type="spellEnd"/>
      <w:r>
        <w:t xml:space="preserve"> do novej administratívnej budovy „Lajka“. </w:t>
      </w:r>
      <w:r w:rsidR="2E324492">
        <w:t>Efektívnym riešením priestorov sa dosiahne nižšia potreba administratívnej plochy a nižších prevádzkových nákladov</w:t>
      </w:r>
      <w:r>
        <w:t>.</w:t>
      </w:r>
    </w:p>
    <w:p w14:paraId="407A2631" w14:textId="6F35FF15" w:rsidR="00316F16" w:rsidRPr="005F186D" w:rsidRDefault="00316F16" w:rsidP="00316F16">
      <w:r w:rsidRPr="31CADDE7">
        <w:rPr>
          <w:rFonts w:eastAsiaTheme="majorEastAsia" w:cstheme="majorBidi"/>
          <w:b/>
          <w:bCs/>
        </w:rPr>
        <w:t xml:space="preserve">Alternatíva 2 – Prenájom nových priestorov </w:t>
      </w:r>
      <w:r w:rsidR="4D143057">
        <w:t xml:space="preserve">predpokladá zrušenie </w:t>
      </w:r>
      <w:r w:rsidR="119B79CB">
        <w:t>nájom</w:t>
      </w:r>
      <w:r w:rsidR="4D143057">
        <w:t xml:space="preserve">nej </w:t>
      </w:r>
      <w:r>
        <w:t>zmluvy v </w:t>
      </w:r>
      <w:r w:rsidR="00F95520">
        <w:t xml:space="preserve">Park </w:t>
      </w:r>
      <w:proofErr w:type="spellStart"/>
      <w:r w:rsidR="00F95520">
        <w:t>Two</w:t>
      </w:r>
      <w:proofErr w:type="spellEnd"/>
      <w:r w:rsidR="1B1F8DD3">
        <w:t xml:space="preserve"> a</w:t>
      </w:r>
      <w:r>
        <w:t xml:space="preserve"> presun všetkých zamestnancov </w:t>
      </w:r>
      <w:r w:rsidR="53F08A5F">
        <w:t>do</w:t>
      </w:r>
      <w:r>
        <w:t xml:space="preserve"> </w:t>
      </w:r>
      <w:r w:rsidR="53F08A5F">
        <w:t xml:space="preserve">nových </w:t>
      </w:r>
      <w:r w:rsidR="71A6EF82">
        <w:t>priestorov</w:t>
      </w:r>
      <w:r>
        <w:t xml:space="preserve">. Požiadavka na lokalitu je širšie centrum mesta, optimálne v blízkej vzdialenosti od areálu </w:t>
      </w:r>
      <w:r w:rsidR="00E81A37">
        <w:t>HAU</w:t>
      </w:r>
      <w:r>
        <w:t>.</w:t>
      </w:r>
      <w:r w:rsidR="3F1633FA">
        <w:t xml:space="preserve"> </w:t>
      </w:r>
      <w:r w:rsidR="749F5C97">
        <w:t>Nový nájom</w:t>
      </w:r>
      <w:r w:rsidR="3F1633FA">
        <w:t xml:space="preserve"> musí </w:t>
      </w:r>
      <w:r w:rsidR="69999C17">
        <w:t xml:space="preserve">mať kapacitu pre </w:t>
      </w:r>
      <w:r w:rsidR="61EFCB8D">
        <w:t xml:space="preserve">všetkých 500 zamestnancov a ročné nájomné </w:t>
      </w:r>
      <w:r w:rsidR="69082764">
        <w:t xml:space="preserve">dosiahnuť maximálne </w:t>
      </w:r>
      <w:r w:rsidR="001845BA">
        <w:t>1,5</w:t>
      </w:r>
      <w:r w:rsidR="69082764">
        <w:t xml:space="preserve"> mil. eur</w:t>
      </w:r>
      <w:r w:rsidR="3F1633FA">
        <w:t>.</w:t>
      </w:r>
    </w:p>
    <w:p w14:paraId="5C6C0724" w14:textId="5D5EA1A9" w:rsidR="00316F16" w:rsidRDefault="00316F16" w:rsidP="31CADDE7">
      <w:r w:rsidRPr="31CADDE7">
        <w:rPr>
          <w:rFonts w:eastAsiaTheme="majorEastAsia" w:cstheme="majorBidi"/>
          <w:b/>
          <w:bCs/>
        </w:rPr>
        <w:t xml:space="preserve">Alternatíva </w:t>
      </w:r>
      <w:r w:rsidR="49BAB97F" w:rsidRPr="31CADDE7">
        <w:rPr>
          <w:rFonts w:eastAsiaTheme="majorEastAsia" w:cstheme="majorBidi"/>
          <w:b/>
          <w:bCs/>
        </w:rPr>
        <w:t>3</w:t>
      </w:r>
      <w:r w:rsidRPr="31CADDE7">
        <w:rPr>
          <w:rFonts w:eastAsiaTheme="majorEastAsia" w:cstheme="majorBidi"/>
          <w:b/>
          <w:bCs/>
        </w:rPr>
        <w:t xml:space="preserve"> –</w:t>
      </w:r>
      <w:r w:rsidR="00DC599A" w:rsidRPr="31CADDE7">
        <w:rPr>
          <w:rFonts w:eastAsiaTheme="majorEastAsia" w:cstheme="majorBidi"/>
          <w:b/>
          <w:bCs/>
        </w:rPr>
        <w:t xml:space="preserve"> </w:t>
      </w:r>
      <w:r w:rsidR="00DC599A" w:rsidRPr="31CADDE7">
        <w:rPr>
          <w:b/>
          <w:bCs/>
        </w:rPr>
        <w:t>Odkúpenie</w:t>
      </w:r>
      <w:r w:rsidRPr="31CADDE7">
        <w:rPr>
          <w:b/>
          <w:bCs/>
        </w:rPr>
        <w:t xml:space="preserve"> budovy </w:t>
      </w:r>
      <w:r w:rsidR="7FE72357">
        <w:t xml:space="preserve">uvažuje </w:t>
      </w:r>
      <w:r>
        <w:t>s</w:t>
      </w:r>
      <w:r w:rsidR="3090CA4B">
        <w:t xml:space="preserve"> obstaraním vhodných priestorov a ich prípadnou</w:t>
      </w:r>
      <w:r>
        <w:t xml:space="preserve"> rekonštrukciou</w:t>
      </w:r>
      <w:r w:rsidR="1296B462">
        <w:t>.</w:t>
      </w:r>
      <w:r w:rsidR="513B9993">
        <w:t xml:space="preserve"> </w:t>
      </w:r>
      <w:r w:rsidR="0FE07EC5">
        <w:t xml:space="preserve">V registri ponúkaného majetku štátu aktuálne nie je vhodná budova, ktorá by spĺňala priestorové požiadavky. </w:t>
      </w:r>
      <w:r w:rsidR="00E81A37">
        <w:t>HAU</w:t>
      </w:r>
      <w:r w:rsidR="0FE07EC5">
        <w:t xml:space="preserve"> zároveň proaktívne oslovil ostatné orgány štátnej správy s možnosťou využitia existujúcich nevyužitých priestorov, ale v</w:t>
      </w:r>
      <w:r w:rsidR="481ECD92">
        <w:t xml:space="preserve">oľné </w:t>
      </w:r>
      <w:r w:rsidR="0FE07EC5">
        <w:t xml:space="preserve">priestory nie sú k dispozícii. </w:t>
      </w:r>
      <w:r w:rsidR="1537A7CF">
        <w:t>N</w:t>
      </w:r>
      <w:r w:rsidR="513B9993">
        <w:t>a trhu s nehnuteľnosťami sa aktuálne nenachádza vhodný voľný objekt s dostatočnou kapacitou pre 500 zamestnancov. Z toho dôvodu táto alternatíva nebola ďalej analyzovaná</w:t>
      </w:r>
      <w:r w:rsidR="4E8563F6">
        <w:t>.</w:t>
      </w:r>
    </w:p>
    <w:p w14:paraId="4DD6165F" w14:textId="4471BB29" w:rsidR="00DC599A" w:rsidRPr="009F388B" w:rsidRDefault="00DC599A" w:rsidP="00DC599A">
      <w:pPr>
        <w:pStyle w:val="Nadpis2"/>
      </w:pPr>
      <w:bookmarkStart w:id="5" w:name="_Toc121679687"/>
      <w:r>
        <w:lastRenderedPageBreak/>
        <w:t xml:space="preserve">Alternatíva 0 – Status </w:t>
      </w:r>
      <w:proofErr w:type="spellStart"/>
      <w:r>
        <w:t>quo</w:t>
      </w:r>
      <w:proofErr w:type="spellEnd"/>
      <w:r>
        <w:t xml:space="preserve"> (</w:t>
      </w:r>
      <w:r w:rsidR="31DDD1C9">
        <w:t>pokračovanie v súčasnom nájme</w:t>
      </w:r>
      <w:r>
        <w:t>)</w:t>
      </w:r>
      <w:bookmarkEnd w:id="5"/>
    </w:p>
    <w:p w14:paraId="534DFA5A" w14:textId="7FE48217" w:rsidR="00037469" w:rsidRDefault="732C94FF" w:rsidP="31CADDE7">
      <w:pPr>
        <w:rPr>
          <w:rFonts w:cs="Times New Roman"/>
        </w:rPr>
      </w:pPr>
      <w:r w:rsidRPr="31CADDE7">
        <w:rPr>
          <w:rFonts w:cs="Times New Roman"/>
          <w:b/>
          <w:bCs/>
        </w:rPr>
        <w:t>T</w:t>
      </w:r>
      <w:r w:rsidR="00A25715" w:rsidRPr="31CADDE7">
        <w:rPr>
          <w:rFonts w:cs="Times New Roman"/>
          <w:b/>
          <w:bCs/>
        </w:rPr>
        <w:t xml:space="preserve">áto alternatíva </w:t>
      </w:r>
      <w:r w:rsidR="5C260579" w:rsidRPr="31CADDE7">
        <w:rPr>
          <w:rFonts w:cs="Times New Roman"/>
          <w:b/>
          <w:bCs/>
        </w:rPr>
        <w:t>je nehospodárna</w:t>
      </w:r>
      <w:r w:rsidR="17606994" w:rsidRPr="31CADDE7">
        <w:rPr>
          <w:rFonts w:cs="Times New Roman"/>
          <w:b/>
          <w:bCs/>
        </w:rPr>
        <w:t xml:space="preserve"> kvôli vysokému nájomnému</w:t>
      </w:r>
      <w:r w:rsidR="00DF2BD7">
        <w:rPr>
          <w:rFonts w:cs="Times New Roman"/>
          <w:b/>
          <w:bCs/>
        </w:rPr>
        <w:t xml:space="preserve"> a neefektívnym priestorom</w:t>
      </w:r>
      <w:r w:rsidR="00A25715" w:rsidRPr="31CADDE7">
        <w:rPr>
          <w:rFonts w:cs="Times New Roman"/>
          <w:b/>
          <w:bCs/>
        </w:rPr>
        <w:t xml:space="preserve">. </w:t>
      </w:r>
      <w:r w:rsidR="00DC599A" w:rsidRPr="31CADDE7">
        <w:rPr>
          <w:rFonts w:cs="Times New Roman"/>
        </w:rPr>
        <w:t>V scenári sa uvažuje so zachovaním súčasného prenáj</w:t>
      </w:r>
      <w:r w:rsidR="6D201723" w:rsidRPr="31CADDE7">
        <w:rPr>
          <w:rFonts w:cs="Times New Roman"/>
        </w:rPr>
        <w:t>mu</w:t>
      </w:r>
      <w:r w:rsidR="00DC599A" w:rsidRPr="31CADDE7">
        <w:rPr>
          <w:rFonts w:cs="Times New Roman"/>
        </w:rPr>
        <w:t xml:space="preserve"> v priestoroch </w:t>
      </w:r>
      <w:r w:rsidR="00F95520" w:rsidRPr="31CADDE7">
        <w:rPr>
          <w:rFonts w:cs="Times New Roman"/>
        </w:rPr>
        <w:t xml:space="preserve">Park </w:t>
      </w:r>
      <w:proofErr w:type="spellStart"/>
      <w:r w:rsidR="00F95520" w:rsidRPr="31CADDE7">
        <w:rPr>
          <w:rFonts w:cs="Times New Roman"/>
        </w:rPr>
        <w:t>Two</w:t>
      </w:r>
      <w:proofErr w:type="spellEnd"/>
      <w:r w:rsidR="7386AD87" w:rsidRPr="31CADDE7">
        <w:rPr>
          <w:rFonts w:cs="Times New Roman"/>
        </w:rPr>
        <w:t xml:space="preserve">, kde sídli </w:t>
      </w:r>
      <w:r w:rsidR="3F5951E6" w:rsidRPr="31CADDE7">
        <w:rPr>
          <w:rFonts w:cs="Times New Roman"/>
        </w:rPr>
        <w:t>500</w:t>
      </w:r>
      <w:r w:rsidR="00DC599A" w:rsidRPr="31CADDE7">
        <w:rPr>
          <w:rFonts w:cs="Times New Roman"/>
        </w:rPr>
        <w:t xml:space="preserve"> zamestnancov.</w:t>
      </w:r>
      <w:r w:rsidR="00037469">
        <w:rPr>
          <w:rFonts w:cs="Times New Roman"/>
        </w:rPr>
        <w:t xml:space="preserve"> Zmluvné nájomné je na úrovni 15 eur/m</w:t>
      </w:r>
      <w:r w:rsidR="00037469" w:rsidRPr="00037469">
        <w:rPr>
          <w:rFonts w:cs="Times New Roman"/>
          <w:vertAlign w:val="superscript"/>
        </w:rPr>
        <w:t>2</w:t>
      </w:r>
      <w:r w:rsidR="00037469">
        <w:rPr>
          <w:rFonts w:cs="Times New Roman"/>
        </w:rPr>
        <w:t xml:space="preserve"> a ročné náklady dosahujú 1,54 mil. eur. Dodatočné výdavky na prevádzku a energie dosahujú 638 tis. eur ročne. </w:t>
      </w:r>
      <w:r w:rsidR="00E81A37">
        <w:rPr>
          <w:rFonts w:cs="Times New Roman"/>
        </w:rPr>
        <w:t>HAU</w:t>
      </w:r>
      <w:r w:rsidR="6A552EE2" w:rsidRPr="31CADDE7">
        <w:rPr>
          <w:rFonts w:cs="Times New Roman"/>
        </w:rPr>
        <w:t xml:space="preserve"> viackrát neúspešne rokoval s vlastníkom nehnuteľnosti o znížení nájomného.</w:t>
      </w:r>
      <w:r w:rsidR="00DC599A" w:rsidRPr="31CADDE7">
        <w:rPr>
          <w:rFonts w:cs="Times New Roman"/>
        </w:rPr>
        <w:t xml:space="preserve"> </w:t>
      </w:r>
      <w:r w:rsidR="00DF2BD7">
        <w:rPr>
          <w:rFonts w:cs="Times New Roman"/>
        </w:rPr>
        <w:t>K vysokým nákladom prispieva aj nevhodná vnútorná dispozícia, ktorá neumožňuje efektívne využitie kancelárskych priestorov.</w:t>
      </w:r>
    </w:p>
    <w:p w14:paraId="6AD1F560" w14:textId="14C5094B" w:rsidR="00DF2BD7" w:rsidRPr="00DF2BD7" w:rsidRDefault="00DF2BD7" w:rsidP="31CADDE7">
      <w:pPr>
        <w:rPr>
          <w:rFonts w:cs="Times New Roman"/>
          <w:b/>
        </w:rPr>
      </w:pPr>
      <w:r w:rsidRPr="00DF2BD7">
        <w:rPr>
          <w:rFonts w:cs="Times New Roman"/>
          <w:b/>
        </w:rPr>
        <w:t xml:space="preserve">Súčasná nájomná zmluva je nevypovedateľná </w:t>
      </w:r>
      <w:r w:rsidR="00464B4F">
        <w:rPr>
          <w:rFonts w:cs="Times New Roman"/>
          <w:b/>
        </w:rPr>
        <w:t>a je platná do konca 2026</w:t>
      </w:r>
      <w:r w:rsidRPr="00DF2BD7">
        <w:rPr>
          <w:rFonts w:cs="Times New Roman"/>
          <w:b/>
        </w:rPr>
        <w:t>.</w:t>
      </w:r>
      <w:r w:rsidR="00464B4F">
        <w:rPr>
          <w:rFonts w:cs="Times New Roman"/>
          <w:b/>
        </w:rPr>
        <w:t xml:space="preserve"> </w:t>
      </w:r>
      <w:r w:rsidR="00464B4F">
        <w:rPr>
          <w:rFonts w:cs="Times New Roman"/>
        </w:rPr>
        <w:t>Predĺženie zmluvy sa nepredpokladá. Do ukončenia platnosti zmluvy zostávajú štyri roky, čo ponúka dostatočnú dobu na hľadanie a realizáciu alternatívnych riešení.</w:t>
      </w:r>
    </w:p>
    <w:p w14:paraId="2CC17E0B" w14:textId="4E56E0B7" w:rsidR="008A1B8F" w:rsidRPr="009F388B" w:rsidRDefault="008A1B8F" w:rsidP="008A1B8F">
      <w:pPr>
        <w:pStyle w:val="Nadpis2"/>
      </w:pPr>
      <w:bookmarkStart w:id="6" w:name="_Toc121679688"/>
      <w:r>
        <w:t>Alternatíva 1 - Výstavba nového objektu „Lajka“</w:t>
      </w:r>
      <w:bookmarkEnd w:id="6"/>
    </w:p>
    <w:p w14:paraId="7A7BCEB4" w14:textId="60488485" w:rsidR="008A1B8F" w:rsidRPr="004F3027" w:rsidRDefault="00280D2B" w:rsidP="7751DB60">
      <w:pPr>
        <w:rPr>
          <w:rFonts w:eastAsia="Arial Narrow" w:cs="Arial Narrow"/>
        </w:rPr>
      </w:pPr>
      <w:r w:rsidRPr="7751DB60">
        <w:rPr>
          <w:rFonts w:eastAsia="Arial Narrow" w:cs="Arial Narrow"/>
          <w:b/>
          <w:bCs/>
        </w:rPr>
        <w:t>Predpokladaný r</w:t>
      </w:r>
      <w:r w:rsidR="00F320FD" w:rsidRPr="7751DB60">
        <w:rPr>
          <w:rFonts w:eastAsia="Arial Narrow" w:cs="Arial Narrow"/>
          <w:b/>
          <w:bCs/>
        </w:rPr>
        <w:t xml:space="preserve">ozsah budovy bol stanovený na základe priestorových potrieb </w:t>
      </w:r>
      <w:r w:rsidR="00E81A37" w:rsidRPr="7751DB60">
        <w:rPr>
          <w:rFonts w:eastAsia="Arial Narrow" w:cs="Arial Narrow"/>
          <w:b/>
          <w:bCs/>
        </w:rPr>
        <w:t>HAU</w:t>
      </w:r>
      <w:r w:rsidR="00F320FD" w:rsidRPr="7751DB60">
        <w:rPr>
          <w:rFonts w:eastAsia="Arial Narrow" w:cs="Arial Narrow"/>
          <w:b/>
          <w:bCs/>
        </w:rPr>
        <w:t xml:space="preserve"> </w:t>
      </w:r>
      <w:r w:rsidRPr="7751DB60">
        <w:rPr>
          <w:rFonts w:eastAsia="Arial Narrow" w:cs="Arial Narrow"/>
          <w:b/>
          <w:bCs/>
        </w:rPr>
        <w:t>v súlade s</w:t>
      </w:r>
      <w:r w:rsidR="00F320FD" w:rsidRPr="7751DB60">
        <w:rPr>
          <w:rFonts w:eastAsia="Arial Narrow" w:cs="Arial Narrow"/>
          <w:b/>
          <w:bCs/>
        </w:rPr>
        <w:t xml:space="preserve"> územný</w:t>
      </w:r>
      <w:r w:rsidRPr="7751DB60">
        <w:rPr>
          <w:rFonts w:eastAsia="Arial Narrow" w:cs="Arial Narrow"/>
          <w:b/>
          <w:bCs/>
        </w:rPr>
        <w:t>m</w:t>
      </w:r>
      <w:r w:rsidR="00F320FD" w:rsidRPr="7751DB60">
        <w:rPr>
          <w:rFonts w:eastAsia="Arial Narrow" w:cs="Arial Narrow"/>
          <w:b/>
          <w:bCs/>
        </w:rPr>
        <w:t xml:space="preserve"> plán</w:t>
      </w:r>
      <w:r w:rsidRPr="7751DB60">
        <w:rPr>
          <w:rFonts w:eastAsia="Arial Narrow" w:cs="Arial Narrow"/>
          <w:b/>
          <w:bCs/>
        </w:rPr>
        <w:t>om</w:t>
      </w:r>
      <w:r w:rsidR="00F320FD" w:rsidRPr="7751DB60">
        <w:rPr>
          <w:rFonts w:eastAsia="Arial Narrow" w:cs="Arial Narrow"/>
          <w:b/>
          <w:bCs/>
        </w:rPr>
        <w:t xml:space="preserve">. </w:t>
      </w:r>
      <w:r w:rsidR="001845BA" w:rsidRPr="7751DB60">
        <w:rPr>
          <w:rFonts w:eastAsia="Arial Narrow" w:cs="Arial Narrow"/>
        </w:rPr>
        <w:t>Celkové p</w:t>
      </w:r>
      <w:r w:rsidR="00F320FD" w:rsidRPr="7751DB60">
        <w:rPr>
          <w:rFonts w:eastAsia="Arial Narrow" w:cs="Arial Narrow"/>
        </w:rPr>
        <w:t xml:space="preserve">riestorové potreby </w:t>
      </w:r>
      <w:r w:rsidR="00E81A37" w:rsidRPr="7751DB60">
        <w:rPr>
          <w:rFonts w:eastAsia="Arial Narrow" w:cs="Arial Narrow"/>
        </w:rPr>
        <w:t>HAU</w:t>
      </w:r>
      <w:r w:rsidR="00F320FD" w:rsidRPr="7751DB60">
        <w:rPr>
          <w:rFonts w:eastAsia="Arial Narrow" w:cs="Arial Narrow"/>
        </w:rPr>
        <w:t xml:space="preserve"> boli stanovené na 8 000 m</w:t>
      </w:r>
      <w:r w:rsidR="00F320FD" w:rsidRPr="7751DB60">
        <w:rPr>
          <w:rFonts w:eastAsia="Arial Narrow" w:cs="Arial Narrow"/>
          <w:vertAlign w:val="superscript"/>
        </w:rPr>
        <w:t>2</w:t>
      </w:r>
      <w:r w:rsidR="00F320FD" w:rsidRPr="7751DB60">
        <w:rPr>
          <w:rFonts w:eastAsia="Arial Narrow" w:cs="Arial Narrow"/>
        </w:rPr>
        <w:t xml:space="preserve"> hrubej podlažnej plochy v nadzemnej časti a 2</w:t>
      </w:r>
      <w:r w:rsidR="003236D5" w:rsidRPr="7751DB60">
        <w:rPr>
          <w:rFonts w:cs="Times New Roman"/>
        </w:rPr>
        <w:t> </w:t>
      </w:r>
      <w:r w:rsidR="00F320FD" w:rsidRPr="7751DB60">
        <w:rPr>
          <w:rFonts w:eastAsia="Arial Narrow" w:cs="Arial Narrow"/>
        </w:rPr>
        <w:t>000 m2 v podzemnej časti. Územný plán umožňuje na území umiestniť objekt s maximálnou zastavanou plochou 2 000 m</w:t>
      </w:r>
      <w:r w:rsidR="00F320FD" w:rsidRPr="7751DB60">
        <w:rPr>
          <w:rFonts w:eastAsia="Arial Narrow" w:cs="Arial Narrow"/>
          <w:vertAlign w:val="superscript"/>
        </w:rPr>
        <w:t>2</w:t>
      </w:r>
      <w:r w:rsidR="00F320FD" w:rsidRPr="7751DB60">
        <w:rPr>
          <w:rFonts w:eastAsia="Arial Narrow" w:cs="Arial Narrow"/>
        </w:rPr>
        <w:t xml:space="preserve"> a výškou zástavby 19 metrov, čo zodpovedá maximálne 5 nadzemným podlažiam a celkovej podlažnej ploche 10 000 </w:t>
      </w:r>
      <w:r w:rsidR="00F320FD" w:rsidRPr="7751DB60">
        <w:rPr>
          <w:rFonts w:eastAsia="Arial Narrow" w:cs="Arial Narrow"/>
          <w:color w:val="000000" w:themeColor="text1"/>
        </w:rPr>
        <w:t>m</w:t>
      </w:r>
      <w:r w:rsidR="00F320FD" w:rsidRPr="7751DB60">
        <w:rPr>
          <w:rFonts w:eastAsia="Arial Narrow" w:cs="Arial Narrow"/>
          <w:color w:val="000000" w:themeColor="text1"/>
          <w:vertAlign w:val="superscript"/>
        </w:rPr>
        <w:t>2</w:t>
      </w:r>
      <w:r w:rsidR="00F320FD" w:rsidRPr="7751DB60">
        <w:rPr>
          <w:rFonts w:eastAsia="Arial Narrow" w:cs="Arial Narrow"/>
        </w:rPr>
        <w:t xml:space="preserve">. Budova môže mať maximálne dve podzemné podlažia, čo zodpovedá maximálnej ploche 5 000 </w:t>
      </w:r>
      <w:r w:rsidR="00F320FD" w:rsidRPr="7751DB60">
        <w:rPr>
          <w:rFonts w:eastAsia="Arial Narrow" w:cs="Arial Narrow"/>
          <w:color w:val="000000" w:themeColor="text1"/>
        </w:rPr>
        <w:t>m</w:t>
      </w:r>
      <w:r w:rsidR="00F320FD" w:rsidRPr="7751DB60">
        <w:rPr>
          <w:rFonts w:eastAsia="Arial Narrow" w:cs="Arial Narrow"/>
          <w:color w:val="000000" w:themeColor="text1"/>
          <w:vertAlign w:val="superscript"/>
        </w:rPr>
        <w:t>2</w:t>
      </w:r>
      <w:r w:rsidR="00F320FD" w:rsidRPr="7751DB60">
        <w:rPr>
          <w:rFonts w:eastAsia="Arial Narrow" w:cs="Arial Narrow"/>
        </w:rPr>
        <w:t>.</w:t>
      </w:r>
    </w:p>
    <w:p w14:paraId="7AB5D73B" w14:textId="115CC0F0" w:rsidR="008A1B8F" w:rsidRPr="004F3027" w:rsidRDefault="00353FE9" w:rsidP="008A1B8F">
      <w:r w:rsidRPr="22061A97">
        <w:rPr>
          <w:b/>
          <w:bCs/>
        </w:rPr>
        <w:t>Konečný</w:t>
      </w:r>
      <w:r w:rsidR="008A1B8F" w:rsidRPr="22061A97">
        <w:rPr>
          <w:b/>
          <w:bCs/>
        </w:rPr>
        <w:t xml:space="preserve"> </w:t>
      </w:r>
      <w:r w:rsidRPr="22061A97">
        <w:rPr>
          <w:b/>
          <w:bCs/>
        </w:rPr>
        <w:t xml:space="preserve">rozsah </w:t>
      </w:r>
      <w:r w:rsidR="008A1B8F" w:rsidRPr="22061A97">
        <w:rPr>
          <w:b/>
          <w:bCs/>
        </w:rPr>
        <w:t xml:space="preserve">budovy </w:t>
      </w:r>
      <w:r w:rsidRPr="22061A97">
        <w:rPr>
          <w:b/>
          <w:bCs/>
        </w:rPr>
        <w:t>bude spresnený v ďalších fázach prípravy projektu.</w:t>
      </w:r>
      <w:r>
        <w:t xml:space="preserve"> </w:t>
      </w:r>
      <w:r w:rsidR="00E81A37">
        <w:t>HAU</w:t>
      </w:r>
      <w:r>
        <w:t xml:space="preserve"> plánuje pre administratívny objekt Lajka využiť a</w:t>
      </w:r>
      <w:r w:rsidR="008A1B8F">
        <w:t>rchit</w:t>
      </w:r>
      <w:r>
        <w:t>ektonickú súťaž</w:t>
      </w:r>
      <w:r w:rsidR="008A1B8F">
        <w:t xml:space="preserve"> návrhov</w:t>
      </w:r>
      <w:r w:rsidR="00280D2B">
        <w:t>, na základe ktorej vyberie najvhodnejšie riešenie. Hlavnými parametrami budú investičné náklady, energetická náročnosť a priestorová efektivita.</w:t>
      </w:r>
    </w:p>
    <w:p w14:paraId="462AF701" w14:textId="2A8ED65B" w:rsidR="60996721" w:rsidRDefault="60996721">
      <w:r w:rsidRPr="231AE348">
        <w:rPr>
          <w:b/>
          <w:bCs/>
        </w:rPr>
        <w:t xml:space="preserve">Investičné náklady na výstavbu budovy sú odhadované vo výške </w:t>
      </w:r>
      <w:r w:rsidR="001845BA">
        <w:rPr>
          <w:b/>
          <w:bCs/>
        </w:rPr>
        <w:t>22,56</w:t>
      </w:r>
      <w:r w:rsidRPr="231AE348">
        <w:rPr>
          <w:b/>
          <w:bCs/>
        </w:rPr>
        <w:t xml:space="preserve"> mil. eur s DPH.</w:t>
      </w:r>
      <w:r>
        <w:t xml:space="preserve"> Stavebné náklady boli stanovené na základe jednotkových cien za m</w:t>
      </w:r>
      <w:r w:rsidRPr="231AE348">
        <w:rPr>
          <w:vertAlign w:val="superscript"/>
        </w:rPr>
        <w:t>2</w:t>
      </w:r>
      <w:r>
        <w:t xml:space="preserve"> z referenčných stavebných projektov v súkromnej sfére realizovaných v 2022. </w:t>
      </w:r>
      <w:r w:rsidRPr="231AE348">
        <w:rPr>
          <w:rFonts w:cs="Times New Roman"/>
        </w:rPr>
        <w:t xml:space="preserve">Keďže všetky navrhované investičné varianty sa nachádzajú na pozemkoch </w:t>
      </w:r>
      <w:r w:rsidR="00E81A37">
        <w:rPr>
          <w:rFonts w:cs="Times New Roman"/>
        </w:rPr>
        <w:t>HAU</w:t>
      </w:r>
      <w:r w:rsidRPr="231AE348">
        <w:rPr>
          <w:rFonts w:cs="Times New Roman"/>
        </w:rPr>
        <w:t xml:space="preserve"> neuvažuje sa s nákladmi na majetkovo-právne vysporiadanie. </w:t>
      </w:r>
      <w:r>
        <w:t>Tento spôsob určenia investičných nákladov je orientačný a bude spresnený v ďalších fázach projektovej prípravy.</w:t>
      </w:r>
    </w:p>
    <w:p w14:paraId="01E2A221" w14:textId="7DEE01EF" w:rsidR="60996721" w:rsidRDefault="60996721" w:rsidP="077E7C05">
      <w:pPr>
        <w:spacing w:before="120"/>
      </w:pPr>
      <w:r w:rsidRPr="077E7C05">
        <w:rPr>
          <w:b/>
          <w:bCs/>
        </w:rPr>
        <w:t xml:space="preserve">Súčasťou projektu je vybudovanie </w:t>
      </w:r>
      <w:r w:rsidR="400B7D22" w:rsidRPr="077E7C05">
        <w:rPr>
          <w:b/>
          <w:bCs/>
        </w:rPr>
        <w:t xml:space="preserve">50 </w:t>
      </w:r>
      <w:r w:rsidRPr="077E7C05">
        <w:rPr>
          <w:b/>
          <w:bCs/>
        </w:rPr>
        <w:t xml:space="preserve">parkovacích miest v podzemných garážach. </w:t>
      </w:r>
      <w:r w:rsidR="3F7C9811">
        <w:t xml:space="preserve">Podľa výpočtu v zmysle </w:t>
      </w:r>
      <w:r>
        <w:t>platnej STN</w:t>
      </w:r>
      <w:r w:rsidR="36A7078D">
        <w:t xml:space="preserve"> by mal</w:t>
      </w:r>
      <w:r w:rsidR="3E6FACC1">
        <w:t>o</w:t>
      </w:r>
      <w:r w:rsidR="36A7078D">
        <w:t xml:space="preserve"> byť </w:t>
      </w:r>
      <w:r w:rsidR="0D6F1961">
        <w:t xml:space="preserve">k </w:t>
      </w:r>
      <w:r w:rsidR="6CC18BF9">
        <w:t xml:space="preserve">objektu vybudovaných </w:t>
      </w:r>
      <w:r w:rsidR="36A7078D">
        <w:t>42 parkovacích stojísk</w:t>
      </w:r>
      <w:r>
        <w:t xml:space="preserve">. </w:t>
      </w:r>
      <w:r w:rsidR="4B14084C">
        <w:t xml:space="preserve">Dodatočných </w:t>
      </w:r>
      <w:r w:rsidR="6F94A03B">
        <w:t xml:space="preserve">8 stojísk bude premiestnených z vonkajšieho areálu za účelom efektívnejšieho využitia priestoru. </w:t>
      </w:r>
      <w:r w:rsidR="3CED04BD">
        <w:t xml:space="preserve">Jedno parkovacie miesto pripadne na každého desiateho zamestnanca, čo je na spodnej hranici ostatných štátnych orgánov v centre mesta. </w:t>
      </w:r>
      <w:r>
        <w:t xml:space="preserve">Umiestnenie </w:t>
      </w:r>
      <w:r w:rsidR="0E755F80">
        <w:t xml:space="preserve">stojísk </w:t>
      </w:r>
      <w:r>
        <w:t>v podzem</w:t>
      </w:r>
      <w:r w:rsidR="57C86D62">
        <w:t>nom</w:t>
      </w:r>
      <w:r w:rsidR="67A2B6B3">
        <w:t xml:space="preserve"> parkovacom</w:t>
      </w:r>
      <w:r w:rsidR="57C86D62">
        <w:t xml:space="preserve"> dome</w:t>
      </w:r>
      <w:r>
        <w:t xml:space="preserve"> vyplýva z </w:t>
      </w:r>
      <w:r w:rsidR="3E0098BD">
        <w:t>požiadaviek</w:t>
      </w:r>
      <w:r>
        <w:t xml:space="preserve"> Krajsk</w:t>
      </w:r>
      <w:r w:rsidR="1CD40422">
        <w:t>ého</w:t>
      </w:r>
      <w:r>
        <w:t xml:space="preserve"> pamiatkov</w:t>
      </w:r>
      <w:r w:rsidR="000411E3">
        <w:t>ého</w:t>
      </w:r>
      <w:r>
        <w:t xml:space="preserve"> úrad</w:t>
      </w:r>
      <w:r w:rsidR="18A671B4">
        <w:t>u</w:t>
      </w:r>
      <w:r>
        <w:t>.</w:t>
      </w:r>
      <w:r w:rsidR="7468115E">
        <w:t xml:space="preserve"> </w:t>
      </w:r>
    </w:p>
    <w:p w14:paraId="75F024C3" w14:textId="472B14EA" w:rsidR="00353FE9" w:rsidRPr="00B0779A" w:rsidRDefault="00280D2B" w:rsidP="00353FE9">
      <w:pPr>
        <w:rPr>
          <w:b/>
        </w:rPr>
      </w:pPr>
      <w:r>
        <w:rPr>
          <w:b/>
        </w:rPr>
        <w:t>A</w:t>
      </w:r>
      <w:r w:rsidR="00353FE9" w:rsidRPr="00B0779A">
        <w:rPr>
          <w:b/>
        </w:rPr>
        <w:t>re</w:t>
      </w:r>
      <w:r>
        <w:rPr>
          <w:b/>
        </w:rPr>
        <w:t>ál</w:t>
      </w:r>
      <w:r w:rsidR="00353FE9" w:rsidRPr="00B0779A">
        <w:rPr>
          <w:b/>
        </w:rPr>
        <w:t xml:space="preserve"> </w:t>
      </w:r>
      <w:r>
        <w:rPr>
          <w:b/>
        </w:rPr>
        <w:t xml:space="preserve">má </w:t>
      </w:r>
      <w:r w:rsidR="00353FE9" w:rsidRPr="00B0779A">
        <w:rPr>
          <w:b/>
        </w:rPr>
        <w:t>dobr</w:t>
      </w:r>
      <w:r>
        <w:rPr>
          <w:b/>
        </w:rPr>
        <w:t>ú</w:t>
      </w:r>
      <w:r w:rsidR="00353FE9" w:rsidRPr="00B0779A">
        <w:rPr>
          <w:b/>
        </w:rPr>
        <w:t xml:space="preserve"> dopravn</w:t>
      </w:r>
      <w:r>
        <w:rPr>
          <w:b/>
        </w:rPr>
        <w:t>ú</w:t>
      </w:r>
      <w:r w:rsidR="00353FE9" w:rsidRPr="00B0779A">
        <w:rPr>
          <w:b/>
        </w:rPr>
        <w:t xml:space="preserve"> dostupnosť</w:t>
      </w:r>
      <w:r>
        <w:rPr>
          <w:b/>
        </w:rPr>
        <w:t xml:space="preserve"> MHD</w:t>
      </w:r>
      <w:r w:rsidR="00353FE9" w:rsidRPr="00B0779A">
        <w:rPr>
          <w:b/>
        </w:rPr>
        <w:t>, čo znižuje počet potrebných parkovacích miest.</w:t>
      </w:r>
      <w:r>
        <w:rPr>
          <w:b/>
        </w:rPr>
        <w:t xml:space="preserve"> </w:t>
      </w:r>
      <w:r>
        <w:t>Areál sa nachádza v širšom centre mesta a v jeho blízkosti sa nachádzajú viaceré zástavky mestskej hromadnej dopravy. Po okolitých uliciach sú vedené cyklistické chodníky. Vzhľadom na túto skutočnosť je možné optimalizovať počet parkovacích miest pre zamestnancov.</w:t>
      </w:r>
    </w:p>
    <w:p w14:paraId="721F200C" w14:textId="0644124E" w:rsidR="008A1B8F" w:rsidRDefault="008C7B9F" w:rsidP="008A1B8F">
      <w:pPr>
        <w:rPr>
          <w:rFonts w:cs="Times New Roman"/>
        </w:rPr>
      </w:pPr>
      <w:r w:rsidRPr="7751DB60">
        <w:rPr>
          <w:rFonts w:cs="Times New Roman"/>
          <w:b/>
          <w:bCs/>
        </w:rPr>
        <w:t>Nová budova umožní zníženie prevádzkových výdavkov na energie a podporné služby.</w:t>
      </w:r>
      <w:r w:rsidRPr="7751DB60">
        <w:rPr>
          <w:rFonts w:cs="Times New Roman"/>
        </w:rPr>
        <w:t xml:space="preserve"> </w:t>
      </w:r>
      <w:r w:rsidR="008A1B8F" w:rsidRPr="7751DB60">
        <w:rPr>
          <w:rFonts w:cs="Times New Roman"/>
        </w:rPr>
        <w:t xml:space="preserve">Odhadované prevádzkové náklady sú stanovené na základe požadovanej energetickej triedy budovy A0, kde je stanovená maximálna </w:t>
      </w:r>
      <w:r w:rsidRPr="7751DB60">
        <w:rPr>
          <w:rFonts w:cs="Times New Roman"/>
        </w:rPr>
        <w:t xml:space="preserve">potreba </w:t>
      </w:r>
      <w:r w:rsidR="008A1B8F" w:rsidRPr="7751DB60">
        <w:rPr>
          <w:rFonts w:cs="Times New Roman"/>
        </w:rPr>
        <w:t>pri</w:t>
      </w:r>
      <w:r w:rsidRPr="7751DB60">
        <w:rPr>
          <w:rFonts w:cs="Times New Roman"/>
        </w:rPr>
        <w:t>márnej energie</w:t>
      </w:r>
      <w:r w:rsidR="008A1B8F" w:rsidRPr="7751DB60">
        <w:rPr>
          <w:rFonts w:cs="Times New Roman"/>
        </w:rPr>
        <w:t xml:space="preserve"> vo výške 60 kWh</w:t>
      </w:r>
      <w:r w:rsidR="008A1B8F">
        <w:t>/(m</w:t>
      </w:r>
      <w:r w:rsidR="008A1B8F" w:rsidRPr="7751DB60">
        <w:rPr>
          <w:vertAlign w:val="superscript"/>
        </w:rPr>
        <w:t>2</w:t>
      </w:r>
      <w:r w:rsidR="008A1B8F">
        <w:t>.a)</w:t>
      </w:r>
      <w:r w:rsidR="008A1B8F" w:rsidRPr="7751DB60">
        <w:rPr>
          <w:rFonts w:cs="Times New Roman"/>
        </w:rPr>
        <w:t xml:space="preserve"> pre administratívne budovy. </w:t>
      </w:r>
      <w:r w:rsidRPr="7751DB60">
        <w:rPr>
          <w:rFonts w:cs="Times New Roman"/>
        </w:rPr>
        <w:t>Zdieľanie areálu zároveň umožní úsporu na ochrannej službe a kancelárskej podpore.</w:t>
      </w:r>
    </w:p>
    <w:p w14:paraId="6DFD8938" w14:textId="570C4902" w:rsidR="00E7523E" w:rsidRPr="00F36237" w:rsidRDefault="00E7523E" w:rsidP="00E7523E">
      <w:pPr>
        <w:pStyle w:val="Popis"/>
        <w:spacing w:after="0"/>
        <w:rPr>
          <w:color w:val="auto"/>
          <w:sz w:val="20"/>
        </w:rPr>
      </w:pPr>
      <w:bookmarkStart w:id="7" w:name="_Toc121679697"/>
      <w:r w:rsidRPr="00F36237">
        <w:rPr>
          <w:color w:val="auto"/>
          <w:sz w:val="20"/>
        </w:rPr>
        <w:lastRenderedPageBreak/>
        <w:t xml:space="preserve">Tabuľka </w:t>
      </w:r>
      <w:r w:rsidRPr="00F36237">
        <w:rPr>
          <w:color w:val="auto"/>
          <w:sz w:val="20"/>
        </w:rPr>
        <w:fldChar w:fldCharType="begin"/>
      </w:r>
      <w:r w:rsidRPr="00F36237">
        <w:rPr>
          <w:color w:val="auto"/>
          <w:sz w:val="20"/>
        </w:rPr>
        <w:instrText xml:space="preserve"> SEQ Tabuľka \* ARABIC </w:instrText>
      </w:r>
      <w:r w:rsidRPr="00F36237">
        <w:rPr>
          <w:color w:val="auto"/>
          <w:sz w:val="20"/>
        </w:rPr>
        <w:fldChar w:fldCharType="separate"/>
      </w:r>
      <w:r w:rsidR="006E5723">
        <w:rPr>
          <w:noProof/>
          <w:color w:val="auto"/>
          <w:sz w:val="20"/>
        </w:rPr>
        <w:t>2</w:t>
      </w:r>
      <w:r w:rsidRPr="00F36237">
        <w:rPr>
          <w:color w:val="auto"/>
          <w:sz w:val="20"/>
        </w:rPr>
        <w:fldChar w:fldCharType="end"/>
      </w:r>
      <w:r w:rsidRPr="00F36237">
        <w:rPr>
          <w:color w:val="auto"/>
          <w:sz w:val="20"/>
        </w:rPr>
        <w:t>: Výpočet investičných nákladov na alternatívu výstavby</w:t>
      </w:r>
      <w:bookmarkEnd w:id="7"/>
    </w:p>
    <w:tbl>
      <w:tblPr>
        <w:tblW w:w="9072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5954"/>
        <w:gridCol w:w="3118"/>
      </w:tblGrid>
      <w:tr w:rsidR="00E7523E" w:rsidRPr="005F186D" w14:paraId="575952C1" w14:textId="77777777" w:rsidTr="006E5723">
        <w:trPr>
          <w:trHeight w:val="272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861F35" w14:textId="77777777" w:rsidR="00E7523E" w:rsidRPr="005F186D" w:rsidRDefault="00E7523E" w:rsidP="00472987">
            <w:pPr>
              <w:keepNext/>
              <w:spacing w:after="0" w:line="240" w:lineRule="auto"/>
              <w:jc w:val="left"/>
              <w:rPr>
                <w:rFonts w:eastAsia="Times New Roman" w:cs="Calibri"/>
                <w:b/>
                <w:color w:val="000000"/>
                <w:sz w:val="20"/>
                <w:szCs w:val="20"/>
                <w:lang w:eastAsia="sk-SK"/>
              </w:rPr>
            </w:pPr>
            <w:r w:rsidRPr="005F186D">
              <w:rPr>
                <w:rFonts w:eastAsia="Times New Roman" w:cs="Calibri"/>
                <w:b/>
                <w:color w:val="000000"/>
                <w:sz w:val="20"/>
                <w:szCs w:val="20"/>
                <w:lang w:eastAsia="sk-SK"/>
              </w:rPr>
              <w:t>Položka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80374" w14:textId="77777777" w:rsidR="00E7523E" w:rsidRPr="005F186D" w:rsidRDefault="00E7523E" w:rsidP="00472987">
            <w:pPr>
              <w:keepNext/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sk-SK"/>
              </w:rPr>
            </w:pPr>
            <w:r w:rsidRPr="005F186D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sk-SK"/>
              </w:rPr>
              <w:t>Požiadavka/Náklady</w:t>
            </w:r>
          </w:p>
        </w:tc>
      </w:tr>
      <w:tr w:rsidR="00E7523E" w:rsidRPr="005F186D" w14:paraId="72BC01E4" w14:textId="77777777" w:rsidTr="006E5723">
        <w:trPr>
          <w:trHeight w:val="272"/>
        </w:trPr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8C8993F" w14:textId="77777777" w:rsidR="00E7523E" w:rsidRPr="005F186D" w:rsidRDefault="00E7523E" w:rsidP="00472987">
            <w:pPr>
              <w:keepNext/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5F186D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Celková podlažná plocha nadzemných podlaží budovy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62ABC546" w14:textId="399236CB" w:rsidR="00E7523E" w:rsidRPr="00461585" w:rsidRDefault="00461585" w:rsidP="00472987">
            <w:pPr>
              <w:keepNext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461585">
              <w:rPr>
                <w:rFonts w:eastAsia="Times New Roman" w:cs="Calibri"/>
                <w:color w:val="000000" w:themeColor="text1"/>
                <w:sz w:val="20"/>
                <w:szCs w:val="20"/>
                <w:lang w:eastAsia="sk-SK"/>
              </w:rPr>
              <w:t>8 000</w:t>
            </w:r>
            <w:r w:rsidR="00E7523E" w:rsidRPr="00461585">
              <w:rPr>
                <w:rFonts w:eastAsia="Times New Roman" w:cs="Calibri"/>
                <w:color w:val="000000" w:themeColor="text1"/>
                <w:sz w:val="20"/>
                <w:szCs w:val="20"/>
                <w:lang w:eastAsia="sk-SK"/>
              </w:rPr>
              <w:t xml:space="preserve"> m</w:t>
            </w:r>
            <w:r w:rsidR="00E7523E" w:rsidRPr="00461585">
              <w:rPr>
                <w:rFonts w:eastAsia="Times New Roman" w:cs="Calibri"/>
                <w:color w:val="000000" w:themeColor="text1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</w:tr>
      <w:tr w:rsidR="00E7523E" w:rsidRPr="005F186D" w14:paraId="7620D24A" w14:textId="77777777" w:rsidTr="006E5723">
        <w:trPr>
          <w:trHeight w:val="272"/>
        </w:trPr>
        <w:tc>
          <w:tcPr>
            <w:tcW w:w="5954" w:type="dxa"/>
            <w:shd w:val="clear" w:color="auto" w:fill="auto"/>
            <w:noWrap/>
            <w:vAlign w:val="center"/>
          </w:tcPr>
          <w:p w14:paraId="31A18483" w14:textId="77777777" w:rsidR="00E7523E" w:rsidRPr="005F186D" w:rsidRDefault="00E7523E" w:rsidP="00472987">
            <w:pPr>
              <w:keepNext/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5F186D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Celková podlažná plocha podzemných podlaží budovy</w:t>
            </w:r>
          </w:p>
        </w:tc>
        <w:tc>
          <w:tcPr>
            <w:tcW w:w="3118" w:type="dxa"/>
            <w:vAlign w:val="center"/>
          </w:tcPr>
          <w:p w14:paraId="1C6552A9" w14:textId="2DD8F297" w:rsidR="00E7523E" w:rsidRPr="00461585" w:rsidRDefault="00461585" w:rsidP="00472987">
            <w:pPr>
              <w:keepNext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461585">
              <w:rPr>
                <w:rFonts w:eastAsia="Times New Roman" w:cs="Calibri"/>
                <w:color w:val="000000" w:themeColor="text1"/>
                <w:sz w:val="20"/>
                <w:szCs w:val="20"/>
                <w:lang w:eastAsia="sk-SK"/>
              </w:rPr>
              <w:t>2 000</w:t>
            </w:r>
            <w:r w:rsidR="00E7523E" w:rsidRPr="00461585">
              <w:rPr>
                <w:rFonts w:eastAsia="Times New Roman" w:cs="Calibri"/>
                <w:color w:val="000000" w:themeColor="text1"/>
                <w:sz w:val="20"/>
                <w:szCs w:val="20"/>
                <w:lang w:eastAsia="sk-SK"/>
              </w:rPr>
              <w:t xml:space="preserve"> m</w:t>
            </w:r>
            <w:r w:rsidR="00E7523E" w:rsidRPr="00461585">
              <w:rPr>
                <w:rFonts w:eastAsia="Times New Roman" w:cs="Calibri"/>
                <w:color w:val="000000" w:themeColor="text1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</w:tr>
      <w:tr w:rsidR="00E7523E" w:rsidRPr="005F186D" w14:paraId="22795BAE" w14:textId="77777777" w:rsidTr="006E5723">
        <w:trPr>
          <w:trHeight w:val="272"/>
        </w:trPr>
        <w:tc>
          <w:tcPr>
            <w:tcW w:w="5954" w:type="dxa"/>
            <w:shd w:val="clear" w:color="auto" w:fill="auto"/>
            <w:noWrap/>
            <w:vAlign w:val="center"/>
          </w:tcPr>
          <w:p w14:paraId="64306A39" w14:textId="77777777" w:rsidR="00E7523E" w:rsidRPr="005F186D" w:rsidRDefault="00E7523E" w:rsidP="00472987">
            <w:pPr>
              <w:keepNext/>
              <w:spacing w:after="0" w:line="240" w:lineRule="auto"/>
              <w:ind w:left="216"/>
              <w:jc w:val="left"/>
              <w:rPr>
                <w:rFonts w:eastAsia="Times New Roman" w:cs="Calibri"/>
                <w:i/>
                <w:color w:val="000000"/>
                <w:sz w:val="20"/>
                <w:szCs w:val="20"/>
                <w:lang w:eastAsia="sk-SK"/>
              </w:rPr>
            </w:pPr>
            <w:r w:rsidRPr="005F186D">
              <w:rPr>
                <w:rFonts w:eastAsia="Times New Roman" w:cs="Calibri"/>
                <w:i/>
                <w:color w:val="000000"/>
                <w:sz w:val="20"/>
                <w:szCs w:val="20"/>
                <w:lang w:eastAsia="sk-SK"/>
              </w:rPr>
              <w:t>z toho:</w:t>
            </w:r>
          </w:p>
        </w:tc>
        <w:tc>
          <w:tcPr>
            <w:tcW w:w="3118" w:type="dxa"/>
            <w:vAlign w:val="center"/>
          </w:tcPr>
          <w:p w14:paraId="30680AF6" w14:textId="77777777" w:rsidR="00E7523E" w:rsidRPr="00461585" w:rsidRDefault="00E7523E" w:rsidP="00472987">
            <w:pPr>
              <w:keepNext/>
              <w:spacing w:after="0" w:line="240" w:lineRule="auto"/>
              <w:jc w:val="right"/>
              <w:rPr>
                <w:rFonts w:eastAsia="Times New Roman" w:cs="Calibri"/>
                <w:i/>
                <w:color w:val="000000"/>
                <w:sz w:val="20"/>
                <w:szCs w:val="20"/>
                <w:lang w:eastAsia="sk-SK"/>
              </w:rPr>
            </w:pPr>
          </w:p>
        </w:tc>
      </w:tr>
      <w:tr w:rsidR="00E7523E" w:rsidRPr="005F186D" w14:paraId="3FC2B854" w14:textId="77777777" w:rsidTr="006E5723">
        <w:trPr>
          <w:trHeight w:val="272"/>
        </w:trPr>
        <w:tc>
          <w:tcPr>
            <w:tcW w:w="5954" w:type="dxa"/>
            <w:shd w:val="clear" w:color="auto" w:fill="auto"/>
            <w:noWrap/>
            <w:vAlign w:val="center"/>
          </w:tcPr>
          <w:p w14:paraId="24BEF3A9" w14:textId="77777777" w:rsidR="00E7523E" w:rsidRPr="005F186D" w:rsidRDefault="00E7523E" w:rsidP="00472987">
            <w:pPr>
              <w:keepNext/>
              <w:spacing w:after="0" w:line="240" w:lineRule="auto"/>
              <w:ind w:left="216"/>
              <w:jc w:val="left"/>
              <w:rPr>
                <w:rFonts w:eastAsia="Times New Roman" w:cs="Calibri"/>
                <w:i/>
                <w:color w:val="000000"/>
                <w:sz w:val="20"/>
                <w:szCs w:val="20"/>
                <w:lang w:eastAsia="sk-SK"/>
              </w:rPr>
            </w:pPr>
            <w:r w:rsidRPr="005F186D">
              <w:rPr>
                <w:rFonts w:eastAsia="Times New Roman" w:cs="Calibri"/>
                <w:i/>
                <w:color w:val="000000"/>
                <w:sz w:val="20"/>
                <w:szCs w:val="20"/>
                <w:lang w:eastAsia="sk-SK"/>
              </w:rPr>
              <w:t>priestory pre parkovanie (170 miest)</w:t>
            </w:r>
          </w:p>
        </w:tc>
        <w:tc>
          <w:tcPr>
            <w:tcW w:w="3118" w:type="dxa"/>
            <w:vAlign w:val="center"/>
          </w:tcPr>
          <w:p w14:paraId="4C965EE1" w14:textId="15CF62EC" w:rsidR="00E7523E" w:rsidRPr="00461585" w:rsidRDefault="00461585" w:rsidP="00472987">
            <w:pPr>
              <w:keepNext/>
              <w:spacing w:after="0" w:line="240" w:lineRule="auto"/>
              <w:jc w:val="right"/>
              <w:rPr>
                <w:rFonts w:eastAsia="Times New Roman" w:cs="Calibri"/>
                <w:i/>
                <w:color w:val="000000"/>
                <w:sz w:val="20"/>
                <w:szCs w:val="20"/>
                <w:lang w:eastAsia="sk-SK"/>
              </w:rPr>
            </w:pPr>
            <w:r w:rsidRPr="00461585">
              <w:rPr>
                <w:rFonts w:eastAsia="Times New Roman" w:cs="Calibri"/>
                <w:i/>
                <w:color w:val="000000" w:themeColor="text1"/>
                <w:sz w:val="20"/>
                <w:szCs w:val="20"/>
                <w:lang w:eastAsia="sk-SK"/>
              </w:rPr>
              <w:t>1 300</w:t>
            </w:r>
            <w:r w:rsidR="00E7523E" w:rsidRPr="00461585">
              <w:rPr>
                <w:rFonts w:eastAsia="Times New Roman" w:cs="Calibri"/>
                <w:i/>
                <w:color w:val="000000" w:themeColor="text1"/>
                <w:sz w:val="20"/>
                <w:szCs w:val="20"/>
                <w:lang w:eastAsia="sk-SK"/>
              </w:rPr>
              <w:t xml:space="preserve"> m</w:t>
            </w:r>
            <w:r w:rsidR="00E7523E" w:rsidRPr="00461585">
              <w:rPr>
                <w:rFonts w:eastAsia="Times New Roman" w:cs="Calibri"/>
                <w:i/>
                <w:color w:val="000000" w:themeColor="text1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</w:tr>
      <w:tr w:rsidR="00E7523E" w:rsidRPr="005F186D" w14:paraId="145D9385" w14:textId="77777777" w:rsidTr="006E5723">
        <w:trPr>
          <w:trHeight w:val="272"/>
        </w:trPr>
        <w:tc>
          <w:tcPr>
            <w:tcW w:w="5954" w:type="dxa"/>
            <w:shd w:val="clear" w:color="auto" w:fill="auto"/>
            <w:noWrap/>
            <w:vAlign w:val="center"/>
          </w:tcPr>
          <w:p w14:paraId="2C263925" w14:textId="77777777" w:rsidR="00E7523E" w:rsidRPr="005F186D" w:rsidRDefault="00E7523E" w:rsidP="00472987">
            <w:pPr>
              <w:keepNext/>
              <w:spacing w:after="0" w:line="240" w:lineRule="auto"/>
              <w:ind w:left="216"/>
              <w:jc w:val="left"/>
              <w:rPr>
                <w:rFonts w:eastAsia="Times New Roman" w:cs="Calibri"/>
                <w:i/>
                <w:color w:val="000000"/>
                <w:sz w:val="20"/>
                <w:szCs w:val="20"/>
                <w:lang w:eastAsia="sk-SK"/>
              </w:rPr>
            </w:pPr>
            <w:r w:rsidRPr="005F186D">
              <w:rPr>
                <w:rFonts w:eastAsia="Times New Roman" w:cs="Calibri"/>
                <w:i/>
                <w:color w:val="000000"/>
                <w:sz w:val="20"/>
                <w:szCs w:val="20"/>
                <w:lang w:eastAsia="sk-SK"/>
              </w:rPr>
              <w:t>priestory pre archív a skladovacie priestory</w:t>
            </w:r>
          </w:p>
        </w:tc>
        <w:tc>
          <w:tcPr>
            <w:tcW w:w="3118" w:type="dxa"/>
            <w:vAlign w:val="center"/>
          </w:tcPr>
          <w:p w14:paraId="516B16FC" w14:textId="4F5D8268" w:rsidR="00E7523E" w:rsidRPr="00461585" w:rsidRDefault="00461585" w:rsidP="00472987">
            <w:pPr>
              <w:keepNext/>
              <w:spacing w:after="0" w:line="240" w:lineRule="auto"/>
              <w:jc w:val="right"/>
              <w:rPr>
                <w:rFonts w:eastAsia="Times New Roman" w:cs="Calibri"/>
                <w:i/>
                <w:color w:val="000000"/>
                <w:sz w:val="20"/>
                <w:szCs w:val="20"/>
                <w:lang w:eastAsia="sk-SK"/>
              </w:rPr>
            </w:pPr>
            <w:r w:rsidRPr="00461585">
              <w:rPr>
                <w:rFonts w:eastAsia="Times New Roman" w:cs="Calibri"/>
                <w:i/>
                <w:color w:val="000000" w:themeColor="text1"/>
                <w:sz w:val="20"/>
                <w:szCs w:val="20"/>
                <w:lang w:eastAsia="sk-SK"/>
              </w:rPr>
              <w:t>660</w:t>
            </w:r>
            <w:r w:rsidR="00E7523E" w:rsidRPr="00461585">
              <w:rPr>
                <w:rFonts w:eastAsia="Times New Roman" w:cs="Calibri"/>
                <w:i/>
                <w:color w:val="000000" w:themeColor="text1"/>
                <w:sz w:val="20"/>
                <w:szCs w:val="20"/>
                <w:lang w:eastAsia="sk-SK"/>
              </w:rPr>
              <w:t xml:space="preserve"> m</w:t>
            </w:r>
            <w:r w:rsidR="00E7523E" w:rsidRPr="00461585">
              <w:rPr>
                <w:rFonts w:eastAsia="Times New Roman" w:cs="Calibri"/>
                <w:i/>
                <w:color w:val="000000" w:themeColor="text1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</w:tr>
      <w:tr w:rsidR="00E7523E" w:rsidRPr="005F186D" w14:paraId="5A23D4B2" w14:textId="77777777" w:rsidTr="006E5723">
        <w:trPr>
          <w:trHeight w:val="272"/>
        </w:trPr>
        <w:tc>
          <w:tcPr>
            <w:tcW w:w="5954" w:type="dxa"/>
            <w:shd w:val="clear" w:color="auto" w:fill="auto"/>
            <w:noWrap/>
            <w:vAlign w:val="center"/>
          </w:tcPr>
          <w:p w14:paraId="182CA9C8" w14:textId="77777777" w:rsidR="00E7523E" w:rsidRPr="005F186D" w:rsidRDefault="00E7523E" w:rsidP="00472987">
            <w:pPr>
              <w:keepNext/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5F186D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Cena za m</w:t>
            </w:r>
            <w:r w:rsidRPr="005F186D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  <w:r w:rsidRPr="005F186D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 xml:space="preserve"> podlažnej plochy nadzemných podlaží</w:t>
            </w:r>
          </w:p>
        </w:tc>
        <w:tc>
          <w:tcPr>
            <w:tcW w:w="3118" w:type="dxa"/>
            <w:vAlign w:val="center"/>
          </w:tcPr>
          <w:p w14:paraId="047A127C" w14:textId="3DF3B63E" w:rsidR="00E7523E" w:rsidRPr="00461585" w:rsidRDefault="00461585" w:rsidP="00472987">
            <w:pPr>
              <w:keepNext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461585">
              <w:rPr>
                <w:rFonts w:eastAsia="Times New Roman" w:cs="Calibri"/>
                <w:color w:val="000000" w:themeColor="text1"/>
                <w:sz w:val="20"/>
                <w:szCs w:val="20"/>
                <w:lang w:eastAsia="sk-SK"/>
              </w:rPr>
              <w:t>1</w:t>
            </w:r>
            <w:r w:rsidR="00E7523E" w:rsidRPr="00461585">
              <w:rPr>
                <w:rFonts w:eastAsia="Times New Roman" w:cs="Calibr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 w:rsidRPr="00461585">
              <w:rPr>
                <w:rFonts w:eastAsia="Times New Roman" w:cs="Calibri"/>
                <w:color w:val="000000" w:themeColor="text1"/>
                <w:sz w:val="20"/>
                <w:szCs w:val="20"/>
                <w:lang w:eastAsia="sk-SK"/>
              </w:rPr>
              <w:t>600</w:t>
            </w:r>
            <w:r w:rsidR="00E7523E" w:rsidRPr="00461585">
              <w:rPr>
                <w:rFonts w:eastAsia="Times New Roman" w:cs="Calibri"/>
                <w:color w:val="000000" w:themeColor="text1"/>
                <w:sz w:val="20"/>
                <w:szCs w:val="20"/>
                <w:lang w:eastAsia="sk-SK"/>
              </w:rPr>
              <w:t xml:space="preserve"> eur</w:t>
            </w:r>
          </w:p>
        </w:tc>
      </w:tr>
      <w:tr w:rsidR="00E7523E" w:rsidRPr="005F186D" w14:paraId="41701E19" w14:textId="77777777" w:rsidTr="006E5723">
        <w:trPr>
          <w:trHeight w:val="272"/>
        </w:trPr>
        <w:tc>
          <w:tcPr>
            <w:tcW w:w="5954" w:type="dxa"/>
            <w:shd w:val="clear" w:color="auto" w:fill="auto"/>
            <w:noWrap/>
            <w:vAlign w:val="center"/>
          </w:tcPr>
          <w:p w14:paraId="2BA38C9A" w14:textId="77777777" w:rsidR="00E7523E" w:rsidRPr="005F186D" w:rsidRDefault="00E7523E" w:rsidP="00472987">
            <w:pPr>
              <w:keepNext/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5F186D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Cena za m</w:t>
            </w:r>
            <w:r w:rsidRPr="005F186D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  <w:r w:rsidRPr="005F186D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 xml:space="preserve"> podlažnej plochy podzemných podlaží</w:t>
            </w:r>
          </w:p>
        </w:tc>
        <w:tc>
          <w:tcPr>
            <w:tcW w:w="3118" w:type="dxa"/>
            <w:vAlign w:val="center"/>
          </w:tcPr>
          <w:p w14:paraId="3C55C4EA" w14:textId="1C9C64E8" w:rsidR="00E7523E" w:rsidRPr="00461585" w:rsidRDefault="00461585" w:rsidP="00472987">
            <w:pPr>
              <w:keepNext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461585">
              <w:rPr>
                <w:rFonts w:eastAsia="Times New Roman" w:cs="Calibri"/>
                <w:color w:val="000000" w:themeColor="text1"/>
                <w:sz w:val="20"/>
                <w:szCs w:val="20"/>
                <w:lang w:eastAsia="sk-SK"/>
              </w:rPr>
              <w:t>1</w:t>
            </w:r>
            <w:r w:rsidR="00E7523E" w:rsidRPr="00461585">
              <w:rPr>
                <w:rFonts w:eastAsia="Times New Roman" w:cs="Calibri"/>
                <w:color w:val="000000" w:themeColor="text1"/>
                <w:sz w:val="20"/>
                <w:szCs w:val="20"/>
                <w:lang w:eastAsia="sk-SK"/>
              </w:rPr>
              <w:t> </w:t>
            </w:r>
            <w:r w:rsidRPr="00461585">
              <w:rPr>
                <w:rFonts w:eastAsia="Times New Roman" w:cs="Calibri"/>
                <w:color w:val="000000" w:themeColor="text1"/>
                <w:sz w:val="20"/>
                <w:szCs w:val="20"/>
                <w:lang w:eastAsia="sk-SK"/>
              </w:rPr>
              <w:t>000</w:t>
            </w:r>
            <w:r w:rsidR="00E7523E" w:rsidRPr="00461585">
              <w:rPr>
                <w:rFonts w:eastAsia="Times New Roman" w:cs="Calibri"/>
                <w:color w:val="000000" w:themeColor="text1"/>
                <w:sz w:val="20"/>
                <w:szCs w:val="20"/>
                <w:lang w:eastAsia="sk-SK"/>
              </w:rPr>
              <w:t xml:space="preserve"> eur</w:t>
            </w:r>
          </w:p>
        </w:tc>
      </w:tr>
      <w:tr w:rsidR="00E7523E" w:rsidRPr="005F186D" w14:paraId="2D573BD0" w14:textId="77777777" w:rsidTr="006E5723">
        <w:trPr>
          <w:trHeight w:val="272"/>
        </w:trPr>
        <w:tc>
          <w:tcPr>
            <w:tcW w:w="5954" w:type="dxa"/>
            <w:shd w:val="clear" w:color="auto" w:fill="auto"/>
            <w:noWrap/>
            <w:vAlign w:val="center"/>
          </w:tcPr>
          <w:p w14:paraId="053F7DCD" w14:textId="4703A4A6" w:rsidR="00E7523E" w:rsidRPr="005F186D" w:rsidRDefault="00E7523E" w:rsidP="00472987">
            <w:pPr>
              <w:keepNext/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5F186D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 xml:space="preserve">Náklady na </w:t>
            </w:r>
            <w:proofErr w:type="spellStart"/>
            <w:r w:rsidR="00461585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fitout</w:t>
            </w:r>
            <w:proofErr w:type="spellEnd"/>
          </w:p>
        </w:tc>
        <w:tc>
          <w:tcPr>
            <w:tcW w:w="3118" w:type="dxa"/>
            <w:vAlign w:val="center"/>
          </w:tcPr>
          <w:p w14:paraId="6FC9D758" w14:textId="265C7D59" w:rsidR="00E7523E" w:rsidRPr="00461585" w:rsidRDefault="00461585" w:rsidP="00472987">
            <w:pPr>
              <w:keepNext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461585">
              <w:rPr>
                <w:rFonts w:eastAsia="Times New Roman" w:cs="Calibri"/>
                <w:color w:val="000000" w:themeColor="text1"/>
                <w:sz w:val="20"/>
                <w:szCs w:val="20"/>
                <w:lang w:eastAsia="sk-SK"/>
              </w:rPr>
              <w:t>4,00</w:t>
            </w:r>
            <w:r w:rsidR="00E7523E" w:rsidRPr="00461585">
              <w:rPr>
                <w:rFonts w:eastAsia="Times New Roman" w:cs="Calibri"/>
                <w:color w:val="000000" w:themeColor="text1"/>
                <w:sz w:val="20"/>
                <w:szCs w:val="20"/>
                <w:lang w:eastAsia="sk-SK"/>
              </w:rPr>
              <w:t xml:space="preserve"> mil. eur</w:t>
            </w:r>
          </w:p>
        </w:tc>
      </w:tr>
      <w:tr w:rsidR="00E7523E" w:rsidRPr="005F186D" w14:paraId="2950ADAD" w14:textId="77777777" w:rsidTr="006E5723">
        <w:trPr>
          <w:trHeight w:val="272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9E6352" w14:textId="77777777" w:rsidR="00E7523E" w:rsidRPr="005F186D" w:rsidRDefault="00E7523E" w:rsidP="00472987">
            <w:pPr>
              <w:keepNext/>
              <w:spacing w:after="0" w:line="240" w:lineRule="auto"/>
              <w:jc w:val="left"/>
              <w:rPr>
                <w:rFonts w:eastAsia="Times New Roman" w:cs="Calibri"/>
                <w:b/>
                <w:color w:val="000000"/>
                <w:sz w:val="20"/>
                <w:szCs w:val="20"/>
                <w:lang w:eastAsia="sk-SK"/>
              </w:rPr>
            </w:pPr>
            <w:r w:rsidRPr="005F186D">
              <w:rPr>
                <w:rFonts w:eastAsia="Times New Roman" w:cs="Calibri"/>
                <w:b/>
                <w:color w:val="000000"/>
                <w:sz w:val="20"/>
                <w:szCs w:val="20"/>
                <w:lang w:eastAsia="sk-SK"/>
              </w:rPr>
              <w:t>Celkové náklady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05550294" w14:textId="77777777" w:rsidR="00E7523E" w:rsidRPr="00461585" w:rsidRDefault="00E7523E" w:rsidP="00472987">
            <w:pPr>
              <w:keepNext/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sk-SK"/>
              </w:rPr>
            </w:pPr>
            <w:r w:rsidRPr="00461585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sk-SK"/>
              </w:rPr>
              <w:t>45,88 mil. eur</w:t>
            </w:r>
          </w:p>
        </w:tc>
      </w:tr>
      <w:tr w:rsidR="00E7523E" w:rsidRPr="005F186D" w14:paraId="49A6F7A8" w14:textId="77777777" w:rsidTr="006E5723">
        <w:trPr>
          <w:trHeight w:val="126"/>
        </w:trPr>
        <w:tc>
          <w:tcPr>
            <w:tcW w:w="907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7238B62" w14:textId="408CD791" w:rsidR="00E7523E" w:rsidRPr="005F186D" w:rsidRDefault="00E7523E" w:rsidP="00472987">
            <w:pPr>
              <w:spacing w:after="120"/>
              <w:jc w:val="right"/>
            </w:pPr>
            <w:r w:rsidRPr="005F186D">
              <w:rPr>
                <w:rFonts w:eastAsia="Times New Roman" w:cs="Calibri"/>
                <w:i/>
                <w:color w:val="000000"/>
                <w:sz w:val="16"/>
                <w:szCs w:val="16"/>
                <w:lang w:eastAsia="sk-SK"/>
              </w:rPr>
              <w:t xml:space="preserve">Zdroj: </w:t>
            </w:r>
            <w:r w:rsidR="00E81A37">
              <w:rPr>
                <w:rFonts w:eastAsia="Times New Roman" w:cs="Calibri"/>
                <w:i/>
                <w:color w:val="000000"/>
                <w:sz w:val="16"/>
                <w:szCs w:val="16"/>
                <w:lang w:eastAsia="sk-SK"/>
              </w:rPr>
              <w:t>HAU</w:t>
            </w:r>
          </w:p>
        </w:tc>
      </w:tr>
    </w:tbl>
    <w:p w14:paraId="18DCFC36" w14:textId="2DE9F254" w:rsidR="00DC599A" w:rsidRPr="009F388B" w:rsidRDefault="00DC599A" w:rsidP="00DC599A">
      <w:pPr>
        <w:pStyle w:val="Nadpis2"/>
      </w:pPr>
      <w:bookmarkStart w:id="8" w:name="_Toc121679689"/>
      <w:r>
        <w:t>Alternatíva 2 – Prenájom nových priestorov</w:t>
      </w:r>
      <w:bookmarkEnd w:id="8"/>
    </w:p>
    <w:p w14:paraId="33A1A852" w14:textId="22CDDCC6" w:rsidR="00DC599A" w:rsidRPr="004F3027" w:rsidRDefault="00DC599A" w:rsidP="00DC599A">
      <w:pPr>
        <w:rPr>
          <w:rFonts w:cs="Times New Roman"/>
          <w:color w:val="000000"/>
        </w:rPr>
      </w:pPr>
      <w:r w:rsidRPr="00044CF1">
        <w:rPr>
          <w:rFonts w:cs="Times New Roman"/>
          <w:b/>
          <w:color w:val="000000"/>
        </w:rPr>
        <w:t xml:space="preserve">Vykonaním prieskumu trhu v lokalite Bratislava boli nájdené </w:t>
      </w:r>
      <w:r w:rsidR="00044CF1" w:rsidRPr="00044CF1">
        <w:rPr>
          <w:rFonts w:cs="Times New Roman"/>
          <w:b/>
          <w:color w:val="000000"/>
        </w:rPr>
        <w:t>dve</w:t>
      </w:r>
      <w:r w:rsidRPr="00044CF1">
        <w:rPr>
          <w:rFonts w:cs="Times New Roman"/>
          <w:b/>
          <w:color w:val="000000"/>
        </w:rPr>
        <w:t xml:space="preserve"> vhodné lokality pre prenájom nových administratívnych priestorov pre </w:t>
      </w:r>
      <w:r w:rsidR="008C7B9F">
        <w:rPr>
          <w:rFonts w:cs="Times New Roman"/>
          <w:b/>
          <w:color w:val="000000"/>
        </w:rPr>
        <w:t>500</w:t>
      </w:r>
      <w:r w:rsidRPr="00044CF1">
        <w:rPr>
          <w:rFonts w:cs="Times New Roman"/>
          <w:b/>
          <w:color w:val="000000"/>
        </w:rPr>
        <w:t xml:space="preserve"> zamestnancov</w:t>
      </w:r>
      <w:r w:rsidR="00044CF1" w:rsidRPr="00044CF1">
        <w:rPr>
          <w:rFonts w:cs="Times New Roman"/>
          <w:b/>
          <w:color w:val="000000"/>
        </w:rPr>
        <w:t>.</w:t>
      </w:r>
      <w:r w:rsidR="00044CF1">
        <w:rPr>
          <w:rFonts w:cs="Times New Roman"/>
          <w:color w:val="000000"/>
        </w:rPr>
        <w:t xml:space="preserve"> </w:t>
      </w:r>
      <w:r w:rsidRPr="003236D5">
        <w:rPr>
          <w:rFonts w:cs="Times New Roman"/>
          <w:color w:val="000000"/>
        </w:rPr>
        <w:t xml:space="preserve">Na základe zverejnených ponukových cien sú odhadnuté </w:t>
      </w:r>
      <w:r w:rsidR="003236D5" w:rsidRPr="003236D5">
        <w:rPr>
          <w:rFonts w:cs="Times New Roman"/>
          <w:color w:val="000000"/>
        </w:rPr>
        <w:t xml:space="preserve">ročné </w:t>
      </w:r>
      <w:r w:rsidRPr="003236D5">
        <w:rPr>
          <w:rFonts w:cs="Times New Roman"/>
          <w:color w:val="000000"/>
        </w:rPr>
        <w:t>náklady na nový pre</w:t>
      </w:r>
      <w:r w:rsidR="003236D5" w:rsidRPr="003236D5">
        <w:rPr>
          <w:rFonts w:cs="Times New Roman"/>
          <w:color w:val="000000"/>
        </w:rPr>
        <w:t xml:space="preserve">nájom kancelárskych priestorov. </w:t>
      </w:r>
    </w:p>
    <w:p w14:paraId="6A0FA14F" w14:textId="2DC279D7" w:rsidR="00DC599A" w:rsidRPr="00C92954" w:rsidRDefault="00DC599A" w:rsidP="00C92954">
      <w:pPr>
        <w:pStyle w:val="Popis"/>
        <w:spacing w:after="0"/>
        <w:rPr>
          <w:color w:val="auto"/>
          <w:sz w:val="20"/>
        </w:rPr>
      </w:pPr>
      <w:bookmarkStart w:id="9" w:name="_Toc121679698"/>
      <w:r w:rsidRPr="00C92954">
        <w:rPr>
          <w:color w:val="auto"/>
          <w:sz w:val="20"/>
        </w:rPr>
        <w:t xml:space="preserve">Tabuľka </w:t>
      </w:r>
      <w:r w:rsidRPr="00C92954">
        <w:rPr>
          <w:color w:val="auto"/>
          <w:sz w:val="20"/>
        </w:rPr>
        <w:fldChar w:fldCharType="begin"/>
      </w:r>
      <w:r w:rsidRPr="00C92954">
        <w:rPr>
          <w:color w:val="auto"/>
          <w:sz w:val="20"/>
        </w:rPr>
        <w:instrText xml:space="preserve"> SEQ Tabuľka \* ARABIC </w:instrText>
      </w:r>
      <w:r w:rsidRPr="00C92954">
        <w:rPr>
          <w:color w:val="auto"/>
          <w:sz w:val="20"/>
        </w:rPr>
        <w:fldChar w:fldCharType="separate"/>
      </w:r>
      <w:r w:rsidR="006E5723">
        <w:rPr>
          <w:noProof/>
          <w:color w:val="auto"/>
          <w:sz w:val="20"/>
        </w:rPr>
        <w:t>3</w:t>
      </w:r>
      <w:r w:rsidRPr="00C92954">
        <w:rPr>
          <w:color w:val="auto"/>
          <w:sz w:val="20"/>
        </w:rPr>
        <w:fldChar w:fldCharType="end"/>
      </w:r>
      <w:r w:rsidR="00C92954">
        <w:rPr>
          <w:color w:val="auto"/>
          <w:sz w:val="20"/>
        </w:rPr>
        <w:t xml:space="preserve">: </w:t>
      </w:r>
      <w:r w:rsidRPr="00C92954">
        <w:rPr>
          <w:color w:val="auto"/>
          <w:sz w:val="20"/>
        </w:rPr>
        <w:t>Odhadované náklady na nový prenájom</w:t>
      </w:r>
      <w:bookmarkEnd w:id="9"/>
      <w:r w:rsidRPr="00C92954">
        <w:rPr>
          <w:color w:val="auto"/>
          <w:sz w:val="20"/>
        </w:rPr>
        <w:t xml:space="preserve"> </w:t>
      </w:r>
    </w:p>
    <w:tbl>
      <w:tblPr>
        <w:tblW w:w="9077" w:type="dxa"/>
        <w:tblInd w:w="-5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703"/>
      </w:tblGrid>
      <w:tr w:rsidR="00C161BA" w:rsidRPr="003236D5" w14:paraId="56F72E02" w14:textId="3D294661" w:rsidTr="00653B20">
        <w:trPr>
          <w:trHeight w:val="569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46A9" w14:textId="4ABBE9AC" w:rsidR="00C161BA" w:rsidRPr="003236D5" w:rsidRDefault="00C161BA" w:rsidP="00C161BA">
            <w:pPr>
              <w:keepNext/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236D5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Nová lokalita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5F3423" w14:textId="4A2B248D" w:rsidR="00C161BA" w:rsidRPr="003236D5" w:rsidRDefault="00C161BA" w:rsidP="00C161B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236D5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Administratívna plocha (m</w:t>
            </w:r>
            <w:r w:rsidRPr="00802EA4"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  <w:lang w:eastAsia="sk-SK"/>
              </w:rPr>
              <w:t>2</w:t>
            </w:r>
            <w:r w:rsidRPr="003236D5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017666" w14:textId="4D625A21" w:rsidR="00C161BA" w:rsidRPr="003236D5" w:rsidRDefault="00C161BA" w:rsidP="00C161B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236D5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Nájomné (eur/m</w:t>
            </w:r>
            <w:r w:rsidRPr="00802EA4"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  <w:lang w:eastAsia="sk-SK"/>
              </w:rPr>
              <w:t>2</w:t>
            </w:r>
            <w:r w:rsidRPr="003236D5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82C36" w14:textId="0FD09A4F" w:rsidR="00C161BA" w:rsidRPr="003236D5" w:rsidRDefault="00C161BA" w:rsidP="00C161B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Ostatné náklady (eur / rok)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DD040" w14:textId="7D1BB776" w:rsidR="00C161BA" w:rsidRPr="003236D5" w:rsidRDefault="00270273" w:rsidP="00270273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Celkové r</w:t>
            </w:r>
            <w:r w:rsidR="00C161BA" w:rsidRPr="003236D5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očné náklady (eur)</w:t>
            </w:r>
          </w:p>
        </w:tc>
      </w:tr>
      <w:tr w:rsidR="00C161BA" w:rsidRPr="003236D5" w14:paraId="3AFF05A7" w14:textId="02315EA3" w:rsidTr="00653B20">
        <w:trPr>
          <w:trHeight w:val="329"/>
        </w:trPr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0095C7F" w14:textId="0C633684" w:rsidR="00C161BA" w:rsidRPr="003236D5" w:rsidRDefault="00C161BA" w:rsidP="00C161BA">
            <w:pPr>
              <w:keepNext/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3236D5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Fakeside</w:t>
            </w:r>
            <w:proofErr w:type="spellEnd"/>
            <w:r w:rsidRPr="003236D5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 xml:space="preserve"> Park</w:t>
            </w: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BDEBB99" w14:textId="639889D1" w:rsidR="00C161BA" w:rsidRPr="003236D5" w:rsidRDefault="00461585" w:rsidP="00C161BA">
            <w:pPr>
              <w:keepNext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7 50</w:t>
            </w:r>
            <w:r w:rsidR="00C161BA" w:rsidRPr="003236D5">
              <w:rPr>
                <w:rFonts w:cs="Times New Roman"/>
                <w:sz w:val="20"/>
                <w:szCs w:val="20"/>
              </w:rPr>
              <w:t>0 m</w:t>
            </w:r>
            <w:r w:rsidR="00C161BA" w:rsidRPr="00802EA4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C0B5F04" w14:textId="3449DCEC" w:rsidR="00C161BA" w:rsidRPr="003236D5" w:rsidRDefault="00802EA4" w:rsidP="00802EA4">
            <w:pPr>
              <w:keepNext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  <w:r w:rsidR="00C161BA" w:rsidRPr="003236D5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="00C161BA" w:rsidRPr="003236D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  <w:vAlign w:val="center"/>
          </w:tcPr>
          <w:p w14:paraId="46C7C143" w14:textId="06BC1882" w:rsidR="00C161BA" w:rsidRPr="003236D5" w:rsidRDefault="00461585" w:rsidP="00C161BA">
            <w:pPr>
              <w:keepNext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622</w:t>
            </w:r>
            <w:r w:rsidR="00C161BA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475</w:t>
            </w:r>
          </w:p>
        </w:tc>
        <w:tc>
          <w:tcPr>
            <w:tcW w:w="1703" w:type="dxa"/>
            <w:tcBorders>
              <w:top w:val="single" w:sz="4" w:space="0" w:color="auto"/>
              <w:bottom w:val="nil"/>
            </w:tcBorders>
            <w:vAlign w:val="center"/>
          </w:tcPr>
          <w:p w14:paraId="3B0834DC" w14:textId="60C8C343" w:rsidR="00C161BA" w:rsidRPr="003236D5" w:rsidRDefault="00802EA4" w:rsidP="00802EA4">
            <w:pPr>
              <w:keepNext/>
              <w:spacing w:after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C161BA" w:rsidRPr="003236D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882</w:t>
            </w:r>
            <w:r w:rsidR="00C161BA" w:rsidRPr="003236D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475</w:t>
            </w:r>
          </w:p>
        </w:tc>
      </w:tr>
      <w:tr w:rsidR="00C161BA" w:rsidRPr="003236D5" w14:paraId="76AEF8DC" w14:textId="76F3CD18" w:rsidTr="00653B20">
        <w:trPr>
          <w:trHeight w:val="329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F16754" w14:textId="77447FEA" w:rsidR="00C161BA" w:rsidRPr="003236D5" w:rsidRDefault="00C161BA" w:rsidP="00C161BA">
            <w:pPr>
              <w:keepNext/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3236D5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Central</w:t>
            </w:r>
            <w:proofErr w:type="spellEnd"/>
            <w:r w:rsidRPr="003236D5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Circle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A49CD71" w14:textId="1C0EE9AA" w:rsidR="00C161BA" w:rsidRPr="003236D5" w:rsidRDefault="00461585" w:rsidP="00C161BA">
            <w:pPr>
              <w:keepNext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="00C161BA" w:rsidRPr="003236D5">
              <w:rPr>
                <w:rFonts w:cs="Times New Roman"/>
                <w:sz w:val="20"/>
                <w:szCs w:val="20"/>
              </w:rPr>
              <w:t xml:space="preserve"> 900 m</w:t>
            </w:r>
            <w:r w:rsidR="00C161BA" w:rsidRPr="00802EA4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1C5EDBE" w14:textId="03627BA3" w:rsidR="00C161BA" w:rsidRPr="003236D5" w:rsidRDefault="00461585" w:rsidP="00C161BA">
            <w:pPr>
              <w:keepNext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  <w:r w:rsidR="00C161BA" w:rsidRPr="003236D5">
              <w:rPr>
                <w:rFonts w:cs="Times New Roman"/>
                <w:sz w:val="20"/>
                <w:szCs w:val="20"/>
              </w:rPr>
              <w:t>,50</w:t>
            </w:r>
          </w:p>
        </w:tc>
        <w:tc>
          <w:tcPr>
            <w:tcW w:w="1702" w:type="dxa"/>
            <w:tcBorders>
              <w:top w:val="nil"/>
              <w:bottom w:val="nil"/>
            </w:tcBorders>
            <w:vAlign w:val="center"/>
          </w:tcPr>
          <w:p w14:paraId="08DD65E4" w14:textId="32BEC2D6" w:rsidR="00C161BA" w:rsidRPr="003236D5" w:rsidRDefault="00C161BA" w:rsidP="00C161BA">
            <w:pPr>
              <w:keepNext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650 000</w:t>
            </w:r>
          </w:p>
        </w:tc>
        <w:tc>
          <w:tcPr>
            <w:tcW w:w="1703" w:type="dxa"/>
            <w:tcBorders>
              <w:top w:val="nil"/>
              <w:bottom w:val="nil"/>
            </w:tcBorders>
            <w:vAlign w:val="center"/>
          </w:tcPr>
          <w:p w14:paraId="020FFEE5" w14:textId="324D7B22" w:rsidR="00C161BA" w:rsidRPr="003236D5" w:rsidRDefault="00C161BA" w:rsidP="00C161BA">
            <w:pPr>
              <w:keepNext/>
              <w:spacing w:after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3236D5">
              <w:rPr>
                <w:rFonts w:cs="Times New Roman"/>
                <w:sz w:val="20"/>
                <w:szCs w:val="20"/>
              </w:rPr>
              <w:t xml:space="preserve"> </w:t>
            </w:r>
            <w:r w:rsidR="00461585">
              <w:rPr>
                <w:rFonts w:cs="Times New Roman"/>
                <w:sz w:val="20"/>
                <w:szCs w:val="20"/>
              </w:rPr>
              <w:t>309</w:t>
            </w:r>
            <w:r w:rsidRPr="003236D5">
              <w:rPr>
                <w:rFonts w:cs="Times New Roman"/>
                <w:sz w:val="20"/>
                <w:szCs w:val="20"/>
              </w:rPr>
              <w:t xml:space="preserve"> </w:t>
            </w:r>
            <w:r w:rsidR="00461585">
              <w:rPr>
                <w:rFonts w:cs="Times New Roman"/>
                <w:sz w:val="20"/>
                <w:szCs w:val="20"/>
              </w:rPr>
              <w:t>0</w:t>
            </w:r>
            <w:r w:rsidRPr="003236D5">
              <w:rPr>
                <w:rFonts w:cs="Times New Roman"/>
                <w:sz w:val="20"/>
                <w:szCs w:val="20"/>
              </w:rPr>
              <w:t>00</w:t>
            </w:r>
          </w:p>
        </w:tc>
      </w:tr>
      <w:tr w:rsidR="00037469" w:rsidRPr="003236D5" w14:paraId="330C7FA2" w14:textId="77777777" w:rsidTr="00653B20">
        <w:trPr>
          <w:trHeight w:val="329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E1A3909" w14:textId="12A48594" w:rsidR="00037469" w:rsidRPr="003236D5" w:rsidRDefault="00037469" w:rsidP="00037469">
            <w:pPr>
              <w:keepNext/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 xml:space="preserve">Park </w:t>
            </w: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Two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 xml:space="preserve"> (súčasný nájom)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F0AEC27" w14:textId="443F1B1B" w:rsidR="00037469" w:rsidRDefault="00037469" w:rsidP="00C161BA">
            <w:pPr>
              <w:keepNext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8 000 m</w:t>
            </w:r>
            <w:r w:rsidRPr="00802EA4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11284DC" w14:textId="6B114D88" w:rsidR="00037469" w:rsidRDefault="00037469" w:rsidP="00C161BA">
            <w:pPr>
              <w:keepNext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15,00</w:t>
            </w:r>
          </w:p>
        </w:tc>
        <w:tc>
          <w:tcPr>
            <w:tcW w:w="1702" w:type="dxa"/>
            <w:tcBorders>
              <w:top w:val="nil"/>
              <w:bottom w:val="nil"/>
            </w:tcBorders>
            <w:vAlign w:val="center"/>
          </w:tcPr>
          <w:p w14:paraId="7E7FCCF3" w14:textId="0B44138B" w:rsidR="00037469" w:rsidRDefault="00037469" w:rsidP="00C161BA">
            <w:pPr>
              <w:keepNext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638 400</w:t>
            </w:r>
          </w:p>
        </w:tc>
        <w:tc>
          <w:tcPr>
            <w:tcW w:w="1703" w:type="dxa"/>
            <w:tcBorders>
              <w:top w:val="nil"/>
              <w:bottom w:val="nil"/>
            </w:tcBorders>
            <w:vAlign w:val="center"/>
          </w:tcPr>
          <w:p w14:paraId="07E68F1A" w14:textId="199C26C8" w:rsidR="00037469" w:rsidRDefault="00037469" w:rsidP="00C161BA">
            <w:pPr>
              <w:keepNext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2 180 400</w:t>
            </w:r>
          </w:p>
        </w:tc>
      </w:tr>
    </w:tbl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7523E" w:rsidRPr="004359D5" w14:paraId="7F422EF4" w14:textId="77777777" w:rsidTr="006E5723">
        <w:tc>
          <w:tcPr>
            <w:tcW w:w="9062" w:type="dxa"/>
            <w:tcBorders>
              <w:top w:val="single" w:sz="4" w:space="0" w:color="auto"/>
              <w:bottom w:val="nil"/>
            </w:tcBorders>
          </w:tcPr>
          <w:p w14:paraId="2EAEB428" w14:textId="06F5F60E" w:rsidR="00E7523E" w:rsidRPr="00E7523E" w:rsidRDefault="00E7523E" w:rsidP="00EC1B43">
            <w:pPr>
              <w:jc w:val="right"/>
              <w:rPr>
                <w:rFonts w:cs="Times New Roman"/>
                <w:i/>
                <w:sz w:val="20"/>
              </w:rPr>
            </w:pPr>
            <w:r w:rsidRPr="00E7523E">
              <w:rPr>
                <w:rFonts w:cs="Times New Roman"/>
                <w:i/>
                <w:sz w:val="16"/>
              </w:rPr>
              <w:t xml:space="preserve">Zdroj: </w:t>
            </w:r>
            <w:r w:rsidR="00EC1B43">
              <w:rPr>
                <w:rFonts w:cs="Times New Roman"/>
                <w:i/>
                <w:sz w:val="16"/>
              </w:rPr>
              <w:t>HAU</w:t>
            </w:r>
          </w:p>
        </w:tc>
      </w:tr>
    </w:tbl>
    <w:p w14:paraId="48FE9E8A" w14:textId="27E81E73" w:rsidR="00DC599A" w:rsidRPr="00270273" w:rsidRDefault="00270273" w:rsidP="00044CF1">
      <w:pPr>
        <w:spacing w:before="160"/>
        <w:rPr>
          <w:rFonts w:cs="Times New Roman"/>
          <w:b/>
        </w:rPr>
      </w:pPr>
      <w:r w:rsidRPr="00270273">
        <w:rPr>
          <w:rFonts w:cs="Times New Roman"/>
          <w:b/>
        </w:rPr>
        <w:t xml:space="preserve">Výhodnejšou lokalitou je </w:t>
      </w:r>
      <w:proofErr w:type="spellStart"/>
      <w:r w:rsidRPr="00270273">
        <w:rPr>
          <w:rFonts w:cs="Times New Roman"/>
          <w:b/>
        </w:rPr>
        <w:t>Fakeside</w:t>
      </w:r>
      <w:proofErr w:type="spellEnd"/>
      <w:r w:rsidRPr="00270273">
        <w:rPr>
          <w:rFonts w:cs="Times New Roman"/>
          <w:b/>
        </w:rPr>
        <w:t xml:space="preserve"> Park</w:t>
      </w:r>
      <w:r>
        <w:rPr>
          <w:rFonts w:cs="Times New Roman"/>
          <w:b/>
        </w:rPr>
        <w:t>, ktorý</w:t>
      </w:r>
      <w:r w:rsidRPr="00270273">
        <w:rPr>
          <w:rFonts w:cs="Times New Roman"/>
          <w:b/>
        </w:rPr>
        <w:t xml:space="preserve"> </w:t>
      </w:r>
      <w:r w:rsidR="00C161BA" w:rsidRPr="00270273">
        <w:rPr>
          <w:rFonts w:cs="Times New Roman"/>
          <w:b/>
        </w:rPr>
        <w:t>bud</w:t>
      </w:r>
      <w:r>
        <w:rPr>
          <w:rFonts w:cs="Times New Roman"/>
          <w:b/>
        </w:rPr>
        <w:t>e</w:t>
      </w:r>
      <w:r w:rsidR="00C161BA" w:rsidRPr="00270273">
        <w:rPr>
          <w:rFonts w:cs="Times New Roman"/>
          <w:b/>
        </w:rPr>
        <w:t xml:space="preserve"> vyžadovať dodatočné náklady na prispôsobenie.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Na základe vykonanej obhliadky predpokladáme náklady na úpravu vnútorných priestorov (</w:t>
      </w:r>
      <w:proofErr w:type="spellStart"/>
      <w:r>
        <w:rPr>
          <w:rFonts w:cs="Times New Roman"/>
        </w:rPr>
        <w:t>fitout</w:t>
      </w:r>
      <w:proofErr w:type="spellEnd"/>
      <w:r>
        <w:rPr>
          <w:rFonts w:cs="Times New Roman"/>
        </w:rPr>
        <w:t xml:space="preserve">) na </w:t>
      </w:r>
      <w:r w:rsidR="00461585">
        <w:rPr>
          <w:rFonts w:cs="Times New Roman"/>
        </w:rPr>
        <w:t>40</w:t>
      </w:r>
      <w:r>
        <w:rPr>
          <w:rFonts w:cs="Times New Roman"/>
        </w:rPr>
        <w:t>0 eur/m</w:t>
      </w:r>
      <w:r w:rsidRPr="00461585"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. Tento jednorazový náklad dosiahne približne </w:t>
      </w:r>
      <w:r w:rsidR="00461585">
        <w:rPr>
          <w:rFonts w:cs="Times New Roman"/>
        </w:rPr>
        <w:t>3,0</w:t>
      </w:r>
      <w:r>
        <w:rPr>
          <w:rFonts w:cs="Times New Roman"/>
        </w:rPr>
        <w:t xml:space="preserve"> mil. eur.</w:t>
      </w:r>
    </w:p>
    <w:p w14:paraId="5B714262" w14:textId="5625ED75" w:rsidR="00044CF1" w:rsidRPr="004359D5" w:rsidRDefault="00044CF1" w:rsidP="3E28DE28">
      <w:pPr>
        <w:pStyle w:val="Popis"/>
        <w:spacing w:after="0"/>
        <w:ind w:left="1416" w:hanging="1416"/>
        <w:jc w:val="left"/>
        <w:rPr>
          <w:color w:val="auto"/>
          <w:sz w:val="20"/>
        </w:rPr>
      </w:pPr>
      <w:bookmarkStart w:id="10" w:name="_Toc121679699"/>
      <w:r w:rsidRPr="3E28DE28">
        <w:rPr>
          <w:color w:val="auto"/>
          <w:sz w:val="20"/>
        </w:rPr>
        <w:t xml:space="preserve">Tabuľka </w:t>
      </w:r>
      <w:r w:rsidRPr="3E28DE28">
        <w:rPr>
          <w:color w:val="auto"/>
          <w:sz w:val="20"/>
        </w:rPr>
        <w:fldChar w:fldCharType="begin"/>
      </w:r>
      <w:r w:rsidRPr="3E28DE28">
        <w:rPr>
          <w:color w:val="auto"/>
          <w:sz w:val="20"/>
        </w:rPr>
        <w:instrText xml:space="preserve"> SEQ Tabuľka \* ARABIC </w:instrText>
      </w:r>
      <w:r w:rsidRPr="3E28DE28">
        <w:rPr>
          <w:color w:val="auto"/>
          <w:sz w:val="20"/>
        </w:rPr>
        <w:fldChar w:fldCharType="separate"/>
      </w:r>
      <w:r w:rsidR="006E5723">
        <w:rPr>
          <w:noProof/>
          <w:color w:val="auto"/>
          <w:sz w:val="20"/>
        </w:rPr>
        <w:t>4</w:t>
      </w:r>
      <w:r w:rsidRPr="3E28DE28">
        <w:rPr>
          <w:color w:val="auto"/>
          <w:sz w:val="20"/>
        </w:rPr>
        <w:fldChar w:fldCharType="end"/>
      </w:r>
      <w:r w:rsidRPr="3E28DE28">
        <w:rPr>
          <w:color w:val="auto"/>
          <w:sz w:val="20"/>
        </w:rPr>
        <w:t xml:space="preserve">: Parametre alternatívy </w:t>
      </w:r>
      <w:r w:rsidR="67396732" w:rsidRPr="3E28DE28">
        <w:rPr>
          <w:color w:val="auto"/>
          <w:sz w:val="20"/>
        </w:rPr>
        <w:t>2</w:t>
      </w:r>
      <w:bookmarkEnd w:id="10"/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76"/>
      </w:tblGrid>
      <w:tr w:rsidR="00044CF1" w:rsidRPr="00C42592" w14:paraId="27AD9A9D" w14:textId="77777777" w:rsidTr="00043159">
        <w:trPr>
          <w:trHeight w:val="374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6B6A4E9" w14:textId="77777777" w:rsidR="00044CF1" w:rsidRPr="00C42592" w:rsidRDefault="00044CF1" w:rsidP="00DF2BD7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42592">
              <w:rPr>
                <w:rFonts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5376" w:type="dxa"/>
            <w:tcBorders>
              <w:bottom w:val="single" w:sz="4" w:space="0" w:color="auto"/>
            </w:tcBorders>
            <w:vAlign w:val="center"/>
          </w:tcPr>
          <w:p w14:paraId="64F0A390" w14:textId="72F8881C" w:rsidR="00044CF1" w:rsidRPr="00C42592" w:rsidRDefault="003236D5" w:rsidP="00DF2BD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42592">
              <w:rPr>
                <w:rFonts w:cs="Times New Roman"/>
                <w:b/>
                <w:sz w:val="20"/>
                <w:szCs w:val="20"/>
              </w:rPr>
              <w:t>F</w:t>
            </w:r>
            <w:r w:rsidR="00270273" w:rsidRPr="00C42592">
              <w:rPr>
                <w:rFonts w:cs="Times New Roman"/>
                <w:b/>
                <w:sz w:val="20"/>
                <w:szCs w:val="20"/>
              </w:rPr>
              <w:t>akeside</w:t>
            </w:r>
            <w:proofErr w:type="spellEnd"/>
            <w:r w:rsidR="00270273" w:rsidRPr="00C42592">
              <w:rPr>
                <w:rFonts w:cs="Times New Roman"/>
                <w:b/>
                <w:sz w:val="20"/>
                <w:szCs w:val="20"/>
              </w:rPr>
              <w:t xml:space="preserve"> Park</w:t>
            </w:r>
          </w:p>
        </w:tc>
      </w:tr>
      <w:tr w:rsidR="00044CF1" w:rsidRPr="00C42592" w14:paraId="1EBAC308" w14:textId="77777777" w:rsidTr="00FA467D">
        <w:trPr>
          <w:trHeight w:val="280"/>
        </w:trPr>
        <w:tc>
          <w:tcPr>
            <w:tcW w:w="3686" w:type="dxa"/>
            <w:tcBorders>
              <w:bottom w:val="nil"/>
            </w:tcBorders>
            <w:vAlign w:val="center"/>
          </w:tcPr>
          <w:p w14:paraId="707CB66F" w14:textId="77777777" w:rsidR="00044CF1" w:rsidRPr="00C42592" w:rsidRDefault="00044CF1" w:rsidP="00DF2BD7">
            <w:pPr>
              <w:jc w:val="left"/>
              <w:rPr>
                <w:rFonts w:cs="Times New Roman"/>
                <w:sz w:val="20"/>
                <w:szCs w:val="20"/>
              </w:rPr>
            </w:pPr>
            <w:r w:rsidRPr="00C42592">
              <w:rPr>
                <w:rFonts w:cs="Times New Roman"/>
                <w:sz w:val="20"/>
                <w:szCs w:val="20"/>
              </w:rPr>
              <w:t>Počet zamestnancov</w:t>
            </w:r>
          </w:p>
        </w:tc>
        <w:tc>
          <w:tcPr>
            <w:tcW w:w="5376" w:type="dxa"/>
            <w:tcBorders>
              <w:bottom w:val="nil"/>
            </w:tcBorders>
            <w:vAlign w:val="center"/>
          </w:tcPr>
          <w:p w14:paraId="661E4D00" w14:textId="3B7D0EFE" w:rsidR="00044CF1" w:rsidRPr="00C42592" w:rsidRDefault="003236D5" w:rsidP="00DF2B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2592">
              <w:rPr>
                <w:rFonts w:cs="Times New Roman"/>
                <w:sz w:val="20"/>
                <w:szCs w:val="20"/>
              </w:rPr>
              <w:t>500</w:t>
            </w:r>
          </w:p>
        </w:tc>
      </w:tr>
      <w:tr w:rsidR="00044CF1" w:rsidRPr="00C42592" w14:paraId="1AE738F5" w14:textId="77777777" w:rsidTr="00FA467D">
        <w:trPr>
          <w:trHeight w:val="280"/>
        </w:trPr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14:paraId="5D19DD6D" w14:textId="2F0CF170" w:rsidR="00044CF1" w:rsidRPr="00C42592" w:rsidRDefault="00044CF1" w:rsidP="00DF2BD7">
            <w:pPr>
              <w:jc w:val="left"/>
              <w:rPr>
                <w:rFonts w:cs="Times New Roman"/>
                <w:sz w:val="20"/>
                <w:szCs w:val="20"/>
              </w:rPr>
            </w:pPr>
            <w:r w:rsidRPr="00C42592">
              <w:rPr>
                <w:rFonts w:cs="Times New Roman"/>
                <w:sz w:val="20"/>
                <w:szCs w:val="20"/>
              </w:rPr>
              <w:t>Rozloha</w:t>
            </w:r>
            <w:r w:rsidR="00270273" w:rsidRPr="00C42592">
              <w:rPr>
                <w:rFonts w:cs="Times New Roman"/>
                <w:sz w:val="20"/>
                <w:szCs w:val="20"/>
              </w:rPr>
              <w:t xml:space="preserve"> (m</w:t>
            </w:r>
            <w:r w:rsidR="00270273" w:rsidRPr="00C42592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="00270273" w:rsidRPr="00C42592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376" w:type="dxa"/>
            <w:tcBorders>
              <w:top w:val="nil"/>
              <w:bottom w:val="nil"/>
            </w:tcBorders>
            <w:vAlign w:val="center"/>
          </w:tcPr>
          <w:p w14:paraId="201E17D8" w14:textId="5107EF5F" w:rsidR="00044CF1" w:rsidRPr="00C42592" w:rsidRDefault="00461585" w:rsidP="003236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2592">
              <w:rPr>
                <w:rFonts w:cs="Times New Roman"/>
                <w:sz w:val="20"/>
                <w:szCs w:val="20"/>
              </w:rPr>
              <w:t>7</w:t>
            </w:r>
            <w:r w:rsidR="00044CF1" w:rsidRPr="00C42592">
              <w:rPr>
                <w:rFonts w:cs="Times New Roman"/>
                <w:sz w:val="20"/>
                <w:szCs w:val="20"/>
              </w:rPr>
              <w:t> </w:t>
            </w:r>
            <w:r w:rsidR="003236D5" w:rsidRPr="00C42592">
              <w:rPr>
                <w:rFonts w:cs="Times New Roman"/>
                <w:sz w:val="20"/>
                <w:szCs w:val="20"/>
              </w:rPr>
              <w:t>5</w:t>
            </w:r>
            <w:r w:rsidRPr="00C42592">
              <w:rPr>
                <w:rFonts w:cs="Times New Roman"/>
                <w:sz w:val="20"/>
                <w:szCs w:val="20"/>
              </w:rPr>
              <w:t>00</w:t>
            </w:r>
          </w:p>
        </w:tc>
      </w:tr>
      <w:tr w:rsidR="00044CF1" w:rsidRPr="00C42592" w14:paraId="60969129" w14:textId="77777777" w:rsidTr="00FA467D">
        <w:trPr>
          <w:trHeight w:val="280"/>
        </w:trPr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14:paraId="50617FA7" w14:textId="12E30985" w:rsidR="00044CF1" w:rsidRPr="00C42592" w:rsidRDefault="00270273" w:rsidP="00DF2BD7">
            <w:pPr>
              <w:jc w:val="left"/>
              <w:rPr>
                <w:rFonts w:cs="Times New Roman"/>
                <w:sz w:val="20"/>
                <w:szCs w:val="20"/>
              </w:rPr>
            </w:pPr>
            <w:r w:rsidRPr="00C42592">
              <w:rPr>
                <w:rFonts w:cs="Times New Roman"/>
                <w:sz w:val="20"/>
                <w:szCs w:val="20"/>
              </w:rPr>
              <w:t>Priestorová efektivita (m</w:t>
            </w:r>
            <w:r w:rsidRPr="00C42592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C42592">
              <w:rPr>
                <w:rFonts w:cs="Times New Roman"/>
                <w:sz w:val="20"/>
                <w:szCs w:val="20"/>
              </w:rPr>
              <w:t>/zamestnanca)</w:t>
            </w:r>
          </w:p>
        </w:tc>
        <w:tc>
          <w:tcPr>
            <w:tcW w:w="5376" w:type="dxa"/>
            <w:tcBorders>
              <w:top w:val="nil"/>
              <w:bottom w:val="nil"/>
            </w:tcBorders>
            <w:vAlign w:val="center"/>
          </w:tcPr>
          <w:p w14:paraId="6F5FA94C" w14:textId="70CEA2F1" w:rsidR="00044CF1" w:rsidRPr="00C42592" w:rsidRDefault="00461585" w:rsidP="00DF2B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2592">
              <w:rPr>
                <w:rFonts w:cs="Times New Roman"/>
                <w:sz w:val="20"/>
                <w:szCs w:val="20"/>
              </w:rPr>
              <w:t>15</w:t>
            </w:r>
          </w:p>
        </w:tc>
      </w:tr>
      <w:tr w:rsidR="00270273" w:rsidRPr="00C42592" w14:paraId="2D33FAA9" w14:textId="77777777" w:rsidTr="00FA467D">
        <w:trPr>
          <w:trHeight w:val="280"/>
        </w:trPr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14:paraId="20B8DA83" w14:textId="5CC4CD7C" w:rsidR="00270273" w:rsidRPr="00C42592" w:rsidRDefault="00270273" w:rsidP="00270273">
            <w:pPr>
              <w:jc w:val="left"/>
              <w:rPr>
                <w:rFonts w:cs="Times New Roman"/>
                <w:sz w:val="20"/>
                <w:szCs w:val="20"/>
              </w:rPr>
            </w:pPr>
            <w:r w:rsidRPr="00C42592">
              <w:rPr>
                <w:rFonts w:cs="Times New Roman"/>
                <w:sz w:val="20"/>
                <w:szCs w:val="20"/>
              </w:rPr>
              <w:t>Počet parkovacích miest</w:t>
            </w:r>
          </w:p>
        </w:tc>
        <w:tc>
          <w:tcPr>
            <w:tcW w:w="5376" w:type="dxa"/>
            <w:tcBorders>
              <w:top w:val="nil"/>
              <w:bottom w:val="nil"/>
            </w:tcBorders>
            <w:vAlign w:val="center"/>
          </w:tcPr>
          <w:p w14:paraId="19A7F807" w14:textId="0B69C0CB" w:rsidR="00270273" w:rsidRPr="00C42592" w:rsidRDefault="1674FA30" w:rsidP="0027027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2592">
              <w:rPr>
                <w:rFonts w:cs="Times New Roman"/>
                <w:sz w:val="20"/>
                <w:szCs w:val="20"/>
              </w:rPr>
              <w:t>6</w:t>
            </w:r>
            <w:r w:rsidR="00270273" w:rsidRPr="00C42592">
              <w:rPr>
                <w:rFonts w:cs="Times New Roman"/>
                <w:sz w:val="20"/>
                <w:szCs w:val="20"/>
              </w:rPr>
              <w:t>0</w:t>
            </w:r>
            <w:r w:rsidR="655BF55B" w:rsidRPr="00C42592">
              <w:rPr>
                <w:rFonts w:cs="Times New Roman"/>
                <w:sz w:val="20"/>
                <w:szCs w:val="20"/>
              </w:rPr>
              <w:t xml:space="preserve"> (v cene nájmu)</w:t>
            </w:r>
          </w:p>
        </w:tc>
      </w:tr>
      <w:tr w:rsidR="00270273" w:rsidRPr="00C42592" w14:paraId="35F4FE25" w14:textId="77777777" w:rsidTr="00FA467D">
        <w:trPr>
          <w:trHeight w:val="280"/>
        </w:trPr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14:paraId="5CFC260F" w14:textId="2E1C0EEB" w:rsidR="00270273" w:rsidRPr="00C42592" w:rsidRDefault="00270273" w:rsidP="00270273">
            <w:pPr>
              <w:jc w:val="left"/>
              <w:rPr>
                <w:rFonts w:cs="Times New Roman"/>
                <w:sz w:val="20"/>
                <w:szCs w:val="20"/>
              </w:rPr>
            </w:pPr>
            <w:r w:rsidRPr="00C42592">
              <w:rPr>
                <w:rFonts w:cs="Times New Roman"/>
                <w:sz w:val="20"/>
                <w:szCs w:val="20"/>
              </w:rPr>
              <w:t>Ročné náklady na nájom (eur)</w:t>
            </w:r>
          </w:p>
        </w:tc>
        <w:tc>
          <w:tcPr>
            <w:tcW w:w="5376" w:type="dxa"/>
            <w:tcBorders>
              <w:top w:val="nil"/>
              <w:bottom w:val="nil"/>
            </w:tcBorders>
            <w:vAlign w:val="center"/>
          </w:tcPr>
          <w:p w14:paraId="504D063C" w14:textId="71894E43" w:rsidR="00270273" w:rsidRPr="00C42592" w:rsidRDefault="00461585" w:rsidP="00802E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2592">
              <w:rPr>
                <w:rFonts w:cs="Times New Roman"/>
                <w:sz w:val="20"/>
                <w:szCs w:val="20"/>
              </w:rPr>
              <w:t>1 </w:t>
            </w:r>
            <w:r w:rsidR="00802EA4" w:rsidRPr="00C42592">
              <w:rPr>
                <w:rFonts w:cs="Times New Roman"/>
                <w:sz w:val="20"/>
                <w:szCs w:val="20"/>
              </w:rPr>
              <w:t>260</w:t>
            </w:r>
            <w:r w:rsidRPr="00C42592">
              <w:rPr>
                <w:rFonts w:cs="Times New Roman"/>
                <w:sz w:val="20"/>
                <w:szCs w:val="20"/>
              </w:rPr>
              <w:t xml:space="preserve"> 000</w:t>
            </w:r>
          </w:p>
        </w:tc>
      </w:tr>
      <w:tr w:rsidR="00270273" w:rsidRPr="00C42592" w14:paraId="5B031C56" w14:textId="77777777" w:rsidTr="00FA467D">
        <w:trPr>
          <w:trHeight w:val="280"/>
        </w:trPr>
        <w:tc>
          <w:tcPr>
            <w:tcW w:w="3686" w:type="dxa"/>
            <w:tcBorders>
              <w:top w:val="nil"/>
              <w:bottom w:val="single" w:sz="4" w:space="0" w:color="auto"/>
            </w:tcBorders>
            <w:vAlign w:val="center"/>
          </w:tcPr>
          <w:p w14:paraId="36DBA667" w14:textId="56CC3EBE" w:rsidR="00270273" w:rsidRPr="00C42592" w:rsidRDefault="00270273" w:rsidP="00270273">
            <w:pPr>
              <w:jc w:val="left"/>
              <w:rPr>
                <w:rFonts w:cs="Times New Roman"/>
                <w:sz w:val="20"/>
                <w:szCs w:val="20"/>
              </w:rPr>
            </w:pPr>
            <w:r w:rsidRPr="00C42592">
              <w:rPr>
                <w:rFonts w:cs="Times New Roman"/>
                <w:sz w:val="20"/>
                <w:szCs w:val="20"/>
              </w:rPr>
              <w:t xml:space="preserve">Náklady na </w:t>
            </w:r>
            <w:proofErr w:type="spellStart"/>
            <w:r w:rsidRPr="00C42592">
              <w:rPr>
                <w:rFonts w:cs="Times New Roman"/>
                <w:sz w:val="20"/>
                <w:szCs w:val="20"/>
              </w:rPr>
              <w:t>fitout</w:t>
            </w:r>
            <w:proofErr w:type="spellEnd"/>
            <w:r w:rsidRPr="00C42592">
              <w:rPr>
                <w:rFonts w:cs="Times New Roman"/>
                <w:sz w:val="20"/>
                <w:szCs w:val="20"/>
              </w:rPr>
              <w:t xml:space="preserve"> (eur)</w:t>
            </w:r>
          </w:p>
        </w:tc>
        <w:tc>
          <w:tcPr>
            <w:tcW w:w="5376" w:type="dxa"/>
            <w:tcBorders>
              <w:top w:val="nil"/>
              <w:bottom w:val="single" w:sz="4" w:space="0" w:color="auto"/>
            </w:tcBorders>
            <w:vAlign w:val="center"/>
          </w:tcPr>
          <w:p w14:paraId="2C17DCC1" w14:textId="47B9154E" w:rsidR="00270273" w:rsidRPr="00C42592" w:rsidRDefault="00461585" w:rsidP="0027027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2592">
              <w:rPr>
                <w:rFonts w:cs="Times New Roman"/>
                <w:sz w:val="20"/>
                <w:szCs w:val="20"/>
              </w:rPr>
              <w:t>3 000 000</w:t>
            </w:r>
          </w:p>
        </w:tc>
      </w:tr>
      <w:tr w:rsidR="00E7523E" w:rsidRPr="005453ED" w14:paraId="03FB7296" w14:textId="77777777" w:rsidTr="00E7523E">
        <w:tc>
          <w:tcPr>
            <w:tcW w:w="9062" w:type="dxa"/>
            <w:gridSpan w:val="2"/>
            <w:tcBorders>
              <w:top w:val="single" w:sz="4" w:space="0" w:color="auto"/>
              <w:bottom w:val="nil"/>
            </w:tcBorders>
          </w:tcPr>
          <w:p w14:paraId="28815089" w14:textId="64BC5A94" w:rsidR="00E7523E" w:rsidRPr="005453ED" w:rsidRDefault="00E7523E" w:rsidP="00E7523E">
            <w:pPr>
              <w:jc w:val="right"/>
              <w:rPr>
                <w:rFonts w:cs="Times New Roman"/>
                <w:i/>
                <w:sz w:val="16"/>
                <w:szCs w:val="20"/>
              </w:rPr>
            </w:pPr>
            <w:r w:rsidRPr="005453ED">
              <w:rPr>
                <w:rFonts w:cs="Times New Roman"/>
                <w:i/>
                <w:sz w:val="16"/>
                <w:szCs w:val="20"/>
              </w:rPr>
              <w:t xml:space="preserve">Zdroj: </w:t>
            </w:r>
            <w:r w:rsidR="00461585" w:rsidRPr="005453ED">
              <w:rPr>
                <w:rFonts w:cs="Times New Roman"/>
                <w:i/>
                <w:sz w:val="16"/>
                <w:szCs w:val="20"/>
              </w:rPr>
              <w:t>HAU</w:t>
            </w:r>
          </w:p>
        </w:tc>
      </w:tr>
    </w:tbl>
    <w:p w14:paraId="6E26A42C" w14:textId="4F409E37" w:rsidR="00B1245E" w:rsidRPr="004F3027" w:rsidRDefault="00B1245E" w:rsidP="00A720E0">
      <w:pPr>
        <w:pStyle w:val="Nadpis1"/>
      </w:pPr>
      <w:bookmarkStart w:id="11" w:name="_Toc121679690"/>
      <w:r w:rsidRPr="004F3027">
        <w:t xml:space="preserve">Finančná </w:t>
      </w:r>
      <w:r w:rsidR="00BE0C94">
        <w:t xml:space="preserve">a ekonomická </w:t>
      </w:r>
      <w:r w:rsidRPr="004F3027">
        <w:t>analýza</w:t>
      </w:r>
      <w:bookmarkEnd w:id="11"/>
      <w:r w:rsidRPr="004F3027">
        <w:t xml:space="preserve"> </w:t>
      </w:r>
    </w:p>
    <w:p w14:paraId="3AC2D329" w14:textId="3BC66232" w:rsidR="00932E38" w:rsidRDefault="00932E38" w:rsidP="00932E38">
      <w:r>
        <w:rPr>
          <w:b/>
          <w:bCs/>
        </w:rPr>
        <w:t xml:space="preserve">Výstavba novej budovy bola finančnou </w:t>
      </w:r>
      <w:r w:rsidR="00BE0C94">
        <w:rPr>
          <w:b/>
          <w:bCs/>
        </w:rPr>
        <w:t xml:space="preserve">a ekonomickou </w:t>
      </w:r>
      <w:r>
        <w:rPr>
          <w:b/>
          <w:bCs/>
        </w:rPr>
        <w:t>analýzou porovnaná</w:t>
      </w:r>
      <w:r w:rsidRPr="005F186D">
        <w:rPr>
          <w:b/>
          <w:bCs/>
        </w:rPr>
        <w:t xml:space="preserve"> s </w:t>
      </w:r>
      <w:r w:rsidR="005D0696">
        <w:rPr>
          <w:b/>
          <w:bCs/>
        </w:rPr>
        <w:t>dvomi</w:t>
      </w:r>
      <w:r w:rsidRPr="005F186D">
        <w:rPr>
          <w:b/>
          <w:bCs/>
        </w:rPr>
        <w:t xml:space="preserve"> ďalšími alternatívami. </w:t>
      </w:r>
      <w:r w:rsidR="00BE0C94">
        <w:rPr>
          <w:bCs/>
        </w:rPr>
        <w:t xml:space="preserve">Cieľom finančnej analýzy bolo nájsť nákladovo najefektívnejšie riešenie. Alternatívy boli porovnané na 30 ročnom horizonte. </w:t>
      </w:r>
      <w:r w:rsidR="00BE0C94">
        <w:t xml:space="preserve">Do ukončenia platnosti zmluvy v 2026 majú všetky alternatívy rovnaké parametre. </w:t>
      </w:r>
    </w:p>
    <w:p w14:paraId="5D71FA2F" w14:textId="711042F0" w:rsidR="0025090A" w:rsidRDefault="0025090A" w:rsidP="0025090A">
      <w:pPr>
        <w:pStyle w:val="Nadpis2"/>
        <w:rPr>
          <w:rFonts w:eastAsia="Arial Narrow"/>
        </w:rPr>
      </w:pPr>
      <w:bookmarkStart w:id="12" w:name="_Toc121679691"/>
      <w:r>
        <w:rPr>
          <w:rFonts w:eastAsia="Arial Narrow"/>
        </w:rPr>
        <w:t>Finančná analýza</w:t>
      </w:r>
      <w:bookmarkEnd w:id="12"/>
    </w:p>
    <w:p w14:paraId="3C59A41A" w14:textId="6A3183F7" w:rsidR="00F95520" w:rsidRPr="00DC599A" w:rsidRDefault="00932E38" w:rsidP="00932E38">
      <w:pPr>
        <w:rPr>
          <w:rFonts w:eastAsia="Arial Narrow" w:cs="Arial Narrow"/>
        </w:rPr>
      </w:pPr>
      <w:r w:rsidRPr="005F186D">
        <w:rPr>
          <w:rFonts w:eastAsia="Arial Narrow" w:cs="Arial Narrow"/>
          <w:b/>
          <w:bCs/>
        </w:rPr>
        <w:t xml:space="preserve">Najvýhodnejšia alternatíva </w:t>
      </w:r>
      <w:r>
        <w:rPr>
          <w:rFonts w:eastAsia="Arial Narrow" w:cs="Arial Narrow"/>
          <w:b/>
          <w:bCs/>
        </w:rPr>
        <w:t xml:space="preserve">podľa finančnej analýzy je </w:t>
      </w:r>
      <w:r w:rsidRPr="005F186D">
        <w:rPr>
          <w:rFonts w:eastAsia="Arial Narrow" w:cs="Arial Narrow"/>
          <w:b/>
          <w:bCs/>
        </w:rPr>
        <w:t>výstavba novej administratívnej budovy „</w:t>
      </w:r>
      <w:r w:rsidR="00011746">
        <w:rPr>
          <w:rFonts w:eastAsia="Arial Narrow" w:cs="Arial Narrow"/>
          <w:b/>
          <w:bCs/>
        </w:rPr>
        <w:t>Lajka</w:t>
      </w:r>
      <w:r w:rsidRPr="005F186D">
        <w:rPr>
          <w:rFonts w:eastAsia="Arial Narrow" w:cs="Arial Narrow"/>
          <w:b/>
          <w:bCs/>
        </w:rPr>
        <w:t xml:space="preserve">“. </w:t>
      </w:r>
      <w:r w:rsidRPr="005F186D">
        <w:rPr>
          <w:rFonts w:eastAsia="Arial Narrow" w:cs="Arial Narrow"/>
        </w:rPr>
        <w:t xml:space="preserve">Predložená </w:t>
      </w:r>
      <w:r>
        <w:rPr>
          <w:rFonts w:eastAsia="Arial Narrow" w:cs="Arial Narrow"/>
        </w:rPr>
        <w:t>analýza</w:t>
      </w:r>
      <w:r w:rsidRPr="005F186D">
        <w:rPr>
          <w:rFonts w:eastAsia="Arial Narrow" w:cs="Arial Narrow"/>
        </w:rPr>
        <w:t xml:space="preserve"> </w:t>
      </w:r>
      <w:r>
        <w:rPr>
          <w:rFonts w:eastAsia="Arial Narrow" w:cs="Arial Narrow"/>
        </w:rPr>
        <w:t xml:space="preserve">porovnáva </w:t>
      </w:r>
      <w:r w:rsidRPr="005F186D">
        <w:rPr>
          <w:rFonts w:eastAsia="Arial Narrow" w:cs="Arial Narrow"/>
        </w:rPr>
        <w:t>4 alternatívy a porovnáva ich finančnou analýzou</w:t>
      </w:r>
      <w:r w:rsidRPr="005F186D">
        <w:rPr>
          <w:rFonts w:eastAsia="Arial Narrow" w:cs="Arial Narrow"/>
          <w:bCs/>
        </w:rPr>
        <w:t>.</w:t>
      </w:r>
      <w:r w:rsidRPr="005F186D">
        <w:rPr>
          <w:rFonts w:eastAsia="Arial Narrow" w:cs="Arial Narrow"/>
        </w:rPr>
        <w:t xml:space="preserve"> </w:t>
      </w:r>
      <w:r w:rsidR="00F95520" w:rsidRPr="004F3027">
        <w:rPr>
          <w:rFonts w:cs="Times New Roman"/>
        </w:rPr>
        <w:t xml:space="preserve">Projekt výstavby novej administratívnej budovy </w:t>
      </w:r>
      <w:r w:rsidR="00E81A37">
        <w:rPr>
          <w:rFonts w:cs="Times New Roman"/>
        </w:rPr>
        <w:t>HAU</w:t>
      </w:r>
      <w:r w:rsidR="00F95520" w:rsidRPr="004F3027">
        <w:rPr>
          <w:rFonts w:cs="Times New Roman"/>
        </w:rPr>
        <w:t xml:space="preserve"> „</w:t>
      </w:r>
      <w:r w:rsidR="00F95520">
        <w:rPr>
          <w:rFonts w:cs="Times New Roman"/>
        </w:rPr>
        <w:t>Lajka</w:t>
      </w:r>
      <w:r w:rsidR="00F95520" w:rsidRPr="004F3027">
        <w:rPr>
          <w:rFonts w:cs="Times New Roman"/>
        </w:rPr>
        <w:t xml:space="preserve">“ je z finančného hľadiska vykazuje najmenšiu nákladovú náročnosť. Prenájom administratívnych  priestorov u všetkých možností vykazuje oveľa vyššiu výdavkovú náročnosť oproti výstavbe </w:t>
      </w:r>
      <w:r w:rsidR="00F95520" w:rsidRPr="004F3027">
        <w:rPr>
          <w:rFonts w:cs="Times New Roman"/>
        </w:rPr>
        <w:lastRenderedPageBreak/>
        <w:t xml:space="preserve">novej administratívnej budovy </w:t>
      </w:r>
      <w:r w:rsidR="00E81A37">
        <w:rPr>
          <w:rFonts w:cs="Times New Roman"/>
        </w:rPr>
        <w:t>HAU</w:t>
      </w:r>
      <w:r w:rsidR="00F95520" w:rsidRPr="004F3027">
        <w:rPr>
          <w:rFonts w:cs="Times New Roman"/>
        </w:rPr>
        <w:t xml:space="preserve"> „</w:t>
      </w:r>
      <w:r w:rsidR="00F95520">
        <w:rPr>
          <w:rFonts w:cs="Times New Roman"/>
        </w:rPr>
        <w:t>Lajka</w:t>
      </w:r>
      <w:r w:rsidR="00F95520" w:rsidRPr="004F3027">
        <w:rPr>
          <w:rFonts w:cs="Times New Roman"/>
        </w:rPr>
        <w:t>“</w:t>
      </w:r>
      <w:r w:rsidR="00F95520">
        <w:rPr>
          <w:rFonts w:cs="Times New Roman"/>
        </w:rPr>
        <w:t xml:space="preserve">. </w:t>
      </w:r>
      <w:r w:rsidRPr="005F186D">
        <w:rPr>
          <w:rFonts w:eastAsia="Arial Narrow" w:cs="Arial Narrow"/>
        </w:rPr>
        <w:t>Oproti druhej najvýhodnejšej a zároveň realizovateľnej alternatíve 4 (nájom nových priestorov) má návratnosť vyššiu o</w:t>
      </w:r>
      <w:r w:rsidR="00802EA4">
        <w:rPr>
          <w:rFonts w:eastAsia="Arial Narrow" w:cs="Arial Narrow"/>
        </w:rPr>
        <w:t> 5,2</w:t>
      </w:r>
      <w:r w:rsidRPr="005F186D">
        <w:rPr>
          <w:rFonts w:eastAsia="Arial Narrow" w:cs="Arial Narrow"/>
        </w:rPr>
        <w:t xml:space="preserve"> mil. eur. </w:t>
      </w:r>
      <w:r>
        <w:rPr>
          <w:rFonts w:eastAsia="Arial Narrow" w:cs="Arial Narrow"/>
        </w:rPr>
        <w:t>Ceny porovnávaných alternatív vychádzajú z minimálnych cien podnájmov z prieskumu trhu.</w:t>
      </w:r>
    </w:p>
    <w:p w14:paraId="5D6E1AA0" w14:textId="58DC7220" w:rsidR="00932E38" w:rsidRPr="00C92954" w:rsidRDefault="00932E38" w:rsidP="00932E38">
      <w:pPr>
        <w:pStyle w:val="Popis"/>
        <w:spacing w:after="0"/>
        <w:rPr>
          <w:color w:val="auto"/>
          <w:sz w:val="20"/>
        </w:rPr>
      </w:pPr>
      <w:bookmarkStart w:id="13" w:name="_Toc121679700"/>
      <w:r w:rsidRPr="00C92954">
        <w:rPr>
          <w:color w:val="auto"/>
          <w:sz w:val="20"/>
        </w:rPr>
        <w:t xml:space="preserve">Tabuľka </w:t>
      </w:r>
      <w:r w:rsidRPr="00C92954">
        <w:rPr>
          <w:color w:val="auto"/>
          <w:sz w:val="20"/>
        </w:rPr>
        <w:fldChar w:fldCharType="begin"/>
      </w:r>
      <w:r w:rsidRPr="00C92954">
        <w:rPr>
          <w:color w:val="auto"/>
          <w:sz w:val="20"/>
        </w:rPr>
        <w:instrText>SEQ Tabuľka \* ARABIC</w:instrText>
      </w:r>
      <w:r w:rsidRPr="00C92954">
        <w:rPr>
          <w:color w:val="auto"/>
          <w:sz w:val="20"/>
        </w:rPr>
        <w:fldChar w:fldCharType="separate"/>
      </w:r>
      <w:r w:rsidR="006E5723">
        <w:rPr>
          <w:noProof/>
          <w:color w:val="auto"/>
          <w:sz w:val="20"/>
        </w:rPr>
        <w:t>5</w:t>
      </w:r>
      <w:r w:rsidRPr="00C92954">
        <w:rPr>
          <w:color w:val="auto"/>
          <w:sz w:val="20"/>
        </w:rPr>
        <w:fldChar w:fldCharType="end"/>
      </w:r>
      <w:r w:rsidRPr="00C92954">
        <w:rPr>
          <w:color w:val="auto"/>
          <w:sz w:val="20"/>
        </w:rPr>
        <w:t xml:space="preserve">: Základné ukazovatele </w:t>
      </w:r>
      <w:r w:rsidR="00C55038">
        <w:rPr>
          <w:color w:val="auto"/>
          <w:sz w:val="20"/>
        </w:rPr>
        <w:t xml:space="preserve">finančnej analýzy </w:t>
      </w:r>
      <w:r w:rsidRPr="00C92954">
        <w:rPr>
          <w:color w:val="auto"/>
          <w:sz w:val="20"/>
        </w:rPr>
        <w:t>alternatív v roku 2027</w:t>
      </w:r>
      <w:bookmarkEnd w:id="13"/>
    </w:p>
    <w:tbl>
      <w:tblPr>
        <w:tblW w:w="9072" w:type="dxa"/>
        <w:tblLook w:val="01E0" w:firstRow="1" w:lastRow="1" w:firstColumn="1" w:lastColumn="1" w:noHBand="0" w:noVBand="0"/>
      </w:tblPr>
      <w:tblGrid>
        <w:gridCol w:w="3399"/>
        <w:gridCol w:w="1891"/>
        <w:gridCol w:w="1891"/>
        <w:gridCol w:w="1891"/>
      </w:tblGrid>
      <w:tr w:rsidR="008A1B8F" w:rsidRPr="00C42592" w14:paraId="0BE261A2" w14:textId="77777777" w:rsidTr="00D82D36">
        <w:trPr>
          <w:trHeight w:val="584"/>
          <w:tblHeader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2AADC4" w14:textId="77777777" w:rsidR="008A1B8F" w:rsidRPr="00C42592" w:rsidRDefault="008A1B8F" w:rsidP="00CE14B0">
            <w:pPr>
              <w:keepNext/>
              <w:spacing w:before="60" w:after="60" w:line="240" w:lineRule="auto"/>
              <w:jc w:val="left"/>
              <w:rPr>
                <w:rFonts w:cs="Times New Roman"/>
                <w:b/>
                <w:sz w:val="20"/>
                <w:szCs w:val="20"/>
                <w:lang w:eastAsia="sk-SK"/>
              </w:rPr>
            </w:pPr>
            <w:r w:rsidRPr="00C42592">
              <w:rPr>
                <w:rFonts w:cs="Times New Roman"/>
                <w:b/>
                <w:sz w:val="20"/>
                <w:szCs w:val="20"/>
                <w:lang w:eastAsia="sk-SK"/>
              </w:rPr>
              <w:t>Alternatíva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4F261" w14:textId="673B9541" w:rsidR="008A1B8F" w:rsidRPr="00C42592" w:rsidRDefault="008A1B8F" w:rsidP="008A1B8F">
            <w:pPr>
              <w:keepNext/>
              <w:spacing w:after="0" w:line="240" w:lineRule="auto"/>
              <w:ind w:right="-2" w:hanging="112"/>
              <w:jc w:val="center"/>
              <w:rPr>
                <w:rFonts w:cs="Times New Roman"/>
                <w:b/>
                <w:sz w:val="20"/>
                <w:szCs w:val="20"/>
                <w:lang w:eastAsia="sk-SK"/>
              </w:rPr>
            </w:pPr>
            <w:r w:rsidRPr="00C42592">
              <w:rPr>
                <w:rFonts w:cs="Times New Roman"/>
                <w:b/>
                <w:sz w:val="20"/>
                <w:szCs w:val="20"/>
                <w:lang w:eastAsia="sk-SK"/>
              </w:rPr>
              <w:t>Alternatíva 0</w:t>
            </w:r>
            <w:r w:rsidRPr="00C42592">
              <w:rPr>
                <w:rFonts w:cs="Times New Roman"/>
                <w:b/>
                <w:sz w:val="20"/>
                <w:szCs w:val="20"/>
                <w:lang w:eastAsia="sk-SK"/>
              </w:rPr>
              <w:br/>
              <w:t xml:space="preserve">Status </w:t>
            </w:r>
            <w:proofErr w:type="spellStart"/>
            <w:r w:rsidRPr="00C42592">
              <w:rPr>
                <w:rFonts w:cs="Times New Roman"/>
                <w:b/>
                <w:sz w:val="20"/>
                <w:szCs w:val="20"/>
                <w:lang w:eastAsia="sk-SK"/>
              </w:rPr>
              <w:t>quo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C3DC0" w14:textId="66AFF6C6" w:rsidR="008A1B8F" w:rsidRPr="00C42592" w:rsidRDefault="008A1B8F" w:rsidP="008A1B8F">
            <w:pPr>
              <w:keepNext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sk-SK"/>
              </w:rPr>
            </w:pPr>
            <w:r w:rsidRPr="00C42592">
              <w:rPr>
                <w:rFonts w:cs="Times New Roman"/>
                <w:b/>
                <w:sz w:val="20"/>
                <w:szCs w:val="20"/>
                <w:lang w:eastAsia="sk-SK"/>
              </w:rPr>
              <w:t>Alternatíva 1</w:t>
            </w:r>
            <w:r w:rsidRPr="00C42592">
              <w:rPr>
                <w:rFonts w:cs="Times New Roman"/>
                <w:b/>
                <w:sz w:val="20"/>
                <w:szCs w:val="20"/>
                <w:lang w:eastAsia="sk-SK"/>
              </w:rPr>
              <w:br/>
              <w:t xml:space="preserve">Výstavba 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1ECFD" w14:textId="6F744A37" w:rsidR="008A1B8F" w:rsidRPr="00C42592" w:rsidRDefault="008A1B8F" w:rsidP="008A1B8F">
            <w:pPr>
              <w:keepNext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sk-SK"/>
              </w:rPr>
            </w:pPr>
            <w:r w:rsidRPr="00C42592">
              <w:rPr>
                <w:rFonts w:cs="Times New Roman"/>
                <w:b/>
                <w:sz w:val="20"/>
                <w:szCs w:val="20"/>
                <w:lang w:eastAsia="sk-SK"/>
              </w:rPr>
              <w:t>Alternatíva 2</w:t>
            </w:r>
            <w:r w:rsidRPr="00C42592">
              <w:rPr>
                <w:rFonts w:cs="Times New Roman"/>
                <w:b/>
                <w:sz w:val="20"/>
                <w:szCs w:val="20"/>
                <w:lang w:eastAsia="sk-SK"/>
              </w:rPr>
              <w:br/>
              <w:t>Nový nájom</w:t>
            </w:r>
          </w:p>
        </w:tc>
      </w:tr>
      <w:tr w:rsidR="008A1B8F" w:rsidRPr="00C42592" w14:paraId="46FB9DE4" w14:textId="77777777" w:rsidTr="008A1B8F">
        <w:trPr>
          <w:trHeight w:val="327"/>
        </w:trPr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67A5B8" w14:textId="77777777" w:rsidR="008A1B8F" w:rsidRPr="00C42592" w:rsidRDefault="008A1B8F" w:rsidP="008A1B8F">
            <w:pPr>
              <w:spacing w:before="60" w:after="60" w:line="240" w:lineRule="auto"/>
              <w:jc w:val="left"/>
              <w:rPr>
                <w:rFonts w:cs="Times New Roman"/>
                <w:sz w:val="20"/>
                <w:szCs w:val="20"/>
                <w:lang w:eastAsia="sk-SK"/>
              </w:rPr>
            </w:pPr>
            <w:r w:rsidRPr="00C42592">
              <w:rPr>
                <w:rFonts w:cs="Times New Roman"/>
                <w:sz w:val="20"/>
                <w:szCs w:val="20"/>
                <w:lang w:eastAsia="sk-SK"/>
              </w:rPr>
              <w:t>Ročné prevádzkové výdavky (mil. eur)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5AB7E9" w14:textId="372354B2" w:rsidR="008A1B8F" w:rsidRPr="00C42592" w:rsidRDefault="003365E3" w:rsidP="008A1B8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sk-SK"/>
              </w:rPr>
            </w:pPr>
            <w:r w:rsidRPr="00C42592">
              <w:rPr>
                <w:rFonts w:cs="Times New Roman"/>
                <w:sz w:val="20"/>
                <w:szCs w:val="20"/>
                <w:lang w:eastAsia="sk-SK"/>
              </w:rPr>
              <w:t>2,18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51490C" w14:textId="7F343CC8" w:rsidR="008A1B8F" w:rsidRPr="00C42592" w:rsidRDefault="008A1B8F" w:rsidP="008A1B8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sk-SK"/>
              </w:rPr>
            </w:pPr>
            <w:r w:rsidRPr="00C42592">
              <w:rPr>
                <w:rFonts w:cs="Times New Roman"/>
                <w:sz w:val="20"/>
                <w:szCs w:val="20"/>
                <w:lang w:eastAsia="sk-SK"/>
              </w:rPr>
              <w:t>0,</w:t>
            </w:r>
            <w:r w:rsidR="003365E3" w:rsidRPr="00C42592">
              <w:rPr>
                <w:rFonts w:cs="Times New Roman"/>
                <w:sz w:val="20"/>
                <w:szCs w:val="20"/>
                <w:lang w:eastAsia="sk-SK"/>
              </w:rPr>
              <w:t>59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vAlign w:val="center"/>
          </w:tcPr>
          <w:p w14:paraId="1AAF969E" w14:textId="08DB7B3F" w:rsidR="008A1B8F" w:rsidRPr="00C42592" w:rsidRDefault="00802EA4" w:rsidP="00802EA4">
            <w:pPr>
              <w:spacing w:after="0" w:line="240" w:lineRule="auto"/>
              <w:ind w:right="-146" w:hanging="112"/>
              <w:jc w:val="center"/>
              <w:rPr>
                <w:rFonts w:cs="Times New Roman"/>
                <w:sz w:val="20"/>
                <w:szCs w:val="20"/>
                <w:lang w:eastAsia="sk-SK"/>
              </w:rPr>
            </w:pPr>
            <w:r w:rsidRPr="00C42592">
              <w:rPr>
                <w:rFonts w:cs="Times New Roman"/>
                <w:sz w:val="20"/>
                <w:szCs w:val="20"/>
                <w:lang w:eastAsia="sk-SK"/>
              </w:rPr>
              <w:t>1</w:t>
            </w:r>
            <w:r w:rsidR="003365E3" w:rsidRPr="00C42592">
              <w:rPr>
                <w:rFonts w:cs="Times New Roman"/>
                <w:sz w:val="20"/>
                <w:szCs w:val="20"/>
                <w:lang w:eastAsia="sk-SK"/>
              </w:rPr>
              <w:t>,</w:t>
            </w:r>
            <w:r w:rsidRPr="00C42592">
              <w:rPr>
                <w:rFonts w:cs="Times New Roman"/>
                <w:sz w:val="20"/>
                <w:szCs w:val="20"/>
                <w:lang w:eastAsia="sk-SK"/>
              </w:rPr>
              <w:t>88</w:t>
            </w:r>
          </w:p>
        </w:tc>
      </w:tr>
      <w:tr w:rsidR="008A1B8F" w:rsidRPr="00C42592" w14:paraId="5DE71428" w14:textId="77777777" w:rsidTr="008A1B8F">
        <w:trPr>
          <w:trHeight w:val="327"/>
        </w:trPr>
        <w:tc>
          <w:tcPr>
            <w:tcW w:w="3399" w:type="dxa"/>
            <w:shd w:val="clear" w:color="auto" w:fill="auto"/>
            <w:vAlign w:val="center"/>
          </w:tcPr>
          <w:p w14:paraId="14A8C79E" w14:textId="77777777" w:rsidR="008A1B8F" w:rsidRPr="00C42592" w:rsidRDefault="008A1B8F" w:rsidP="008A1B8F">
            <w:pPr>
              <w:spacing w:before="60" w:after="60" w:line="240" w:lineRule="auto"/>
              <w:jc w:val="left"/>
              <w:rPr>
                <w:rFonts w:cs="Times New Roman"/>
                <w:sz w:val="20"/>
                <w:szCs w:val="20"/>
                <w:lang w:eastAsia="sk-SK"/>
              </w:rPr>
            </w:pPr>
            <w:r w:rsidRPr="00C42592">
              <w:rPr>
                <w:rFonts w:cs="Times New Roman"/>
                <w:sz w:val="20"/>
                <w:szCs w:val="20"/>
                <w:lang w:eastAsia="sk-SK"/>
              </w:rPr>
              <w:t>Náklady na energie (mil. eur)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0F8F8423" w14:textId="6E432684" w:rsidR="008A1B8F" w:rsidRPr="00C42592" w:rsidRDefault="008A1B8F" w:rsidP="008A1B8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sk-SK"/>
              </w:rPr>
            </w:pPr>
            <w:r w:rsidRPr="00C42592">
              <w:rPr>
                <w:rFonts w:cs="Times New Roman"/>
                <w:sz w:val="20"/>
                <w:szCs w:val="20"/>
                <w:lang w:eastAsia="sk-SK"/>
              </w:rPr>
              <w:t>0,</w:t>
            </w:r>
            <w:r w:rsidR="003365E3" w:rsidRPr="00C42592">
              <w:rPr>
                <w:rFonts w:cs="Times New Roman"/>
                <w:sz w:val="20"/>
                <w:szCs w:val="20"/>
                <w:lang w:eastAsia="sk-SK"/>
              </w:rPr>
              <w:t>08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7B339D29" w14:textId="6C08311C" w:rsidR="008A1B8F" w:rsidRPr="00C42592" w:rsidRDefault="008A1B8F" w:rsidP="008A1B8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sk-SK"/>
              </w:rPr>
            </w:pPr>
            <w:r w:rsidRPr="00C42592">
              <w:rPr>
                <w:rFonts w:cs="Times New Roman"/>
                <w:sz w:val="20"/>
                <w:szCs w:val="20"/>
                <w:lang w:eastAsia="sk-SK"/>
              </w:rPr>
              <w:t>0,</w:t>
            </w:r>
            <w:r w:rsidR="003365E3" w:rsidRPr="00C42592">
              <w:rPr>
                <w:rFonts w:cs="Times New Roman"/>
                <w:sz w:val="20"/>
                <w:szCs w:val="20"/>
                <w:lang w:eastAsia="sk-SK"/>
              </w:rPr>
              <w:t>05</w:t>
            </w:r>
          </w:p>
        </w:tc>
        <w:tc>
          <w:tcPr>
            <w:tcW w:w="1891" w:type="dxa"/>
            <w:vAlign w:val="center"/>
          </w:tcPr>
          <w:p w14:paraId="51C535C2" w14:textId="0DA0C0E4" w:rsidR="008A1B8F" w:rsidRPr="00C42592" w:rsidRDefault="008A1B8F" w:rsidP="008A1B8F">
            <w:pPr>
              <w:spacing w:after="0" w:line="240" w:lineRule="auto"/>
              <w:ind w:right="-144" w:hanging="112"/>
              <w:jc w:val="center"/>
              <w:rPr>
                <w:rFonts w:cs="Times New Roman"/>
                <w:sz w:val="20"/>
                <w:szCs w:val="20"/>
                <w:lang w:eastAsia="sk-SK"/>
              </w:rPr>
            </w:pPr>
            <w:r w:rsidRPr="00C42592">
              <w:rPr>
                <w:rFonts w:cs="Times New Roman"/>
                <w:sz w:val="20"/>
                <w:szCs w:val="20"/>
                <w:lang w:eastAsia="sk-SK"/>
              </w:rPr>
              <w:t>0,</w:t>
            </w:r>
            <w:r w:rsidR="003365E3" w:rsidRPr="00C42592">
              <w:rPr>
                <w:rFonts w:cs="Times New Roman"/>
                <w:sz w:val="20"/>
                <w:szCs w:val="20"/>
                <w:lang w:eastAsia="sk-SK"/>
              </w:rPr>
              <w:t>06</w:t>
            </w:r>
          </w:p>
        </w:tc>
      </w:tr>
      <w:tr w:rsidR="008A1B8F" w:rsidRPr="00C42592" w14:paraId="108F936F" w14:textId="77777777" w:rsidTr="008A1B8F">
        <w:trPr>
          <w:trHeight w:val="327"/>
        </w:trPr>
        <w:tc>
          <w:tcPr>
            <w:tcW w:w="3399" w:type="dxa"/>
            <w:shd w:val="clear" w:color="auto" w:fill="auto"/>
            <w:vAlign w:val="center"/>
          </w:tcPr>
          <w:p w14:paraId="6DF0BCCD" w14:textId="77777777" w:rsidR="008A1B8F" w:rsidRPr="00C42592" w:rsidRDefault="008A1B8F" w:rsidP="008A1B8F">
            <w:pPr>
              <w:spacing w:before="60" w:after="60" w:line="240" w:lineRule="auto"/>
              <w:jc w:val="left"/>
              <w:rPr>
                <w:rFonts w:cs="Times New Roman"/>
                <w:sz w:val="20"/>
                <w:szCs w:val="20"/>
                <w:lang w:eastAsia="sk-SK"/>
              </w:rPr>
            </w:pPr>
            <w:r w:rsidRPr="00C42592">
              <w:rPr>
                <w:rFonts w:cs="Times New Roman"/>
                <w:sz w:val="20"/>
                <w:szCs w:val="20"/>
                <w:lang w:eastAsia="sk-SK"/>
              </w:rPr>
              <w:t>Administratívne priestory (m</w:t>
            </w:r>
            <w:r w:rsidRPr="00C42592">
              <w:rPr>
                <w:rFonts w:cs="Times New Roman"/>
                <w:sz w:val="20"/>
                <w:szCs w:val="20"/>
                <w:vertAlign w:val="superscript"/>
                <w:lang w:eastAsia="sk-SK"/>
              </w:rPr>
              <w:t>2</w:t>
            </w:r>
            <w:r w:rsidRPr="00C42592">
              <w:rPr>
                <w:rFonts w:cs="Times New Roman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40EB8562" w14:textId="79351AD9" w:rsidR="008A1B8F" w:rsidRPr="00C42592" w:rsidRDefault="008A1B8F" w:rsidP="008A1B8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sk-SK"/>
              </w:rPr>
            </w:pPr>
            <w:r w:rsidRPr="00C42592">
              <w:rPr>
                <w:rFonts w:cs="Times New Roman"/>
                <w:sz w:val="20"/>
                <w:szCs w:val="20"/>
                <w:lang w:eastAsia="sk-SK"/>
              </w:rPr>
              <w:t xml:space="preserve">8 </w:t>
            </w:r>
            <w:r w:rsidR="003365E3" w:rsidRPr="00C42592">
              <w:rPr>
                <w:rFonts w:cs="Times New Roman"/>
                <w:sz w:val="20"/>
                <w:szCs w:val="20"/>
                <w:lang w:eastAsia="sk-SK"/>
              </w:rPr>
              <w:t>000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6198FA81" w14:textId="7EAE674D" w:rsidR="008A1B8F" w:rsidRPr="00C42592" w:rsidRDefault="003365E3" w:rsidP="008A1B8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sk-SK"/>
              </w:rPr>
            </w:pPr>
            <w:r w:rsidRPr="00C42592">
              <w:rPr>
                <w:rFonts w:cs="Times New Roman"/>
                <w:sz w:val="20"/>
                <w:szCs w:val="20"/>
                <w:lang w:eastAsia="sk-SK"/>
              </w:rPr>
              <w:t>6 000</w:t>
            </w:r>
          </w:p>
        </w:tc>
        <w:tc>
          <w:tcPr>
            <w:tcW w:w="1891" w:type="dxa"/>
            <w:vAlign w:val="center"/>
          </w:tcPr>
          <w:p w14:paraId="1B9250B3" w14:textId="4CB566B7" w:rsidR="008A1B8F" w:rsidRPr="00C42592" w:rsidRDefault="003365E3" w:rsidP="008A1B8F">
            <w:pPr>
              <w:spacing w:after="0" w:line="240" w:lineRule="auto"/>
              <w:ind w:right="-144" w:hanging="112"/>
              <w:jc w:val="center"/>
              <w:rPr>
                <w:rFonts w:cs="Times New Roman"/>
                <w:sz w:val="20"/>
                <w:szCs w:val="20"/>
                <w:lang w:eastAsia="sk-SK"/>
              </w:rPr>
            </w:pPr>
            <w:r w:rsidRPr="00C42592">
              <w:rPr>
                <w:rFonts w:cs="Times New Roman"/>
                <w:sz w:val="20"/>
                <w:szCs w:val="20"/>
                <w:lang w:eastAsia="sk-SK"/>
              </w:rPr>
              <w:t>7 500</w:t>
            </w:r>
          </w:p>
        </w:tc>
      </w:tr>
      <w:tr w:rsidR="008A1B8F" w:rsidRPr="00C42592" w14:paraId="327A5E53" w14:textId="77777777" w:rsidTr="008A1B8F">
        <w:trPr>
          <w:trHeight w:val="327"/>
        </w:trPr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AFD83" w14:textId="77777777" w:rsidR="008A1B8F" w:rsidRPr="00C42592" w:rsidRDefault="008A1B8F" w:rsidP="008A1B8F">
            <w:pPr>
              <w:spacing w:before="60" w:after="60" w:line="240" w:lineRule="auto"/>
              <w:jc w:val="left"/>
              <w:rPr>
                <w:rFonts w:cs="Times New Roman"/>
                <w:sz w:val="20"/>
                <w:szCs w:val="20"/>
                <w:lang w:eastAsia="sk-SK"/>
              </w:rPr>
            </w:pPr>
            <w:r w:rsidRPr="00C42592">
              <w:rPr>
                <w:rFonts w:cs="Times New Roman"/>
                <w:sz w:val="20"/>
                <w:szCs w:val="20"/>
                <w:lang w:eastAsia="sk-SK"/>
              </w:rPr>
              <w:t>Počet parkovacích miest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4D4C48" w14:textId="38721547" w:rsidR="008A1B8F" w:rsidRPr="00C42592" w:rsidRDefault="003365E3" w:rsidP="008A1B8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sk-SK"/>
              </w:rPr>
            </w:pPr>
            <w:r w:rsidRPr="00C42592">
              <w:rPr>
                <w:rFonts w:cs="Times New Roman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852C4" w14:textId="331DDD3E" w:rsidR="008A1B8F" w:rsidRPr="00C42592" w:rsidRDefault="003365E3" w:rsidP="008A1B8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sk-SK"/>
              </w:rPr>
            </w:pPr>
            <w:r w:rsidRPr="00C42592">
              <w:rPr>
                <w:rFonts w:cs="Times New Roman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vAlign w:val="center"/>
          </w:tcPr>
          <w:p w14:paraId="35373424" w14:textId="3FCD3907" w:rsidR="008A1B8F" w:rsidRPr="00C42592" w:rsidRDefault="003365E3" w:rsidP="008A1B8F">
            <w:pPr>
              <w:spacing w:after="0" w:line="240" w:lineRule="auto"/>
              <w:ind w:right="-144" w:hanging="112"/>
              <w:jc w:val="center"/>
              <w:rPr>
                <w:rFonts w:cs="Times New Roman"/>
                <w:sz w:val="20"/>
                <w:szCs w:val="20"/>
                <w:lang w:eastAsia="sk-SK"/>
              </w:rPr>
            </w:pPr>
            <w:r w:rsidRPr="00C42592">
              <w:rPr>
                <w:rFonts w:cs="Times New Roman"/>
                <w:sz w:val="20"/>
                <w:szCs w:val="20"/>
                <w:lang w:eastAsia="sk-SK"/>
              </w:rPr>
              <w:t>100</w:t>
            </w:r>
          </w:p>
        </w:tc>
      </w:tr>
      <w:tr w:rsidR="008A1B8F" w:rsidRPr="00C42592" w14:paraId="0C154E29" w14:textId="77777777" w:rsidTr="008A1B8F">
        <w:trPr>
          <w:trHeight w:val="64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82A452" w14:textId="77777777" w:rsidR="008A1B8F" w:rsidRPr="00C42592" w:rsidRDefault="008A1B8F" w:rsidP="00CE14B0">
            <w:pPr>
              <w:spacing w:before="60" w:after="60" w:line="240" w:lineRule="auto"/>
              <w:jc w:val="left"/>
              <w:rPr>
                <w:rFonts w:cs="Times New Roman"/>
                <w:b/>
                <w:sz w:val="20"/>
                <w:szCs w:val="20"/>
                <w:lang w:eastAsia="sk-SK"/>
              </w:rPr>
            </w:pPr>
            <w:r w:rsidRPr="00C42592">
              <w:rPr>
                <w:rFonts w:cs="Times New Roman"/>
                <w:b/>
                <w:sz w:val="20"/>
                <w:szCs w:val="20"/>
                <w:lang w:eastAsia="sk-SK"/>
              </w:rPr>
              <w:t xml:space="preserve">Čistá súčasná hodnota FNPV </w:t>
            </w:r>
            <w:r w:rsidRPr="00C42592">
              <w:rPr>
                <w:rFonts w:cs="Times New Roman"/>
                <w:b/>
                <w:bCs/>
                <w:sz w:val="20"/>
                <w:szCs w:val="20"/>
                <w:lang w:eastAsia="sk-SK"/>
              </w:rPr>
              <w:t>(mil. eur)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BA379A" w14:textId="75DFDBCC" w:rsidR="008A1B8F" w:rsidRPr="00C42592" w:rsidRDefault="003365E3" w:rsidP="00CE14B0">
            <w:pPr>
              <w:spacing w:before="60" w:after="60" w:line="240" w:lineRule="auto"/>
              <w:jc w:val="center"/>
              <w:rPr>
                <w:rFonts w:cs="Times New Roman"/>
                <w:b/>
                <w:sz w:val="20"/>
                <w:szCs w:val="20"/>
                <w:lang w:eastAsia="sk-SK"/>
              </w:rPr>
            </w:pPr>
            <w:r w:rsidRPr="00C42592">
              <w:rPr>
                <w:rFonts w:cs="Times New Roman"/>
                <w:b/>
                <w:bCs/>
                <w:sz w:val="20"/>
                <w:szCs w:val="20"/>
                <w:lang w:eastAsia="sk-SK"/>
              </w:rPr>
              <w:t>-39,21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BB7BC" w14:textId="56C151C1" w:rsidR="008A1B8F" w:rsidRPr="00C42592" w:rsidRDefault="008A1B8F" w:rsidP="00CE14B0">
            <w:pPr>
              <w:spacing w:before="60" w:after="60" w:line="240" w:lineRule="auto"/>
              <w:jc w:val="center"/>
              <w:rPr>
                <w:rFonts w:cs="Times New Roman"/>
                <w:b/>
                <w:sz w:val="20"/>
                <w:szCs w:val="20"/>
                <w:lang w:eastAsia="sk-SK"/>
              </w:rPr>
            </w:pPr>
            <w:r w:rsidRPr="00C42592">
              <w:rPr>
                <w:rFonts w:cs="Times New Roman"/>
                <w:b/>
                <w:bCs/>
                <w:sz w:val="20"/>
                <w:szCs w:val="20"/>
                <w:lang w:eastAsia="sk-SK"/>
              </w:rPr>
              <w:t>-</w:t>
            </w:r>
            <w:r w:rsidR="003365E3" w:rsidRPr="00C42592">
              <w:rPr>
                <w:rFonts w:cs="Times New Roman"/>
                <w:b/>
                <w:bCs/>
                <w:sz w:val="20"/>
                <w:szCs w:val="20"/>
                <w:lang w:eastAsia="sk-SK"/>
              </w:rPr>
              <w:t>31,64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6A227" w14:textId="3DE91A68" w:rsidR="008A1B8F" w:rsidRPr="00C42592" w:rsidRDefault="008A1B8F" w:rsidP="00802EA4">
            <w:pPr>
              <w:spacing w:after="0" w:line="240" w:lineRule="auto"/>
              <w:ind w:right="-144" w:hanging="112"/>
              <w:jc w:val="center"/>
              <w:rPr>
                <w:rFonts w:cs="Times New Roman"/>
                <w:b/>
                <w:sz w:val="20"/>
                <w:szCs w:val="20"/>
                <w:lang w:eastAsia="sk-SK"/>
              </w:rPr>
            </w:pPr>
            <w:r w:rsidRPr="00C42592">
              <w:rPr>
                <w:rFonts w:cs="Times New Roman"/>
                <w:b/>
                <w:bCs/>
                <w:sz w:val="20"/>
                <w:szCs w:val="20"/>
                <w:lang w:eastAsia="sk-SK"/>
              </w:rPr>
              <w:t>-</w:t>
            </w:r>
            <w:r w:rsidR="00802EA4" w:rsidRPr="00C42592">
              <w:rPr>
                <w:rFonts w:cs="Times New Roman"/>
                <w:b/>
                <w:bCs/>
                <w:sz w:val="20"/>
                <w:szCs w:val="20"/>
                <w:lang w:eastAsia="sk-SK"/>
              </w:rPr>
              <w:t>36</w:t>
            </w:r>
            <w:r w:rsidR="003365E3" w:rsidRPr="00C42592">
              <w:rPr>
                <w:rFonts w:cs="Times New Roman"/>
                <w:b/>
                <w:bCs/>
                <w:sz w:val="20"/>
                <w:szCs w:val="20"/>
                <w:lang w:eastAsia="sk-SK"/>
              </w:rPr>
              <w:t>,</w:t>
            </w:r>
            <w:r w:rsidR="00802EA4" w:rsidRPr="00C42592">
              <w:rPr>
                <w:rFonts w:cs="Times New Roman"/>
                <w:b/>
                <w:bCs/>
                <w:sz w:val="20"/>
                <w:szCs w:val="20"/>
                <w:lang w:eastAsia="sk-SK"/>
              </w:rPr>
              <w:t>85</w:t>
            </w:r>
          </w:p>
        </w:tc>
      </w:tr>
      <w:tr w:rsidR="00932E38" w:rsidRPr="009609B3" w14:paraId="14370DC6" w14:textId="77777777" w:rsidTr="00CE14B0">
        <w:trPr>
          <w:trHeight w:val="332"/>
        </w:trPr>
        <w:tc>
          <w:tcPr>
            <w:tcW w:w="90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A4E050" w14:textId="1AC8592F" w:rsidR="00932E38" w:rsidRPr="009609B3" w:rsidRDefault="00932E38" w:rsidP="008A1B8F">
            <w:pPr>
              <w:spacing w:after="60" w:line="240" w:lineRule="auto"/>
              <w:jc w:val="right"/>
              <w:rPr>
                <w:rFonts w:cs="Times New Roman"/>
                <w:b/>
                <w:sz w:val="16"/>
                <w:szCs w:val="20"/>
                <w:lang w:eastAsia="sk-SK"/>
              </w:rPr>
            </w:pPr>
            <w:r w:rsidRPr="009609B3">
              <w:rPr>
                <w:rFonts w:cs="Times New Roman"/>
                <w:i/>
                <w:sz w:val="16"/>
                <w:szCs w:val="20"/>
                <w:lang w:eastAsia="cs-CZ"/>
              </w:rPr>
              <w:t>Zdroj</w:t>
            </w:r>
            <w:r w:rsidR="00C55038" w:rsidRPr="009609B3">
              <w:rPr>
                <w:rFonts w:cs="Times New Roman"/>
                <w:i/>
                <w:sz w:val="16"/>
                <w:szCs w:val="20"/>
                <w:lang w:eastAsia="cs-CZ"/>
              </w:rPr>
              <w:t>:</w:t>
            </w:r>
            <w:r w:rsidR="008A1B8F" w:rsidRPr="009609B3">
              <w:rPr>
                <w:rFonts w:cs="Times New Roman"/>
                <w:i/>
                <w:sz w:val="16"/>
                <w:szCs w:val="20"/>
                <w:lang w:eastAsia="cs-CZ"/>
              </w:rPr>
              <w:t xml:space="preserve"> </w:t>
            </w:r>
            <w:r w:rsidR="00461585" w:rsidRPr="009609B3">
              <w:rPr>
                <w:rFonts w:cs="Times New Roman"/>
                <w:i/>
                <w:sz w:val="16"/>
                <w:szCs w:val="20"/>
              </w:rPr>
              <w:t>HAU</w:t>
            </w:r>
          </w:p>
        </w:tc>
      </w:tr>
    </w:tbl>
    <w:p w14:paraId="29ECC9D3" w14:textId="29758200" w:rsidR="00932E38" w:rsidRPr="006D3DDB" w:rsidRDefault="00932E38" w:rsidP="00932E38">
      <w:pPr>
        <w:rPr>
          <w:rFonts w:cs="Times New Roman"/>
        </w:rPr>
      </w:pPr>
      <w:r>
        <w:rPr>
          <w:rFonts w:cs="Times New Roman"/>
          <w:b/>
        </w:rPr>
        <w:t>Finančná a ekonomická analýza projektu je založená</w:t>
      </w:r>
      <w:r w:rsidRPr="00CB7BB1">
        <w:rPr>
          <w:rFonts w:cs="Times New Roman"/>
          <w:b/>
        </w:rPr>
        <w:t xml:space="preserve"> na metodike Rámec na hodnotenie verejných investičných projektov v SR. </w:t>
      </w:r>
      <w:r>
        <w:rPr>
          <w:rFonts w:cs="Times New Roman"/>
        </w:rPr>
        <w:t xml:space="preserve">Výpočet finančnej a ekonomickej analýzy </w:t>
      </w:r>
      <w:r w:rsidRPr="009F388B">
        <w:rPr>
          <w:rFonts w:cs="Times New Roman"/>
        </w:rPr>
        <w:t>vo formáte MS EXCEL</w:t>
      </w:r>
      <w:r>
        <w:rPr>
          <w:rFonts w:cs="Times New Roman"/>
        </w:rPr>
        <w:t xml:space="preserve"> je prílohou štúdie uskutočniteľnosti</w:t>
      </w:r>
      <w:r w:rsidRPr="009F388B">
        <w:rPr>
          <w:rFonts w:cs="Times New Roman"/>
        </w:rPr>
        <w:t>, kde sú vykonané podrobné výpočty a prezentované všetky použité vstupné podklady a základné predpoklady.</w:t>
      </w:r>
      <w:r>
        <w:rPr>
          <w:rFonts w:cs="Times New Roman"/>
        </w:rPr>
        <w:t xml:space="preserve"> </w:t>
      </w:r>
      <w:r w:rsidRPr="009F388B">
        <w:t xml:space="preserve">Východiská </w:t>
      </w:r>
      <w:r>
        <w:t>a použité predp</w:t>
      </w:r>
      <w:r w:rsidR="00C06A7C">
        <w:t>oklady sú uvedené v prílohe č. 1</w:t>
      </w:r>
      <w:r>
        <w:t>.</w:t>
      </w:r>
    </w:p>
    <w:p w14:paraId="4A9EDC57" w14:textId="469F96D5" w:rsidR="0025090A" w:rsidRDefault="0025090A" w:rsidP="0025090A">
      <w:pPr>
        <w:pStyle w:val="Nadpis2"/>
      </w:pPr>
      <w:bookmarkStart w:id="14" w:name="_Toc121679692"/>
      <w:r>
        <w:t>Ekonomická analýza</w:t>
      </w:r>
      <w:bookmarkEnd w:id="14"/>
    </w:p>
    <w:p w14:paraId="4272B1AF" w14:textId="34E33F9E" w:rsidR="00C06A7C" w:rsidRDefault="009702CF" w:rsidP="00F95520">
      <w:pPr>
        <w:rPr>
          <w:rFonts w:cs="Times New Roman"/>
        </w:rPr>
      </w:pPr>
      <w:r>
        <w:rPr>
          <w:rFonts w:cs="Times New Roman"/>
          <w:b/>
          <w:bCs/>
        </w:rPr>
        <w:t xml:space="preserve">Po zohľadnení spoločenských nákladov a prínosov v ekonomickej analýze zostáva najvýhodnejšou alternatívou výstavba novej budovy. </w:t>
      </w:r>
      <w:r w:rsidR="00C06A7C" w:rsidRPr="00C55038">
        <w:rPr>
          <w:rFonts w:cs="Times New Roman"/>
        </w:rPr>
        <w:t xml:space="preserve">V rámci ekonomickej analýzy </w:t>
      </w:r>
      <w:r w:rsidR="0081559B">
        <w:rPr>
          <w:rFonts w:cs="Times New Roman"/>
        </w:rPr>
        <w:t>bol zhodnotený vplyv jednotlivých alternatív na</w:t>
      </w:r>
      <w:r w:rsidR="0005631D">
        <w:rPr>
          <w:rFonts w:cs="Times New Roman"/>
        </w:rPr>
        <w:t xml:space="preserve"> </w:t>
      </w:r>
      <w:r w:rsidR="0081559B">
        <w:rPr>
          <w:rFonts w:cs="Times New Roman"/>
        </w:rPr>
        <w:t>emisie skleníkových plynov.</w:t>
      </w:r>
      <w:r w:rsidR="00C55038">
        <w:rPr>
          <w:rFonts w:cs="Times New Roman"/>
        </w:rPr>
        <w:t xml:space="preserve"> </w:t>
      </w:r>
      <w:r w:rsidR="0081559B">
        <w:rPr>
          <w:rFonts w:cs="Times New Roman"/>
          <w:bCs/>
        </w:rPr>
        <w:t>Nová budova bude mať v porovnaní s ostatnými alternatívami nižšiu spotrebu energie, čo v ekonomickom vyjadrení hodnoty emisií predstavuje úsporu približne 40 tis eur ročne</w:t>
      </w:r>
      <w:r w:rsidR="0081559B" w:rsidRPr="009702CF">
        <w:rPr>
          <w:rFonts w:cs="Times New Roman"/>
        </w:rPr>
        <w:t>.</w:t>
      </w:r>
    </w:p>
    <w:p w14:paraId="45DAF153" w14:textId="3E5B568C" w:rsidR="00C55038" w:rsidRPr="00C92954" w:rsidRDefault="00C55038" w:rsidP="00C55038">
      <w:pPr>
        <w:pStyle w:val="Popis"/>
        <w:spacing w:after="0"/>
        <w:rPr>
          <w:color w:val="auto"/>
          <w:sz w:val="20"/>
        </w:rPr>
      </w:pPr>
      <w:r w:rsidRPr="00C92954">
        <w:rPr>
          <w:color w:val="auto"/>
          <w:sz w:val="20"/>
        </w:rPr>
        <w:t xml:space="preserve">Tabuľka </w:t>
      </w:r>
      <w:r w:rsidRPr="00C92954">
        <w:rPr>
          <w:color w:val="auto"/>
          <w:sz w:val="20"/>
        </w:rPr>
        <w:fldChar w:fldCharType="begin"/>
      </w:r>
      <w:r w:rsidRPr="00C92954">
        <w:rPr>
          <w:color w:val="auto"/>
          <w:sz w:val="20"/>
        </w:rPr>
        <w:instrText>SEQ Tabuľka \* ARABIC</w:instrText>
      </w:r>
      <w:r w:rsidRPr="00C92954">
        <w:rPr>
          <w:color w:val="auto"/>
          <w:sz w:val="20"/>
        </w:rPr>
        <w:fldChar w:fldCharType="separate"/>
      </w:r>
      <w:r>
        <w:rPr>
          <w:noProof/>
          <w:color w:val="auto"/>
          <w:sz w:val="20"/>
        </w:rPr>
        <w:t>5</w:t>
      </w:r>
      <w:r w:rsidRPr="00C92954">
        <w:rPr>
          <w:color w:val="auto"/>
          <w:sz w:val="20"/>
        </w:rPr>
        <w:fldChar w:fldCharType="end"/>
      </w:r>
      <w:r w:rsidRPr="00C92954">
        <w:rPr>
          <w:color w:val="auto"/>
          <w:sz w:val="20"/>
        </w:rPr>
        <w:t xml:space="preserve">: Základné ukazovatele </w:t>
      </w:r>
      <w:r>
        <w:rPr>
          <w:color w:val="auto"/>
          <w:sz w:val="20"/>
        </w:rPr>
        <w:t xml:space="preserve">ekonomickej analýzy </w:t>
      </w:r>
      <w:r w:rsidRPr="00C92954">
        <w:rPr>
          <w:color w:val="auto"/>
          <w:sz w:val="20"/>
        </w:rPr>
        <w:t>alternatív v roku 2027</w:t>
      </w:r>
    </w:p>
    <w:tbl>
      <w:tblPr>
        <w:tblW w:w="9072" w:type="dxa"/>
        <w:tblLook w:val="01E0" w:firstRow="1" w:lastRow="1" w:firstColumn="1" w:lastColumn="1" w:noHBand="0" w:noVBand="0"/>
      </w:tblPr>
      <w:tblGrid>
        <w:gridCol w:w="3399"/>
        <w:gridCol w:w="1891"/>
        <w:gridCol w:w="1891"/>
        <w:gridCol w:w="1891"/>
      </w:tblGrid>
      <w:tr w:rsidR="00C55038" w:rsidRPr="00C42592" w14:paraId="0AE04F95" w14:textId="77777777" w:rsidTr="00D82D36">
        <w:trPr>
          <w:trHeight w:val="567"/>
          <w:tblHeader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68D245" w14:textId="77777777" w:rsidR="00C55038" w:rsidRPr="00C42592" w:rsidRDefault="00C55038" w:rsidP="008B145F">
            <w:pPr>
              <w:keepNext/>
              <w:spacing w:before="60" w:after="60" w:line="240" w:lineRule="auto"/>
              <w:jc w:val="left"/>
              <w:rPr>
                <w:rFonts w:cs="Times New Roman"/>
                <w:b/>
                <w:sz w:val="20"/>
                <w:szCs w:val="20"/>
                <w:lang w:eastAsia="sk-SK"/>
              </w:rPr>
            </w:pPr>
            <w:r w:rsidRPr="00C42592">
              <w:rPr>
                <w:rFonts w:cs="Times New Roman"/>
                <w:b/>
                <w:sz w:val="20"/>
                <w:szCs w:val="20"/>
                <w:lang w:eastAsia="sk-SK"/>
              </w:rPr>
              <w:t>Alternatíva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578817" w14:textId="77777777" w:rsidR="00C55038" w:rsidRPr="00C42592" w:rsidRDefault="00C55038" w:rsidP="008B145F">
            <w:pPr>
              <w:keepNext/>
              <w:spacing w:after="0" w:line="240" w:lineRule="auto"/>
              <w:ind w:right="-2" w:hanging="112"/>
              <w:jc w:val="center"/>
              <w:rPr>
                <w:rFonts w:cs="Times New Roman"/>
                <w:b/>
                <w:sz w:val="20"/>
                <w:szCs w:val="20"/>
                <w:lang w:eastAsia="sk-SK"/>
              </w:rPr>
            </w:pPr>
            <w:r w:rsidRPr="00C42592">
              <w:rPr>
                <w:rFonts w:cs="Times New Roman"/>
                <w:b/>
                <w:sz w:val="20"/>
                <w:szCs w:val="20"/>
                <w:lang w:eastAsia="sk-SK"/>
              </w:rPr>
              <w:t>Alternatíva 0</w:t>
            </w:r>
            <w:r w:rsidRPr="00C42592">
              <w:rPr>
                <w:rFonts w:cs="Times New Roman"/>
                <w:b/>
                <w:sz w:val="20"/>
                <w:szCs w:val="20"/>
                <w:lang w:eastAsia="sk-SK"/>
              </w:rPr>
              <w:br/>
              <w:t xml:space="preserve">Status </w:t>
            </w:r>
            <w:proofErr w:type="spellStart"/>
            <w:r w:rsidRPr="00C42592">
              <w:rPr>
                <w:rFonts w:cs="Times New Roman"/>
                <w:b/>
                <w:sz w:val="20"/>
                <w:szCs w:val="20"/>
                <w:lang w:eastAsia="sk-SK"/>
              </w:rPr>
              <w:t>quo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0CD144" w14:textId="77777777" w:rsidR="00C55038" w:rsidRPr="00C42592" w:rsidRDefault="00C55038" w:rsidP="008B145F">
            <w:pPr>
              <w:keepNext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sk-SK"/>
              </w:rPr>
            </w:pPr>
            <w:r w:rsidRPr="00C42592">
              <w:rPr>
                <w:rFonts w:cs="Times New Roman"/>
                <w:b/>
                <w:sz w:val="20"/>
                <w:szCs w:val="20"/>
                <w:lang w:eastAsia="sk-SK"/>
              </w:rPr>
              <w:t>Alternatíva 1</w:t>
            </w:r>
            <w:r w:rsidRPr="00C42592">
              <w:rPr>
                <w:rFonts w:cs="Times New Roman"/>
                <w:b/>
                <w:sz w:val="20"/>
                <w:szCs w:val="20"/>
                <w:lang w:eastAsia="sk-SK"/>
              </w:rPr>
              <w:br/>
              <w:t xml:space="preserve">Výstavba 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501BB" w14:textId="77777777" w:rsidR="00C55038" w:rsidRPr="00C42592" w:rsidRDefault="00C55038" w:rsidP="008B145F">
            <w:pPr>
              <w:keepNext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sk-SK"/>
              </w:rPr>
            </w:pPr>
            <w:r w:rsidRPr="00C42592">
              <w:rPr>
                <w:rFonts w:cs="Times New Roman"/>
                <w:b/>
                <w:sz w:val="20"/>
                <w:szCs w:val="20"/>
                <w:lang w:eastAsia="sk-SK"/>
              </w:rPr>
              <w:t>Alternatíva 2</w:t>
            </w:r>
            <w:r w:rsidRPr="00C42592">
              <w:rPr>
                <w:rFonts w:cs="Times New Roman"/>
                <w:b/>
                <w:sz w:val="20"/>
                <w:szCs w:val="20"/>
                <w:lang w:eastAsia="sk-SK"/>
              </w:rPr>
              <w:br/>
              <w:t>Nový nájom</w:t>
            </w:r>
          </w:p>
        </w:tc>
      </w:tr>
      <w:tr w:rsidR="00C55038" w:rsidRPr="00C42592" w14:paraId="39AEE891" w14:textId="77777777" w:rsidTr="008B145F">
        <w:trPr>
          <w:trHeight w:val="327"/>
        </w:trPr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59C94A" w14:textId="77777777" w:rsidR="00C55038" w:rsidRPr="00C42592" w:rsidRDefault="00C55038" w:rsidP="008B145F">
            <w:pPr>
              <w:spacing w:before="60" w:after="60" w:line="240" w:lineRule="auto"/>
              <w:jc w:val="left"/>
              <w:rPr>
                <w:rFonts w:cs="Times New Roman"/>
                <w:sz w:val="20"/>
                <w:szCs w:val="20"/>
                <w:lang w:eastAsia="sk-SK"/>
              </w:rPr>
            </w:pPr>
            <w:r w:rsidRPr="00C42592">
              <w:rPr>
                <w:rFonts w:cs="Times New Roman"/>
                <w:sz w:val="20"/>
                <w:szCs w:val="20"/>
                <w:lang w:eastAsia="sk-SK"/>
              </w:rPr>
              <w:t>Ročné prevádzkové výdavky (mil. eur)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8C04A2" w14:textId="562F53D2" w:rsidR="00C55038" w:rsidRPr="00C42592" w:rsidRDefault="00223F34" w:rsidP="008B145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sk-SK"/>
              </w:rPr>
            </w:pPr>
            <w:r>
              <w:rPr>
                <w:rFonts w:cs="Times New Roman"/>
                <w:sz w:val="20"/>
                <w:szCs w:val="20"/>
                <w:lang w:eastAsia="sk-SK"/>
              </w:rPr>
              <w:t>1,96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9A9225" w14:textId="258038AC" w:rsidR="00C55038" w:rsidRPr="00C42592" w:rsidRDefault="00C55038" w:rsidP="00C5503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sk-SK"/>
              </w:rPr>
            </w:pPr>
            <w:r w:rsidRPr="00C42592">
              <w:rPr>
                <w:rFonts w:cs="Times New Roman"/>
                <w:sz w:val="20"/>
                <w:szCs w:val="20"/>
                <w:lang w:eastAsia="sk-SK"/>
              </w:rPr>
              <w:t>0,53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vAlign w:val="center"/>
          </w:tcPr>
          <w:p w14:paraId="4BE5605F" w14:textId="0B4A5424" w:rsidR="00C55038" w:rsidRPr="00C42592" w:rsidRDefault="00C55038" w:rsidP="00C42592">
            <w:pPr>
              <w:spacing w:after="0" w:line="240" w:lineRule="auto"/>
              <w:ind w:right="-146" w:hanging="112"/>
              <w:jc w:val="center"/>
              <w:rPr>
                <w:rFonts w:cs="Times New Roman"/>
                <w:sz w:val="20"/>
                <w:szCs w:val="20"/>
                <w:lang w:eastAsia="sk-SK"/>
              </w:rPr>
            </w:pPr>
            <w:r w:rsidRPr="00C42592">
              <w:rPr>
                <w:rFonts w:cs="Times New Roman"/>
                <w:sz w:val="20"/>
                <w:szCs w:val="20"/>
                <w:lang w:eastAsia="sk-SK"/>
              </w:rPr>
              <w:t>1,</w:t>
            </w:r>
            <w:r w:rsidR="00223F34">
              <w:rPr>
                <w:rFonts w:cs="Times New Roman"/>
                <w:sz w:val="20"/>
                <w:szCs w:val="20"/>
                <w:lang w:eastAsia="sk-SK"/>
              </w:rPr>
              <w:t>6</w:t>
            </w:r>
            <w:r w:rsidR="00C42592" w:rsidRPr="00C42592">
              <w:rPr>
                <w:rFonts w:cs="Times New Roman"/>
                <w:sz w:val="20"/>
                <w:szCs w:val="20"/>
                <w:lang w:eastAsia="sk-SK"/>
              </w:rPr>
              <w:t>9</w:t>
            </w:r>
          </w:p>
        </w:tc>
      </w:tr>
      <w:tr w:rsidR="00C55038" w:rsidRPr="00C42592" w14:paraId="02EC078B" w14:textId="77777777" w:rsidTr="008B145F">
        <w:trPr>
          <w:trHeight w:val="327"/>
        </w:trPr>
        <w:tc>
          <w:tcPr>
            <w:tcW w:w="3399" w:type="dxa"/>
            <w:shd w:val="clear" w:color="auto" w:fill="auto"/>
            <w:vAlign w:val="center"/>
          </w:tcPr>
          <w:p w14:paraId="061CC42B" w14:textId="7E431A2A" w:rsidR="00C55038" w:rsidRPr="00C42592" w:rsidRDefault="00C55038" w:rsidP="008B145F">
            <w:pPr>
              <w:spacing w:before="60" w:after="60" w:line="240" w:lineRule="auto"/>
              <w:jc w:val="left"/>
              <w:rPr>
                <w:rFonts w:cs="Times New Roman"/>
                <w:sz w:val="20"/>
                <w:szCs w:val="20"/>
                <w:lang w:eastAsia="sk-SK"/>
              </w:rPr>
            </w:pPr>
            <w:r w:rsidRPr="00C42592">
              <w:rPr>
                <w:rFonts w:cs="Times New Roman"/>
                <w:sz w:val="20"/>
                <w:szCs w:val="20"/>
                <w:lang w:eastAsia="sk-SK"/>
              </w:rPr>
              <w:t>Úspora na emisiách (mil. eur)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189E4FA9" w14:textId="0B0A6F44" w:rsidR="00C55038" w:rsidRPr="00C42592" w:rsidRDefault="00712724" w:rsidP="008B145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sk-SK"/>
              </w:rPr>
            </w:pPr>
            <w:r w:rsidRPr="00C42592">
              <w:rPr>
                <w:rFonts w:cs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0C62B60D" w14:textId="5C8E9947" w:rsidR="00C55038" w:rsidRPr="00C42592" w:rsidRDefault="00C55038" w:rsidP="00C5503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sk-SK"/>
              </w:rPr>
            </w:pPr>
            <w:r w:rsidRPr="00C42592">
              <w:rPr>
                <w:rFonts w:cs="Times New Roman"/>
                <w:sz w:val="20"/>
                <w:szCs w:val="20"/>
                <w:lang w:eastAsia="sk-SK"/>
              </w:rPr>
              <w:t>0,04</w:t>
            </w:r>
          </w:p>
        </w:tc>
        <w:tc>
          <w:tcPr>
            <w:tcW w:w="1891" w:type="dxa"/>
            <w:vAlign w:val="center"/>
          </w:tcPr>
          <w:p w14:paraId="41EED848" w14:textId="6536331F" w:rsidR="00C55038" w:rsidRPr="00C42592" w:rsidRDefault="00C55038" w:rsidP="00C55038">
            <w:pPr>
              <w:spacing w:after="0" w:line="240" w:lineRule="auto"/>
              <w:ind w:right="-144" w:hanging="112"/>
              <w:jc w:val="center"/>
              <w:rPr>
                <w:rFonts w:cs="Times New Roman"/>
                <w:sz w:val="20"/>
                <w:szCs w:val="20"/>
                <w:lang w:eastAsia="sk-SK"/>
              </w:rPr>
            </w:pPr>
            <w:r w:rsidRPr="00C42592">
              <w:rPr>
                <w:rFonts w:cs="Times New Roman"/>
                <w:sz w:val="20"/>
                <w:szCs w:val="20"/>
                <w:lang w:eastAsia="sk-SK"/>
              </w:rPr>
              <w:t>0,02</w:t>
            </w:r>
          </w:p>
        </w:tc>
      </w:tr>
      <w:tr w:rsidR="00C55038" w:rsidRPr="00C42592" w14:paraId="67F8FF28" w14:textId="77777777" w:rsidTr="008B145F">
        <w:trPr>
          <w:trHeight w:val="64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5C7886" w14:textId="55F7D5D8" w:rsidR="00C55038" w:rsidRPr="00C42592" w:rsidRDefault="00C55038" w:rsidP="00BC41D6">
            <w:pPr>
              <w:spacing w:before="60" w:after="60" w:line="240" w:lineRule="auto"/>
              <w:jc w:val="left"/>
              <w:rPr>
                <w:rFonts w:cs="Times New Roman"/>
                <w:b/>
                <w:sz w:val="20"/>
                <w:szCs w:val="20"/>
                <w:lang w:eastAsia="sk-SK"/>
              </w:rPr>
            </w:pPr>
            <w:r w:rsidRPr="00C42592">
              <w:rPr>
                <w:rFonts w:cs="Times New Roman"/>
                <w:b/>
                <w:sz w:val="20"/>
                <w:szCs w:val="20"/>
                <w:lang w:eastAsia="sk-SK"/>
              </w:rPr>
              <w:t xml:space="preserve">Čistá súčasná hodnota </w:t>
            </w:r>
            <w:r w:rsidR="00BC41D6" w:rsidRPr="00C42592">
              <w:rPr>
                <w:rFonts w:cs="Times New Roman"/>
                <w:b/>
                <w:sz w:val="20"/>
                <w:szCs w:val="20"/>
                <w:lang w:eastAsia="sk-SK"/>
              </w:rPr>
              <w:t>E</w:t>
            </w:r>
            <w:r w:rsidRPr="00C42592">
              <w:rPr>
                <w:rFonts w:cs="Times New Roman"/>
                <w:b/>
                <w:sz w:val="20"/>
                <w:szCs w:val="20"/>
                <w:lang w:eastAsia="sk-SK"/>
              </w:rPr>
              <w:t xml:space="preserve">NPV </w:t>
            </w:r>
            <w:r w:rsidRPr="00C42592">
              <w:rPr>
                <w:rFonts w:cs="Times New Roman"/>
                <w:b/>
                <w:bCs/>
                <w:sz w:val="20"/>
                <w:szCs w:val="20"/>
                <w:lang w:eastAsia="sk-SK"/>
              </w:rPr>
              <w:t>(mil. eur)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898A7" w14:textId="4FFFDC8F" w:rsidR="00C55038" w:rsidRPr="00C42592" w:rsidRDefault="00C55038" w:rsidP="00223F34">
            <w:pPr>
              <w:spacing w:before="60" w:after="60" w:line="240" w:lineRule="auto"/>
              <w:jc w:val="center"/>
              <w:rPr>
                <w:rFonts w:cs="Times New Roman"/>
                <w:b/>
                <w:sz w:val="20"/>
                <w:szCs w:val="20"/>
                <w:lang w:eastAsia="sk-SK"/>
              </w:rPr>
            </w:pPr>
            <w:r w:rsidRPr="00C42592">
              <w:rPr>
                <w:rFonts w:cs="Times New Roman"/>
                <w:b/>
                <w:bCs/>
                <w:sz w:val="20"/>
                <w:szCs w:val="20"/>
                <w:lang w:eastAsia="sk-SK"/>
              </w:rPr>
              <w:t>-3</w:t>
            </w:r>
            <w:r w:rsidR="00223F34">
              <w:rPr>
                <w:rFonts w:cs="Times New Roman"/>
                <w:b/>
                <w:bCs/>
                <w:sz w:val="20"/>
                <w:szCs w:val="20"/>
                <w:lang w:eastAsia="sk-SK"/>
              </w:rPr>
              <w:t>4</w:t>
            </w:r>
            <w:r w:rsidRPr="00C42592">
              <w:rPr>
                <w:rFonts w:cs="Times New Roman"/>
                <w:b/>
                <w:bCs/>
                <w:sz w:val="20"/>
                <w:szCs w:val="20"/>
                <w:lang w:eastAsia="sk-SK"/>
              </w:rPr>
              <w:t>,</w:t>
            </w:r>
            <w:r w:rsidR="00223F34">
              <w:rPr>
                <w:rFonts w:cs="Times New Roman"/>
                <w:b/>
                <w:bCs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550EC4" w14:textId="375554FD" w:rsidR="00C55038" w:rsidRPr="00C42592" w:rsidRDefault="00C55038" w:rsidP="00223F34">
            <w:pPr>
              <w:spacing w:before="60" w:after="60" w:line="240" w:lineRule="auto"/>
              <w:jc w:val="center"/>
              <w:rPr>
                <w:rFonts w:cs="Times New Roman"/>
                <w:b/>
                <w:sz w:val="20"/>
                <w:szCs w:val="20"/>
                <w:lang w:eastAsia="sk-SK"/>
              </w:rPr>
            </w:pPr>
            <w:r w:rsidRPr="00C42592">
              <w:rPr>
                <w:rFonts w:cs="Times New Roman"/>
                <w:b/>
                <w:bCs/>
                <w:sz w:val="20"/>
                <w:szCs w:val="20"/>
                <w:lang w:eastAsia="sk-SK"/>
              </w:rPr>
              <w:t>-</w:t>
            </w:r>
            <w:r w:rsidR="00223F34">
              <w:rPr>
                <w:rFonts w:cs="Times New Roman"/>
                <w:b/>
                <w:bCs/>
                <w:sz w:val="20"/>
                <w:szCs w:val="20"/>
                <w:lang w:eastAsia="sk-SK"/>
              </w:rPr>
              <w:t>29</w:t>
            </w:r>
            <w:r w:rsidRPr="00C42592">
              <w:rPr>
                <w:rFonts w:cs="Times New Roman"/>
                <w:b/>
                <w:bCs/>
                <w:sz w:val="20"/>
                <w:szCs w:val="20"/>
                <w:lang w:eastAsia="sk-SK"/>
              </w:rPr>
              <w:t>,</w:t>
            </w:r>
            <w:r w:rsidR="00223F34">
              <w:rPr>
                <w:rFonts w:cs="Times New Roman"/>
                <w:b/>
                <w:bCs/>
                <w:sz w:val="20"/>
                <w:szCs w:val="20"/>
                <w:lang w:eastAsia="sk-SK"/>
              </w:rPr>
              <w:t>49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455B7" w14:textId="5122B697" w:rsidR="00C55038" w:rsidRPr="00C42592" w:rsidRDefault="00C55038" w:rsidP="00C42592">
            <w:pPr>
              <w:spacing w:after="0" w:line="240" w:lineRule="auto"/>
              <w:ind w:right="-144" w:hanging="112"/>
              <w:jc w:val="center"/>
              <w:rPr>
                <w:rFonts w:cs="Times New Roman"/>
                <w:b/>
                <w:sz w:val="20"/>
                <w:szCs w:val="20"/>
                <w:lang w:eastAsia="sk-SK"/>
              </w:rPr>
            </w:pPr>
            <w:r w:rsidRPr="00C42592">
              <w:rPr>
                <w:rFonts w:cs="Times New Roman"/>
                <w:b/>
                <w:bCs/>
                <w:sz w:val="20"/>
                <w:szCs w:val="20"/>
                <w:lang w:eastAsia="sk-SK"/>
              </w:rPr>
              <w:t>-</w:t>
            </w:r>
            <w:r w:rsidR="00BC41D6" w:rsidRPr="00C42592">
              <w:rPr>
                <w:rFonts w:cs="Times New Roman"/>
                <w:b/>
                <w:bCs/>
                <w:sz w:val="20"/>
                <w:szCs w:val="20"/>
                <w:lang w:eastAsia="sk-SK"/>
              </w:rPr>
              <w:t>3</w:t>
            </w:r>
            <w:r w:rsidR="00C42592" w:rsidRPr="00C42592">
              <w:rPr>
                <w:rFonts w:cs="Times New Roman"/>
                <w:b/>
                <w:bCs/>
                <w:sz w:val="20"/>
                <w:szCs w:val="20"/>
                <w:lang w:eastAsia="sk-SK"/>
              </w:rPr>
              <w:t>2</w:t>
            </w:r>
            <w:r w:rsidRPr="00C42592">
              <w:rPr>
                <w:rFonts w:cs="Times New Roman"/>
                <w:b/>
                <w:bCs/>
                <w:sz w:val="20"/>
                <w:szCs w:val="20"/>
                <w:lang w:eastAsia="sk-SK"/>
              </w:rPr>
              <w:t>,</w:t>
            </w:r>
            <w:r w:rsidR="00223F34">
              <w:rPr>
                <w:rFonts w:cs="Times New Roman"/>
                <w:b/>
                <w:bCs/>
                <w:sz w:val="20"/>
                <w:szCs w:val="20"/>
                <w:lang w:eastAsia="sk-SK"/>
              </w:rPr>
              <w:t>28</w:t>
            </w:r>
          </w:p>
        </w:tc>
      </w:tr>
      <w:tr w:rsidR="00C55038" w:rsidRPr="009609B3" w14:paraId="773C40DC" w14:textId="77777777" w:rsidTr="008B145F">
        <w:trPr>
          <w:trHeight w:val="332"/>
        </w:trPr>
        <w:tc>
          <w:tcPr>
            <w:tcW w:w="90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618BC7" w14:textId="77777777" w:rsidR="00C55038" w:rsidRPr="009609B3" w:rsidRDefault="00C55038" w:rsidP="008B145F">
            <w:pPr>
              <w:spacing w:after="60" w:line="240" w:lineRule="auto"/>
              <w:jc w:val="right"/>
              <w:rPr>
                <w:rFonts w:cs="Times New Roman"/>
                <w:b/>
                <w:sz w:val="16"/>
                <w:szCs w:val="20"/>
                <w:lang w:eastAsia="sk-SK"/>
              </w:rPr>
            </w:pPr>
            <w:r w:rsidRPr="009609B3">
              <w:rPr>
                <w:rFonts w:cs="Times New Roman"/>
                <w:i/>
                <w:sz w:val="16"/>
                <w:szCs w:val="20"/>
                <w:lang w:eastAsia="cs-CZ"/>
              </w:rPr>
              <w:t xml:space="preserve">Zdroj: </w:t>
            </w:r>
            <w:r w:rsidRPr="009609B3">
              <w:rPr>
                <w:rFonts w:cs="Times New Roman"/>
                <w:i/>
                <w:sz w:val="16"/>
                <w:szCs w:val="20"/>
              </w:rPr>
              <w:t>HAU</w:t>
            </w:r>
          </w:p>
        </w:tc>
      </w:tr>
    </w:tbl>
    <w:p w14:paraId="288A0546" w14:textId="58456B2B" w:rsidR="009702CF" w:rsidRPr="009702CF" w:rsidRDefault="009702CF" w:rsidP="009702CF">
      <w:pPr>
        <w:rPr>
          <w:rFonts w:cs="Times New Roman"/>
        </w:rPr>
      </w:pPr>
      <w:bookmarkStart w:id="15" w:name="_Toc121679693"/>
      <w:r w:rsidRPr="00F95520">
        <w:rPr>
          <w:rFonts w:cs="Times New Roman"/>
          <w:b/>
        </w:rPr>
        <w:t xml:space="preserve">Investičné </w:t>
      </w:r>
      <w:r w:rsidR="0081559B">
        <w:rPr>
          <w:rFonts w:cs="Times New Roman"/>
          <w:b/>
        </w:rPr>
        <w:t xml:space="preserve">a prevádzkové </w:t>
      </w:r>
      <w:r w:rsidRPr="00F95520">
        <w:rPr>
          <w:rFonts w:cs="Times New Roman"/>
          <w:b/>
        </w:rPr>
        <w:t xml:space="preserve">náklady </w:t>
      </w:r>
      <w:r>
        <w:rPr>
          <w:rFonts w:cs="Times New Roman"/>
          <w:b/>
        </w:rPr>
        <w:t xml:space="preserve">sú </w:t>
      </w:r>
      <w:r w:rsidRPr="00F95520">
        <w:rPr>
          <w:rFonts w:cs="Times New Roman"/>
          <w:b/>
        </w:rPr>
        <w:t xml:space="preserve">za účelom ekonomickej analýzy transformované z trhových cien na účtovné </w:t>
      </w:r>
      <w:r w:rsidRPr="00223899">
        <w:rPr>
          <w:rFonts w:cs="Times New Roman"/>
          <w:b/>
          <w:bCs/>
        </w:rPr>
        <w:t>prostredníctvom</w:t>
      </w:r>
      <w:r>
        <w:rPr>
          <w:rFonts w:cs="Times New Roman"/>
          <w:b/>
        </w:rPr>
        <w:t xml:space="preserve"> agregovaného fiškálneho korekčného </w:t>
      </w:r>
      <w:r w:rsidRPr="00F95520">
        <w:rPr>
          <w:rFonts w:cs="Times New Roman"/>
          <w:b/>
        </w:rPr>
        <w:t>faktor</w:t>
      </w:r>
      <w:r>
        <w:rPr>
          <w:rFonts w:cs="Times New Roman"/>
          <w:b/>
        </w:rPr>
        <w:t>a</w:t>
      </w:r>
      <w:r w:rsidRPr="00F95520">
        <w:rPr>
          <w:rFonts w:cs="Times New Roman"/>
          <w:b/>
        </w:rPr>
        <w:t xml:space="preserve"> 0,9. </w:t>
      </w:r>
      <w:r w:rsidRPr="004F3027">
        <w:rPr>
          <w:rFonts w:cs="Times New Roman"/>
        </w:rPr>
        <w:t>Účelom konverzných faktorov je odstrániť skreslenie v cenách príslušných výdavkov spôsobené najmä daňami a ostatnými poplatkami, ako sú napr. odvody do zdravotnej a sociálnej poisťovni. Dane a odvody nesmú byť zahrnuté v sociálnej hodnote vstupov/</w:t>
      </w:r>
      <w:r w:rsidR="0081559B">
        <w:rPr>
          <w:rFonts w:cs="Times New Roman"/>
        </w:rPr>
        <w:t xml:space="preserve"> </w:t>
      </w:r>
      <w:r w:rsidRPr="004F3027">
        <w:rPr>
          <w:rFonts w:cs="Times New Roman"/>
        </w:rPr>
        <w:t>výstupov, keďže nie sú čistým nákladom z pohľadu spolo</w:t>
      </w:r>
      <w:r>
        <w:rPr>
          <w:rFonts w:cs="Times New Roman"/>
        </w:rPr>
        <w:t>čnosti ako celku. V analýze bol pre zjednodušenie</w:t>
      </w:r>
      <w:r w:rsidRPr="004F3027">
        <w:rPr>
          <w:rFonts w:cs="Times New Roman"/>
        </w:rPr>
        <w:t xml:space="preserve"> použit</w:t>
      </w:r>
      <w:r>
        <w:rPr>
          <w:rFonts w:cs="Times New Roman"/>
        </w:rPr>
        <w:t>ý agregovaný fiškálny korekčný faktor</w:t>
      </w:r>
      <w:r w:rsidR="00656228">
        <w:rPr>
          <w:rFonts w:cs="Times New Roman"/>
        </w:rPr>
        <w:t xml:space="preserve"> na úrovni</w:t>
      </w:r>
      <w:r>
        <w:rPr>
          <w:rFonts w:cs="Times New Roman"/>
        </w:rPr>
        <w:t xml:space="preserve"> 0,9.</w:t>
      </w:r>
      <w:bookmarkStart w:id="16" w:name="_GoBack"/>
      <w:bookmarkEnd w:id="16"/>
    </w:p>
    <w:p w14:paraId="0AB3CA44" w14:textId="6FC30B00" w:rsidR="004A440F" w:rsidRPr="004F3027" w:rsidRDefault="0017635E" w:rsidP="009F388B">
      <w:pPr>
        <w:pStyle w:val="Nadpis1"/>
      </w:pPr>
      <w:r w:rsidRPr="009F388B">
        <w:t>Prílohy</w:t>
      </w:r>
      <w:bookmarkEnd w:id="15"/>
    </w:p>
    <w:p w14:paraId="6F247D64" w14:textId="6DB5CD98" w:rsidR="00603B0B" w:rsidRDefault="00F36237" w:rsidP="005D0696">
      <w:pPr>
        <w:pStyle w:val="Nadpis2"/>
        <w:numPr>
          <w:ilvl w:val="0"/>
          <w:numId w:val="0"/>
        </w:numPr>
      </w:pPr>
      <w:bookmarkStart w:id="17" w:name="_Toc121679694"/>
      <w:r>
        <w:t xml:space="preserve">Príloha č. 1: </w:t>
      </w:r>
      <w:r w:rsidR="009F388B">
        <w:t>Finančná a ekonomická analýza</w:t>
      </w:r>
      <w:bookmarkEnd w:id="17"/>
    </w:p>
    <w:p w14:paraId="6790282A" w14:textId="665A4A9C" w:rsidR="00F36237" w:rsidRPr="005D0696" w:rsidRDefault="00F36237" w:rsidP="005D0696">
      <w:r>
        <w:t xml:space="preserve">Samostatný súbor </w:t>
      </w:r>
      <w:proofErr w:type="spellStart"/>
      <w:r>
        <w:t>excel</w:t>
      </w:r>
      <w:proofErr w:type="spellEnd"/>
      <w:r>
        <w:t>.</w:t>
      </w:r>
    </w:p>
    <w:sectPr w:rsidR="00F36237" w:rsidRPr="005D0696" w:rsidSect="00506F23"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74D6444" w16cex:dateUtc="2022-12-21T09:53:00Z"/>
  <w16cex:commentExtensible w16cex:durableId="3F16DED9" w16cex:dateUtc="2022-12-21T13:19:44.789Z"/>
  <w16cex:commentExtensible w16cex:durableId="274D6408" w16cex:dateUtc="2022-12-21T09:52:00Z"/>
  <w16cex:commentExtensible w16cex:durableId="274D6479" w16cex:dateUtc="2022-12-21T09:54:00Z"/>
  <w16cex:commentExtensible w16cex:durableId="274D652B" w16cex:dateUtc="2022-12-21T09:57:00Z"/>
  <w16cex:commentExtensible w16cex:durableId="274D65B4" w16cex:dateUtc="2022-12-21T10:00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F20C855" w16cid:durableId="274D6444"/>
  <w16cid:commentId w16cid:paraId="7CBA8BFB" w16cid:durableId="274D6408"/>
  <w16cid:commentId w16cid:paraId="0B9937B0" w16cid:durableId="274D6479"/>
  <w16cid:commentId w16cid:paraId="0D59DC8F" w16cid:durableId="274D652B"/>
  <w16cid:commentId w16cid:paraId="6C37D4FB" w16cid:durableId="274D65B4"/>
  <w16cid:commentId w16cid:paraId="34237669" w16cid:durableId="3F16DE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7E242" w14:textId="77777777" w:rsidR="00832A79" w:rsidRDefault="00832A79" w:rsidP="007A407A">
      <w:pPr>
        <w:spacing w:after="0" w:line="240" w:lineRule="auto"/>
      </w:pPr>
      <w:r>
        <w:separator/>
      </w:r>
    </w:p>
  </w:endnote>
  <w:endnote w:type="continuationSeparator" w:id="0">
    <w:p w14:paraId="0418A32F" w14:textId="77777777" w:rsidR="00832A79" w:rsidRDefault="00832A79" w:rsidP="007A407A">
      <w:pPr>
        <w:spacing w:after="0" w:line="240" w:lineRule="auto"/>
      </w:pPr>
      <w:r>
        <w:continuationSeparator/>
      </w:r>
    </w:p>
  </w:endnote>
  <w:endnote w:type="continuationNotice" w:id="1">
    <w:p w14:paraId="6572E568" w14:textId="77777777" w:rsidR="00832A79" w:rsidRDefault="00832A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7529466"/>
      <w:docPartObj>
        <w:docPartGallery w:val="Page Numbers (Bottom of Page)"/>
        <w:docPartUnique/>
      </w:docPartObj>
    </w:sdtPr>
    <w:sdtEndPr/>
    <w:sdtContent>
      <w:p w14:paraId="2DFFD37F" w14:textId="152565ED" w:rsidR="006E5723" w:rsidRDefault="006E5723" w:rsidP="00D03E5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F34">
          <w:rPr>
            <w:noProof/>
          </w:rPr>
          <w:t>6</w:t>
        </w:r>
        <w:r>
          <w:fldChar w:fldCharType="end"/>
        </w:r>
      </w:p>
    </w:sdtContent>
  </w:sdt>
  <w:p w14:paraId="1D7B270A" w14:textId="77777777" w:rsidR="006E5723" w:rsidRDefault="006E572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CC52E" w14:textId="77777777" w:rsidR="00832A79" w:rsidRDefault="00832A79" w:rsidP="007A407A">
      <w:pPr>
        <w:spacing w:after="0" w:line="240" w:lineRule="auto"/>
      </w:pPr>
      <w:r>
        <w:separator/>
      </w:r>
    </w:p>
  </w:footnote>
  <w:footnote w:type="continuationSeparator" w:id="0">
    <w:p w14:paraId="2E46ED49" w14:textId="77777777" w:rsidR="00832A79" w:rsidRDefault="00832A79" w:rsidP="007A407A">
      <w:pPr>
        <w:spacing w:after="0" w:line="240" w:lineRule="auto"/>
      </w:pPr>
      <w:r>
        <w:continuationSeparator/>
      </w:r>
    </w:p>
  </w:footnote>
  <w:footnote w:type="continuationNotice" w:id="1">
    <w:p w14:paraId="7C48016C" w14:textId="77777777" w:rsidR="00832A79" w:rsidRDefault="00832A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9C52" w14:textId="77777777" w:rsidR="00D03E5D" w:rsidRPr="00237718" w:rsidRDefault="00D03E5D" w:rsidP="00D03E5D">
    <w:pPr>
      <w:pStyle w:val="Hlavika"/>
      <w:rPr>
        <w:b/>
      </w:rPr>
    </w:pPr>
    <w:r w:rsidRPr="009C6CF6">
      <w:rPr>
        <w:b/>
        <w:noProof/>
        <w:color w:val="2B579A"/>
        <w:shd w:val="clear" w:color="auto" w:fill="E6E6E6"/>
        <w:lang w:eastAsia="sk-SK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08C4F95" wp14:editId="11D5C34D">
              <wp:simplePos x="0" y="0"/>
              <wp:positionH relativeFrom="page">
                <wp:posOffset>-2540</wp:posOffset>
              </wp:positionH>
              <wp:positionV relativeFrom="paragraph">
                <wp:posOffset>38735</wp:posOffset>
              </wp:positionV>
              <wp:extent cx="7553325" cy="57150"/>
              <wp:effectExtent l="0" t="0" r="9525" b="0"/>
              <wp:wrapNone/>
              <wp:docPr id="8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57150"/>
                      </a:xfrm>
                      <a:prstGeom prst="rect">
                        <a:avLst/>
                      </a:prstGeom>
                      <a:solidFill>
                        <a:srgbClr val="25AAE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C40BE3" id="Rectangle 16" o:spid="_x0000_s1026" style="position:absolute;margin-left:-.2pt;margin-top:3.05pt;width:594.75pt;height:4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" fillcolor="#25aae1" stroked="f" strokeweight="1pt">
              <w10:wrap anchorx="page"/>
            </v:rect>
          </w:pict>
        </mc:Fallback>
      </mc:AlternateContent>
    </w:r>
    <w:r w:rsidRPr="009C6CF6">
      <w:rPr>
        <w:b/>
        <w:noProof/>
        <w:color w:val="2B579A"/>
        <w:shd w:val="clear" w:color="auto" w:fill="E6E6E6"/>
        <w:lang w:eastAsia="sk-SK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0B20EFA" wp14:editId="59F57AE4">
              <wp:simplePos x="0" y="0"/>
              <wp:positionH relativeFrom="page">
                <wp:posOffset>-2540</wp:posOffset>
              </wp:positionH>
              <wp:positionV relativeFrom="paragraph">
                <wp:posOffset>-446562</wp:posOffset>
              </wp:positionV>
              <wp:extent cx="7553325" cy="504825"/>
              <wp:effectExtent l="0" t="0" r="9525" b="952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504825"/>
                      </a:xfrm>
                      <a:prstGeom prst="rect">
                        <a:avLst/>
                      </a:prstGeom>
                      <a:solidFill>
                        <a:srgbClr val="2C318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389A44B" id="Rectangle 9" o:spid="_x0000_s1026" style="position:absolute;margin-left:-.2pt;margin-top:-35.15pt;width:594.75pt;height:39.75pt;z-index:2516536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" fillcolor="#2c3182" stroked="f" strokeweight="1pt">
              <w10:wrap anchorx="page"/>
            </v:rect>
          </w:pict>
        </mc:Fallback>
      </mc:AlternateContent>
    </w:r>
  </w:p>
  <w:p w14:paraId="65ED36A5" w14:textId="1FC2BA3F" w:rsidR="00D03E5D" w:rsidRPr="00D03E5D" w:rsidRDefault="00D03E5D" w:rsidP="00D03E5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1F71"/>
    <w:multiLevelType w:val="hybridMultilevel"/>
    <w:tmpl w:val="BAACD7A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75C40"/>
    <w:multiLevelType w:val="hybridMultilevel"/>
    <w:tmpl w:val="8194A0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14329"/>
    <w:multiLevelType w:val="hybridMultilevel"/>
    <w:tmpl w:val="62CA5F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726B5"/>
    <w:multiLevelType w:val="hybridMultilevel"/>
    <w:tmpl w:val="6BCE244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A2D6C"/>
    <w:multiLevelType w:val="hybridMultilevel"/>
    <w:tmpl w:val="82FED5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E5B08"/>
    <w:multiLevelType w:val="hybridMultilevel"/>
    <w:tmpl w:val="34DA1A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F06C2"/>
    <w:multiLevelType w:val="hybridMultilevel"/>
    <w:tmpl w:val="CA7482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C529A"/>
    <w:multiLevelType w:val="hybridMultilevel"/>
    <w:tmpl w:val="251873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0292D"/>
    <w:multiLevelType w:val="hybridMultilevel"/>
    <w:tmpl w:val="C5F614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90F89"/>
    <w:multiLevelType w:val="hybridMultilevel"/>
    <w:tmpl w:val="75FCC1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36C21"/>
    <w:multiLevelType w:val="hybridMultilevel"/>
    <w:tmpl w:val="023AC8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41412"/>
    <w:multiLevelType w:val="hybridMultilevel"/>
    <w:tmpl w:val="51EE66F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82B76"/>
    <w:multiLevelType w:val="hybridMultilevel"/>
    <w:tmpl w:val="05828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60959"/>
    <w:multiLevelType w:val="hybridMultilevel"/>
    <w:tmpl w:val="8CD6987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1384824"/>
    <w:multiLevelType w:val="hybridMultilevel"/>
    <w:tmpl w:val="930CA7E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F4B8F"/>
    <w:multiLevelType w:val="multilevel"/>
    <w:tmpl w:val="93E65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b w:val="0"/>
        <w:strike w:val="0"/>
        <w:dstrike w:val="0"/>
        <w:u w:val="none"/>
        <w:effect w:val="none"/>
      </w:rPr>
    </w:lvl>
  </w:abstractNum>
  <w:abstractNum w:abstractNumId="16" w15:restartNumberingAfterBreak="0">
    <w:nsid w:val="45D4170B"/>
    <w:multiLevelType w:val="hybridMultilevel"/>
    <w:tmpl w:val="1ADE0C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61352"/>
    <w:multiLevelType w:val="hybridMultilevel"/>
    <w:tmpl w:val="D1B6E5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B2C50"/>
    <w:multiLevelType w:val="hybridMultilevel"/>
    <w:tmpl w:val="044897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C6ED0"/>
    <w:multiLevelType w:val="hybridMultilevel"/>
    <w:tmpl w:val="C79C53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C13B6"/>
    <w:multiLevelType w:val="hybridMultilevel"/>
    <w:tmpl w:val="BD88A7F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4063D"/>
    <w:multiLevelType w:val="multilevel"/>
    <w:tmpl w:val="A078887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562B6EC5"/>
    <w:multiLevelType w:val="hybridMultilevel"/>
    <w:tmpl w:val="62746BB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6D32680"/>
    <w:multiLevelType w:val="hybridMultilevel"/>
    <w:tmpl w:val="545CE1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D77E9"/>
    <w:multiLevelType w:val="hybridMultilevel"/>
    <w:tmpl w:val="E9D643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80245"/>
    <w:multiLevelType w:val="hybridMultilevel"/>
    <w:tmpl w:val="6A583BFE"/>
    <w:lvl w:ilvl="0" w:tplc="D3A4BBB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D91E30"/>
    <w:multiLevelType w:val="hybridMultilevel"/>
    <w:tmpl w:val="BC48BF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07F08"/>
    <w:multiLevelType w:val="multilevel"/>
    <w:tmpl w:val="7FB608F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67476949"/>
    <w:multiLevelType w:val="hybridMultilevel"/>
    <w:tmpl w:val="DE74839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B645C3"/>
    <w:multiLevelType w:val="hybridMultilevel"/>
    <w:tmpl w:val="CDF823FC"/>
    <w:lvl w:ilvl="0" w:tplc="2F006FF8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A637E"/>
    <w:multiLevelType w:val="hybridMultilevel"/>
    <w:tmpl w:val="3774B5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3343F"/>
    <w:multiLevelType w:val="hybridMultilevel"/>
    <w:tmpl w:val="1C64785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9726991"/>
    <w:multiLevelType w:val="hybridMultilevel"/>
    <w:tmpl w:val="6C50D3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096C7A"/>
    <w:multiLevelType w:val="hybridMultilevel"/>
    <w:tmpl w:val="9A3698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76F19"/>
    <w:multiLevelType w:val="hybridMultilevel"/>
    <w:tmpl w:val="D8A60B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860ADA"/>
    <w:multiLevelType w:val="hybridMultilevel"/>
    <w:tmpl w:val="52DACE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9B652F"/>
    <w:multiLevelType w:val="hybridMultilevel"/>
    <w:tmpl w:val="18CCC7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29"/>
  </w:num>
  <w:num w:numId="4">
    <w:abstractNumId w:val="16"/>
  </w:num>
  <w:num w:numId="5">
    <w:abstractNumId w:val="8"/>
  </w:num>
  <w:num w:numId="6">
    <w:abstractNumId w:val="23"/>
  </w:num>
  <w:num w:numId="7">
    <w:abstractNumId w:val="33"/>
  </w:num>
  <w:num w:numId="8">
    <w:abstractNumId w:val="27"/>
  </w:num>
  <w:num w:numId="9">
    <w:abstractNumId w:val="1"/>
  </w:num>
  <w:num w:numId="10">
    <w:abstractNumId w:val="7"/>
  </w:num>
  <w:num w:numId="11">
    <w:abstractNumId w:val="2"/>
  </w:num>
  <w:num w:numId="12">
    <w:abstractNumId w:val="30"/>
  </w:num>
  <w:num w:numId="13">
    <w:abstractNumId w:val="25"/>
  </w:num>
  <w:num w:numId="14">
    <w:abstractNumId w:val="4"/>
  </w:num>
  <w:num w:numId="15">
    <w:abstractNumId w:val="9"/>
  </w:num>
  <w:num w:numId="16">
    <w:abstractNumId w:val="21"/>
  </w:num>
  <w:num w:numId="17">
    <w:abstractNumId w:val="12"/>
  </w:num>
  <w:num w:numId="18">
    <w:abstractNumId w:val="24"/>
  </w:num>
  <w:num w:numId="19">
    <w:abstractNumId w:val="18"/>
  </w:num>
  <w:num w:numId="20">
    <w:abstractNumId w:val="28"/>
  </w:num>
  <w:num w:numId="21">
    <w:abstractNumId w:val="31"/>
  </w:num>
  <w:num w:numId="22">
    <w:abstractNumId w:val="22"/>
  </w:num>
  <w:num w:numId="23">
    <w:abstractNumId w:val="13"/>
  </w:num>
  <w:num w:numId="24">
    <w:abstractNumId w:val="17"/>
  </w:num>
  <w:num w:numId="25">
    <w:abstractNumId w:val="5"/>
  </w:num>
  <w:num w:numId="26">
    <w:abstractNumId w:val="35"/>
  </w:num>
  <w:num w:numId="27">
    <w:abstractNumId w:val="14"/>
  </w:num>
  <w:num w:numId="28">
    <w:abstractNumId w:val="3"/>
  </w:num>
  <w:num w:numId="29">
    <w:abstractNumId w:val="36"/>
  </w:num>
  <w:num w:numId="30">
    <w:abstractNumId w:val="20"/>
  </w:num>
  <w:num w:numId="31">
    <w:abstractNumId w:val="11"/>
  </w:num>
  <w:num w:numId="32">
    <w:abstractNumId w:val="6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0"/>
  </w:num>
  <w:num w:numId="36">
    <w:abstractNumId w:val="26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F0"/>
    <w:rsid w:val="00003299"/>
    <w:rsid w:val="00007227"/>
    <w:rsid w:val="00011746"/>
    <w:rsid w:val="000245CE"/>
    <w:rsid w:val="000248F0"/>
    <w:rsid w:val="000315FA"/>
    <w:rsid w:val="0003675E"/>
    <w:rsid w:val="00037469"/>
    <w:rsid w:val="000411E3"/>
    <w:rsid w:val="00043159"/>
    <w:rsid w:val="00044CF1"/>
    <w:rsid w:val="00045EC3"/>
    <w:rsid w:val="0005631D"/>
    <w:rsid w:val="00096F5A"/>
    <w:rsid w:val="000D2CD7"/>
    <w:rsid w:val="00103C05"/>
    <w:rsid w:val="001067EF"/>
    <w:rsid w:val="0011123C"/>
    <w:rsid w:val="001421BD"/>
    <w:rsid w:val="00157ACA"/>
    <w:rsid w:val="0017635E"/>
    <w:rsid w:val="001845BA"/>
    <w:rsid w:val="00195445"/>
    <w:rsid w:val="001C657A"/>
    <w:rsid w:val="001D05DB"/>
    <w:rsid w:val="001D18C2"/>
    <w:rsid w:val="001D5E38"/>
    <w:rsid w:val="001F3F7C"/>
    <w:rsid w:val="001F621F"/>
    <w:rsid w:val="00215FC2"/>
    <w:rsid w:val="00223899"/>
    <w:rsid w:val="00223B26"/>
    <w:rsid w:val="00223F34"/>
    <w:rsid w:val="00236B78"/>
    <w:rsid w:val="00245D24"/>
    <w:rsid w:val="0025090A"/>
    <w:rsid w:val="00270273"/>
    <w:rsid w:val="00280D2B"/>
    <w:rsid w:val="002861EC"/>
    <w:rsid w:val="002B7614"/>
    <w:rsid w:val="002C3647"/>
    <w:rsid w:val="002D03FB"/>
    <w:rsid w:val="002D7369"/>
    <w:rsid w:val="002E24AA"/>
    <w:rsid w:val="002F59FC"/>
    <w:rsid w:val="002F6D94"/>
    <w:rsid w:val="00316F16"/>
    <w:rsid w:val="003236D5"/>
    <w:rsid w:val="00334753"/>
    <w:rsid w:val="003365E3"/>
    <w:rsid w:val="00353FE9"/>
    <w:rsid w:val="00360FA9"/>
    <w:rsid w:val="00383B6D"/>
    <w:rsid w:val="0038559D"/>
    <w:rsid w:val="003C09D9"/>
    <w:rsid w:val="003C688D"/>
    <w:rsid w:val="003E1CAE"/>
    <w:rsid w:val="003E3443"/>
    <w:rsid w:val="00405399"/>
    <w:rsid w:val="004359D5"/>
    <w:rsid w:val="00443699"/>
    <w:rsid w:val="00443AA3"/>
    <w:rsid w:val="00457AE2"/>
    <w:rsid w:val="00461585"/>
    <w:rsid w:val="00464392"/>
    <w:rsid w:val="00464B4F"/>
    <w:rsid w:val="004678F3"/>
    <w:rsid w:val="00472987"/>
    <w:rsid w:val="00485394"/>
    <w:rsid w:val="004A440F"/>
    <w:rsid w:val="004C156B"/>
    <w:rsid w:val="004E4F01"/>
    <w:rsid w:val="004F3027"/>
    <w:rsid w:val="004F751A"/>
    <w:rsid w:val="00506F23"/>
    <w:rsid w:val="00544790"/>
    <w:rsid w:val="005453ED"/>
    <w:rsid w:val="005931D8"/>
    <w:rsid w:val="005A5C09"/>
    <w:rsid w:val="005D0696"/>
    <w:rsid w:val="005D15BB"/>
    <w:rsid w:val="00603B0B"/>
    <w:rsid w:val="0063132E"/>
    <w:rsid w:val="00641DF3"/>
    <w:rsid w:val="00653B20"/>
    <w:rsid w:val="00656228"/>
    <w:rsid w:val="00660295"/>
    <w:rsid w:val="006679C3"/>
    <w:rsid w:val="006679F0"/>
    <w:rsid w:val="006709B7"/>
    <w:rsid w:val="00671787"/>
    <w:rsid w:val="006824D9"/>
    <w:rsid w:val="006924E5"/>
    <w:rsid w:val="006935F9"/>
    <w:rsid w:val="0069606A"/>
    <w:rsid w:val="006A173D"/>
    <w:rsid w:val="006B168E"/>
    <w:rsid w:val="006B7B0F"/>
    <w:rsid w:val="006C163C"/>
    <w:rsid w:val="006D389A"/>
    <w:rsid w:val="006D3DDB"/>
    <w:rsid w:val="006D5455"/>
    <w:rsid w:val="006E5723"/>
    <w:rsid w:val="00707208"/>
    <w:rsid w:val="00707C80"/>
    <w:rsid w:val="00712724"/>
    <w:rsid w:val="007328E1"/>
    <w:rsid w:val="007424EB"/>
    <w:rsid w:val="007738B9"/>
    <w:rsid w:val="007766C0"/>
    <w:rsid w:val="0079344C"/>
    <w:rsid w:val="007A15E2"/>
    <w:rsid w:val="007A407A"/>
    <w:rsid w:val="007A55D9"/>
    <w:rsid w:val="007B0E8B"/>
    <w:rsid w:val="007F64B7"/>
    <w:rsid w:val="007F7481"/>
    <w:rsid w:val="00802EA4"/>
    <w:rsid w:val="00805F63"/>
    <w:rsid w:val="0081559B"/>
    <w:rsid w:val="00824DE4"/>
    <w:rsid w:val="00826AE0"/>
    <w:rsid w:val="00832A79"/>
    <w:rsid w:val="00836390"/>
    <w:rsid w:val="00846FD2"/>
    <w:rsid w:val="00851024"/>
    <w:rsid w:val="00854903"/>
    <w:rsid w:val="0085D1A4"/>
    <w:rsid w:val="008960D8"/>
    <w:rsid w:val="008A1B8F"/>
    <w:rsid w:val="008A49B6"/>
    <w:rsid w:val="008B1059"/>
    <w:rsid w:val="008C7B9F"/>
    <w:rsid w:val="0090460A"/>
    <w:rsid w:val="009108A4"/>
    <w:rsid w:val="0091114C"/>
    <w:rsid w:val="00924BD0"/>
    <w:rsid w:val="00927C6D"/>
    <w:rsid w:val="009303D3"/>
    <w:rsid w:val="00932E38"/>
    <w:rsid w:val="0093538C"/>
    <w:rsid w:val="00937FC3"/>
    <w:rsid w:val="009609B3"/>
    <w:rsid w:val="009702CF"/>
    <w:rsid w:val="0098235C"/>
    <w:rsid w:val="009852C8"/>
    <w:rsid w:val="009B43E2"/>
    <w:rsid w:val="009C078E"/>
    <w:rsid w:val="009D7381"/>
    <w:rsid w:val="009F388B"/>
    <w:rsid w:val="00A25715"/>
    <w:rsid w:val="00A27206"/>
    <w:rsid w:val="00A720E0"/>
    <w:rsid w:val="00A736F8"/>
    <w:rsid w:val="00A94114"/>
    <w:rsid w:val="00AD5F5C"/>
    <w:rsid w:val="00AE6BD0"/>
    <w:rsid w:val="00B0779A"/>
    <w:rsid w:val="00B1245E"/>
    <w:rsid w:val="00B30587"/>
    <w:rsid w:val="00B31985"/>
    <w:rsid w:val="00B43226"/>
    <w:rsid w:val="00B8534D"/>
    <w:rsid w:val="00BB02A6"/>
    <w:rsid w:val="00BB2B99"/>
    <w:rsid w:val="00BC23AD"/>
    <w:rsid w:val="00BC41D6"/>
    <w:rsid w:val="00BC675F"/>
    <w:rsid w:val="00BD5092"/>
    <w:rsid w:val="00BE0C94"/>
    <w:rsid w:val="00BF6D77"/>
    <w:rsid w:val="00C06A7C"/>
    <w:rsid w:val="00C07516"/>
    <w:rsid w:val="00C13786"/>
    <w:rsid w:val="00C161BA"/>
    <w:rsid w:val="00C42592"/>
    <w:rsid w:val="00C55038"/>
    <w:rsid w:val="00C92954"/>
    <w:rsid w:val="00C954EB"/>
    <w:rsid w:val="00CA3E6B"/>
    <w:rsid w:val="00CB7BB1"/>
    <w:rsid w:val="00CB7C82"/>
    <w:rsid w:val="00CC0EA9"/>
    <w:rsid w:val="00CD31AE"/>
    <w:rsid w:val="00CE14B0"/>
    <w:rsid w:val="00CE72BC"/>
    <w:rsid w:val="00CF3AAA"/>
    <w:rsid w:val="00D03E5D"/>
    <w:rsid w:val="00D1482C"/>
    <w:rsid w:val="00D542C0"/>
    <w:rsid w:val="00D73B26"/>
    <w:rsid w:val="00D74B88"/>
    <w:rsid w:val="00D76F7E"/>
    <w:rsid w:val="00D77C6F"/>
    <w:rsid w:val="00D82D36"/>
    <w:rsid w:val="00D87FD5"/>
    <w:rsid w:val="00DA4D01"/>
    <w:rsid w:val="00DB4DF1"/>
    <w:rsid w:val="00DC52D5"/>
    <w:rsid w:val="00DC599A"/>
    <w:rsid w:val="00DF2BD7"/>
    <w:rsid w:val="00DF3C49"/>
    <w:rsid w:val="00E251B9"/>
    <w:rsid w:val="00E7523E"/>
    <w:rsid w:val="00E81A37"/>
    <w:rsid w:val="00E93678"/>
    <w:rsid w:val="00EA0660"/>
    <w:rsid w:val="00EA5008"/>
    <w:rsid w:val="00EA7681"/>
    <w:rsid w:val="00EB0278"/>
    <w:rsid w:val="00EC1B43"/>
    <w:rsid w:val="00ED5F51"/>
    <w:rsid w:val="00ED7789"/>
    <w:rsid w:val="00EE5106"/>
    <w:rsid w:val="00F15D70"/>
    <w:rsid w:val="00F176CE"/>
    <w:rsid w:val="00F24D62"/>
    <w:rsid w:val="00F320FD"/>
    <w:rsid w:val="00F36237"/>
    <w:rsid w:val="00F37E46"/>
    <w:rsid w:val="00F420FF"/>
    <w:rsid w:val="00F55035"/>
    <w:rsid w:val="00F738C6"/>
    <w:rsid w:val="00F94814"/>
    <w:rsid w:val="00F95520"/>
    <w:rsid w:val="00FA467D"/>
    <w:rsid w:val="00FA78B0"/>
    <w:rsid w:val="00FC7D33"/>
    <w:rsid w:val="010F5ADB"/>
    <w:rsid w:val="01971713"/>
    <w:rsid w:val="01A8C0B9"/>
    <w:rsid w:val="0241BACE"/>
    <w:rsid w:val="0259FEC4"/>
    <w:rsid w:val="02A44E09"/>
    <w:rsid w:val="02F5215C"/>
    <w:rsid w:val="0312E24A"/>
    <w:rsid w:val="03278466"/>
    <w:rsid w:val="03886DA3"/>
    <w:rsid w:val="03F5CF25"/>
    <w:rsid w:val="04D58EF0"/>
    <w:rsid w:val="04DA531C"/>
    <w:rsid w:val="06B08EFB"/>
    <w:rsid w:val="074BC68E"/>
    <w:rsid w:val="077E7C05"/>
    <w:rsid w:val="0799FACA"/>
    <w:rsid w:val="07A0FC07"/>
    <w:rsid w:val="08065897"/>
    <w:rsid w:val="08912755"/>
    <w:rsid w:val="08EAACB7"/>
    <w:rsid w:val="09A2604B"/>
    <w:rsid w:val="0AD1809A"/>
    <w:rsid w:val="0B3D972B"/>
    <w:rsid w:val="0BD58EF0"/>
    <w:rsid w:val="0C30D74B"/>
    <w:rsid w:val="0D6F1961"/>
    <w:rsid w:val="0D93F181"/>
    <w:rsid w:val="0DC7E24F"/>
    <w:rsid w:val="0DCCA7AC"/>
    <w:rsid w:val="0E351B52"/>
    <w:rsid w:val="0E755F80"/>
    <w:rsid w:val="0E759A1B"/>
    <w:rsid w:val="0E8EC278"/>
    <w:rsid w:val="0F36CFE6"/>
    <w:rsid w:val="0F68780D"/>
    <w:rsid w:val="0FE07EC5"/>
    <w:rsid w:val="10197A68"/>
    <w:rsid w:val="10DE8B97"/>
    <w:rsid w:val="10FD3FE9"/>
    <w:rsid w:val="1104486E"/>
    <w:rsid w:val="117E0552"/>
    <w:rsid w:val="119B79CB"/>
    <w:rsid w:val="11A57EA8"/>
    <w:rsid w:val="12688683"/>
    <w:rsid w:val="1287D573"/>
    <w:rsid w:val="1296B462"/>
    <w:rsid w:val="1299B370"/>
    <w:rsid w:val="12A018CF"/>
    <w:rsid w:val="12F6FBE1"/>
    <w:rsid w:val="13490B3E"/>
    <w:rsid w:val="141CC3F3"/>
    <w:rsid w:val="143BE930"/>
    <w:rsid w:val="1537A7CF"/>
    <w:rsid w:val="1540C366"/>
    <w:rsid w:val="16290665"/>
    <w:rsid w:val="1674FA30"/>
    <w:rsid w:val="1686835D"/>
    <w:rsid w:val="17606994"/>
    <w:rsid w:val="177389F2"/>
    <w:rsid w:val="18A671B4"/>
    <w:rsid w:val="18F15AD8"/>
    <w:rsid w:val="194C7EBB"/>
    <w:rsid w:val="19B82977"/>
    <w:rsid w:val="19FB5798"/>
    <w:rsid w:val="1A40F036"/>
    <w:rsid w:val="1AA39EA0"/>
    <w:rsid w:val="1B1F8DD3"/>
    <w:rsid w:val="1B5140AB"/>
    <w:rsid w:val="1B9FD2A8"/>
    <w:rsid w:val="1BE9B4D1"/>
    <w:rsid w:val="1C13C7E2"/>
    <w:rsid w:val="1C46FB15"/>
    <w:rsid w:val="1CAE422E"/>
    <w:rsid w:val="1CD40422"/>
    <w:rsid w:val="1FAD5B70"/>
    <w:rsid w:val="204AAC9B"/>
    <w:rsid w:val="21385502"/>
    <w:rsid w:val="21C35EA7"/>
    <w:rsid w:val="21C57308"/>
    <w:rsid w:val="22061A97"/>
    <w:rsid w:val="2273558A"/>
    <w:rsid w:val="22AF3414"/>
    <w:rsid w:val="231AE348"/>
    <w:rsid w:val="235870C0"/>
    <w:rsid w:val="23B20D66"/>
    <w:rsid w:val="23C06FB1"/>
    <w:rsid w:val="2478C6C1"/>
    <w:rsid w:val="24EB1D6E"/>
    <w:rsid w:val="24FFDAC7"/>
    <w:rsid w:val="253093E3"/>
    <w:rsid w:val="25D599FF"/>
    <w:rsid w:val="266F76AE"/>
    <w:rsid w:val="26B9EE1F"/>
    <w:rsid w:val="28CA2771"/>
    <w:rsid w:val="290D3AC1"/>
    <w:rsid w:val="29BFCC02"/>
    <w:rsid w:val="2A7EDA4F"/>
    <w:rsid w:val="2B7F0E01"/>
    <w:rsid w:val="2BDC07CC"/>
    <w:rsid w:val="2C78177F"/>
    <w:rsid w:val="2CB78A4D"/>
    <w:rsid w:val="2CF76CC4"/>
    <w:rsid w:val="2D25F746"/>
    <w:rsid w:val="2E324492"/>
    <w:rsid w:val="2E4CB29F"/>
    <w:rsid w:val="2E9BF78A"/>
    <w:rsid w:val="2F087177"/>
    <w:rsid w:val="3090CA4B"/>
    <w:rsid w:val="31203A2C"/>
    <w:rsid w:val="31223EFE"/>
    <w:rsid w:val="31617243"/>
    <w:rsid w:val="316B2B04"/>
    <w:rsid w:val="317285CD"/>
    <w:rsid w:val="31CADDE7"/>
    <w:rsid w:val="31D1B19C"/>
    <w:rsid w:val="31DDD1C9"/>
    <w:rsid w:val="320B2A98"/>
    <w:rsid w:val="3255BC1C"/>
    <w:rsid w:val="32BC0A8D"/>
    <w:rsid w:val="333598FC"/>
    <w:rsid w:val="344FED68"/>
    <w:rsid w:val="348943C7"/>
    <w:rsid w:val="35D498CD"/>
    <w:rsid w:val="3698485F"/>
    <w:rsid w:val="36A7078D"/>
    <w:rsid w:val="36A838A1"/>
    <w:rsid w:val="36B69300"/>
    <w:rsid w:val="3713E66C"/>
    <w:rsid w:val="38526361"/>
    <w:rsid w:val="3926A60B"/>
    <w:rsid w:val="396C2940"/>
    <w:rsid w:val="3992974A"/>
    <w:rsid w:val="399526A4"/>
    <w:rsid w:val="3A3049DB"/>
    <w:rsid w:val="3A8F51CE"/>
    <w:rsid w:val="3B387F07"/>
    <w:rsid w:val="3B49B4B5"/>
    <w:rsid w:val="3C5AFF4D"/>
    <w:rsid w:val="3C7DC716"/>
    <w:rsid w:val="3CED04BD"/>
    <w:rsid w:val="3D8102A6"/>
    <w:rsid w:val="3DA4B33A"/>
    <w:rsid w:val="3E0098BD"/>
    <w:rsid w:val="3E28DE28"/>
    <w:rsid w:val="3E6FACC1"/>
    <w:rsid w:val="3E7D5FBC"/>
    <w:rsid w:val="3F0191DE"/>
    <w:rsid w:val="3F1633FA"/>
    <w:rsid w:val="3F5951E6"/>
    <w:rsid w:val="3F7C9811"/>
    <w:rsid w:val="3FA1096A"/>
    <w:rsid w:val="400B7D22"/>
    <w:rsid w:val="405AE8D7"/>
    <w:rsid w:val="4071B610"/>
    <w:rsid w:val="407BA958"/>
    <w:rsid w:val="408D621D"/>
    <w:rsid w:val="409AD6AF"/>
    <w:rsid w:val="40A98157"/>
    <w:rsid w:val="41597C4B"/>
    <w:rsid w:val="42C0F380"/>
    <w:rsid w:val="42F73291"/>
    <w:rsid w:val="43B34A1A"/>
    <w:rsid w:val="43FE6D12"/>
    <w:rsid w:val="440B499E"/>
    <w:rsid w:val="446DFEB8"/>
    <w:rsid w:val="45981BF2"/>
    <w:rsid w:val="45F0ABBF"/>
    <w:rsid w:val="45FBF76E"/>
    <w:rsid w:val="460B4E9A"/>
    <w:rsid w:val="465343EF"/>
    <w:rsid w:val="465F9B3D"/>
    <w:rsid w:val="4738D4D1"/>
    <w:rsid w:val="478F0D6A"/>
    <w:rsid w:val="481ECD92"/>
    <w:rsid w:val="48987D6C"/>
    <w:rsid w:val="4977B4D8"/>
    <w:rsid w:val="49BAB97F"/>
    <w:rsid w:val="4ABF0A7C"/>
    <w:rsid w:val="4B14084C"/>
    <w:rsid w:val="4BC915A9"/>
    <w:rsid w:val="4BE143AA"/>
    <w:rsid w:val="4C3D4411"/>
    <w:rsid w:val="4C980E2D"/>
    <w:rsid w:val="4C9C2EF2"/>
    <w:rsid w:val="4D0CFFF9"/>
    <w:rsid w:val="4D143057"/>
    <w:rsid w:val="4D53AB33"/>
    <w:rsid w:val="4D6BEE8F"/>
    <w:rsid w:val="4D6C7B60"/>
    <w:rsid w:val="4E8563F6"/>
    <w:rsid w:val="4EF29206"/>
    <w:rsid w:val="4F07BEF0"/>
    <w:rsid w:val="4F115AF3"/>
    <w:rsid w:val="4F229DB0"/>
    <w:rsid w:val="513B9993"/>
    <w:rsid w:val="516FA015"/>
    <w:rsid w:val="52349C19"/>
    <w:rsid w:val="529887DA"/>
    <w:rsid w:val="52EA0407"/>
    <w:rsid w:val="5373965D"/>
    <w:rsid w:val="53F08A5F"/>
    <w:rsid w:val="53F58FCE"/>
    <w:rsid w:val="54114CF6"/>
    <w:rsid w:val="5476E84C"/>
    <w:rsid w:val="54A79EFD"/>
    <w:rsid w:val="578C7E6E"/>
    <w:rsid w:val="57C86D62"/>
    <w:rsid w:val="58965DDA"/>
    <w:rsid w:val="5A07FD68"/>
    <w:rsid w:val="5A225656"/>
    <w:rsid w:val="5B0BE3D0"/>
    <w:rsid w:val="5B0CC8D1"/>
    <w:rsid w:val="5B69F27F"/>
    <w:rsid w:val="5BB4D63F"/>
    <w:rsid w:val="5BCDFE9C"/>
    <w:rsid w:val="5BF11CF1"/>
    <w:rsid w:val="5C260579"/>
    <w:rsid w:val="5CA7B431"/>
    <w:rsid w:val="5D50A6A0"/>
    <w:rsid w:val="5D6EE2B0"/>
    <w:rsid w:val="5E12C383"/>
    <w:rsid w:val="5E51A414"/>
    <w:rsid w:val="5E5240A1"/>
    <w:rsid w:val="5EE43808"/>
    <w:rsid w:val="5EEA8F29"/>
    <w:rsid w:val="5FE6BB21"/>
    <w:rsid w:val="60231CF2"/>
    <w:rsid w:val="6079FDB8"/>
    <w:rsid w:val="60996721"/>
    <w:rsid w:val="61EFCB8D"/>
    <w:rsid w:val="621D914F"/>
    <w:rsid w:val="6279F6FE"/>
    <w:rsid w:val="631764F0"/>
    <w:rsid w:val="63E30679"/>
    <w:rsid w:val="646FF360"/>
    <w:rsid w:val="64A7C9D9"/>
    <w:rsid w:val="65302C9B"/>
    <w:rsid w:val="655BF55B"/>
    <w:rsid w:val="657FE4DA"/>
    <w:rsid w:val="6680934A"/>
    <w:rsid w:val="66FBA7B8"/>
    <w:rsid w:val="67396732"/>
    <w:rsid w:val="67A2B6B3"/>
    <w:rsid w:val="67E505AA"/>
    <w:rsid w:val="67EA66D8"/>
    <w:rsid w:val="68B6779C"/>
    <w:rsid w:val="68E637A5"/>
    <w:rsid w:val="69082764"/>
    <w:rsid w:val="694B6F3E"/>
    <w:rsid w:val="69999C17"/>
    <w:rsid w:val="6A552EE2"/>
    <w:rsid w:val="6ABB27CB"/>
    <w:rsid w:val="6CC18BF9"/>
    <w:rsid w:val="6CFB03AE"/>
    <w:rsid w:val="6D201723"/>
    <w:rsid w:val="6D2D9D29"/>
    <w:rsid w:val="6D89E8BF"/>
    <w:rsid w:val="6DB9A8C8"/>
    <w:rsid w:val="6EAE4F88"/>
    <w:rsid w:val="6F029ACB"/>
    <w:rsid w:val="6F1D3FD4"/>
    <w:rsid w:val="6F25B920"/>
    <w:rsid w:val="6F3A08A7"/>
    <w:rsid w:val="6F557929"/>
    <w:rsid w:val="6F5B43F6"/>
    <w:rsid w:val="6F94A03B"/>
    <w:rsid w:val="6FF578BD"/>
    <w:rsid w:val="70F1498A"/>
    <w:rsid w:val="71021462"/>
    <w:rsid w:val="71A1EA65"/>
    <w:rsid w:val="71A6EF82"/>
    <w:rsid w:val="71E926FA"/>
    <w:rsid w:val="723A3B8D"/>
    <w:rsid w:val="72A5214F"/>
    <w:rsid w:val="732B55BB"/>
    <w:rsid w:val="732C94FF"/>
    <w:rsid w:val="7335EC06"/>
    <w:rsid w:val="7386AD87"/>
    <w:rsid w:val="73A42200"/>
    <w:rsid w:val="73A51FF5"/>
    <w:rsid w:val="73C70FDD"/>
    <w:rsid w:val="74039611"/>
    <w:rsid w:val="7428EA4C"/>
    <w:rsid w:val="74621E6F"/>
    <w:rsid w:val="7468115E"/>
    <w:rsid w:val="74827AB0"/>
    <w:rsid w:val="749F5C97"/>
    <w:rsid w:val="74A5466D"/>
    <w:rsid w:val="75730F64"/>
    <w:rsid w:val="75C90D4E"/>
    <w:rsid w:val="7654646B"/>
    <w:rsid w:val="766CEDD8"/>
    <w:rsid w:val="76AF1C40"/>
    <w:rsid w:val="76C9E0E5"/>
    <w:rsid w:val="7730CB05"/>
    <w:rsid w:val="7738B88B"/>
    <w:rsid w:val="773FE0AB"/>
    <w:rsid w:val="7746BB05"/>
    <w:rsid w:val="7751DB60"/>
    <w:rsid w:val="77608B0E"/>
    <w:rsid w:val="77F034CC"/>
    <w:rsid w:val="78A97D11"/>
    <w:rsid w:val="79542478"/>
    <w:rsid w:val="7A0AB864"/>
    <w:rsid w:val="7B8E8280"/>
    <w:rsid w:val="7C03E59C"/>
    <w:rsid w:val="7C3BE9B7"/>
    <w:rsid w:val="7C49986B"/>
    <w:rsid w:val="7C4AFC55"/>
    <w:rsid w:val="7CA9D5C7"/>
    <w:rsid w:val="7CC3A5EF"/>
    <w:rsid w:val="7D6E01F8"/>
    <w:rsid w:val="7D6E49AA"/>
    <w:rsid w:val="7FC92858"/>
    <w:rsid w:val="7FE7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3A901"/>
  <w15:chartTrackingRefBased/>
  <w15:docId w15:val="{ECBF8399-C806-4687-9F37-2555F71B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388B"/>
    <w:pPr>
      <w:jc w:val="both"/>
    </w:pPr>
    <w:rPr>
      <w:rFonts w:ascii="Arial Narrow" w:hAnsi="Arial Narrow"/>
    </w:rPr>
  </w:style>
  <w:style w:type="paragraph" w:styleId="Nadpis1">
    <w:name w:val="heading 1"/>
    <w:basedOn w:val="Normlny"/>
    <w:next w:val="Normlny"/>
    <w:link w:val="Nadpis1Char"/>
    <w:uiPriority w:val="9"/>
    <w:qFormat/>
    <w:rsid w:val="00DC52D5"/>
    <w:pPr>
      <w:keepNext/>
      <w:keepLines/>
      <w:numPr>
        <w:numId w:val="16"/>
      </w:numPr>
      <w:spacing w:before="240" w:after="120"/>
      <w:ind w:left="431" w:hanging="431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F388B"/>
    <w:pPr>
      <w:keepNext/>
      <w:keepLines/>
      <w:numPr>
        <w:ilvl w:val="1"/>
        <w:numId w:val="16"/>
      </w:numPr>
      <w:spacing w:before="240" w:after="120"/>
      <w:ind w:left="578" w:hanging="578"/>
      <w:outlineLvl w:val="1"/>
    </w:pPr>
    <w:rPr>
      <w:rFonts w:eastAsiaTheme="majorEastAsia" w:cstheme="majorBidi"/>
      <w:color w:val="2E74B5" w:themeColor="accent1" w:themeShade="BF"/>
      <w:sz w:val="24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06F23"/>
    <w:pPr>
      <w:keepNext/>
      <w:keepLines/>
      <w:numPr>
        <w:ilvl w:val="2"/>
        <w:numId w:val="16"/>
      </w:numPr>
      <w:spacing w:before="40" w:after="120"/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C52D5"/>
    <w:rPr>
      <w:rFonts w:ascii="Arial Narrow" w:eastAsiaTheme="majorEastAsia" w:hAnsi="Arial Narrow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CA3E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text,List Paragraph,body,or.bullet1,body 2,Lista 1"/>
    <w:basedOn w:val="Normlny"/>
    <w:link w:val="OdsekzoznamuChar"/>
    <w:uiPriority w:val="34"/>
    <w:qFormat/>
    <w:rsid w:val="00CA3E6B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9F388B"/>
    <w:rPr>
      <w:rFonts w:ascii="Arial Narrow" w:eastAsiaTheme="majorEastAsia" w:hAnsi="Arial Narrow" w:cstheme="majorBidi"/>
      <w:color w:val="2E74B5" w:themeColor="accent1" w:themeShade="BF"/>
      <w:sz w:val="24"/>
      <w:szCs w:val="26"/>
    </w:rPr>
  </w:style>
  <w:style w:type="character" w:customStyle="1" w:styleId="OdsekzoznamuChar">
    <w:name w:val="Odsek zoznamu Char"/>
    <w:aliases w:val="text Char,List Paragraph Char,body Char,or.bullet1 Char,body 2 Char,Lista 1 Char"/>
    <w:link w:val="Odsekzoznamu"/>
    <w:uiPriority w:val="34"/>
    <w:locked/>
    <w:rsid w:val="001067EF"/>
  </w:style>
  <w:style w:type="paragraph" w:styleId="Popis">
    <w:name w:val="caption"/>
    <w:basedOn w:val="Normlny"/>
    <w:next w:val="Normlny"/>
    <w:link w:val="PopisChar"/>
    <w:uiPriority w:val="35"/>
    <w:qFormat/>
    <w:rsid w:val="00360FA9"/>
    <w:pPr>
      <w:keepNext/>
      <w:spacing w:after="200" w:line="276" w:lineRule="auto"/>
    </w:pPr>
    <w:rPr>
      <w:rFonts w:eastAsia="Times New Roman" w:cs="Times New Roman"/>
      <w:b/>
      <w:color w:val="DA251D"/>
      <w:sz w:val="18"/>
      <w:szCs w:val="20"/>
      <w:lang w:eastAsia="cs-CZ"/>
    </w:rPr>
  </w:style>
  <w:style w:type="character" w:customStyle="1" w:styleId="PopisChar">
    <w:name w:val="Popis Char"/>
    <w:link w:val="Popis"/>
    <w:uiPriority w:val="99"/>
    <w:locked/>
    <w:rsid w:val="00360FA9"/>
    <w:rPr>
      <w:rFonts w:ascii="Times New Roman" w:eastAsia="Times New Roman" w:hAnsi="Times New Roman" w:cs="Times New Roman"/>
      <w:b/>
      <w:color w:val="DA251D"/>
      <w:sz w:val="18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360FA9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A407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A407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A407A"/>
    <w:rPr>
      <w:vertAlign w:val="superscript"/>
    </w:rPr>
  </w:style>
  <w:style w:type="character" w:customStyle="1" w:styleId="Nadpis3Char">
    <w:name w:val="Nadpis 3 Char"/>
    <w:basedOn w:val="Predvolenpsmoodseku"/>
    <w:link w:val="Nadpis3"/>
    <w:uiPriority w:val="9"/>
    <w:rsid w:val="00506F23"/>
    <w:rPr>
      <w:rFonts w:ascii="Times New Roman" w:eastAsiaTheme="majorEastAsia" w:hAnsi="Times New Roman" w:cstheme="majorBidi"/>
      <w:color w:val="2E74B5" w:themeColor="accent1" w:themeShade="BF"/>
      <w:sz w:val="24"/>
      <w:szCs w:val="24"/>
    </w:rPr>
  </w:style>
  <w:style w:type="table" w:styleId="Svetlzoznamzvraznenie1">
    <w:name w:val="Light List Accent 1"/>
    <w:basedOn w:val="Normlnatabuka"/>
    <w:uiPriority w:val="61"/>
    <w:rsid w:val="0079344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customStyle="1" w:styleId="Text3">
    <w:name w:val="Text 3"/>
    <w:basedOn w:val="Normlny"/>
    <w:rsid w:val="00854903"/>
    <w:pPr>
      <w:tabs>
        <w:tab w:val="left" w:pos="2302"/>
      </w:tabs>
      <w:spacing w:after="120" w:line="276" w:lineRule="auto"/>
      <w:ind w:left="1202"/>
    </w:pPr>
    <w:rPr>
      <w:rFonts w:eastAsia="Times New Roman" w:cs="Times New Roman"/>
      <w:sz w:val="24"/>
      <w:szCs w:val="24"/>
      <w:lang w:val="en-GB" w:eastAsia="cs-CZ"/>
    </w:rPr>
  </w:style>
  <w:style w:type="paragraph" w:styleId="Hlavika">
    <w:name w:val="header"/>
    <w:basedOn w:val="Normlny"/>
    <w:link w:val="HlavikaChar"/>
    <w:uiPriority w:val="99"/>
    <w:unhideWhenUsed/>
    <w:rsid w:val="00506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6F23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506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6F23"/>
    <w:rPr>
      <w:rFonts w:ascii="Times New Roman" w:hAnsi="Times New Roman"/>
    </w:rPr>
  </w:style>
  <w:style w:type="paragraph" w:styleId="Hlavikaobsahu">
    <w:name w:val="TOC Heading"/>
    <w:basedOn w:val="Nadpis1"/>
    <w:next w:val="Normlny"/>
    <w:uiPriority w:val="39"/>
    <w:unhideWhenUsed/>
    <w:qFormat/>
    <w:rsid w:val="00506F23"/>
    <w:pPr>
      <w:numPr>
        <w:numId w:val="0"/>
      </w:numPr>
      <w:jc w:val="left"/>
      <w:outlineLvl w:val="9"/>
    </w:pPr>
    <w:rPr>
      <w:rFonts w:asciiTheme="majorHAnsi" w:hAnsiTheme="majorHAnsi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506F23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506F23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506F23"/>
    <w:pPr>
      <w:spacing w:after="100"/>
      <w:ind w:left="440"/>
    </w:p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DB4DF1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DB4DF1"/>
    <w:rPr>
      <w:rFonts w:ascii="Tahoma" w:eastAsia="Tahoma" w:hAnsi="Tahoma" w:cs="Tahoma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D87FD5"/>
    <w:rPr>
      <w:i/>
      <w:iCs/>
    </w:rPr>
  </w:style>
  <w:style w:type="table" w:styleId="Mriekatabuky">
    <w:name w:val="Table Grid"/>
    <w:basedOn w:val="Normlnatabuka"/>
    <w:uiPriority w:val="59"/>
    <w:rsid w:val="006B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B077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0779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0779A"/>
    <w:rPr>
      <w:rFonts w:ascii="Arial Narrow" w:hAnsi="Arial Narrow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0779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0779A"/>
    <w:rPr>
      <w:rFonts w:ascii="Arial Narrow" w:hAnsi="Arial Narrow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7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7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F3CF9402C80B4B97D8584BFAFFAD04" ma:contentTypeVersion="10" ma:contentTypeDescription="Umožňuje vytvoriť nový dokument." ma:contentTypeScope="" ma:versionID="52b6498862e8d7d08de5d332e33c196e">
  <xsd:schema xmlns:xsd="http://www.w3.org/2001/XMLSchema" xmlns:xs="http://www.w3.org/2001/XMLSchema" xmlns:p="http://schemas.microsoft.com/office/2006/metadata/properties" xmlns:ns2="7a2feed8-d7a7-4bf9-8938-b5a41b0c1e63" xmlns:ns3="957eae23-acdc-40f8-80ac-59490c15dae4" targetNamespace="http://schemas.microsoft.com/office/2006/metadata/properties" ma:root="true" ma:fieldsID="63e87a9b8e0471f2b2b93feff69872f7" ns2:_="" ns3:_="">
    <xsd:import namespace="7a2feed8-d7a7-4bf9-8938-b5a41b0c1e63"/>
    <xsd:import namespace="957eae23-acdc-40f8-80ac-59490c15da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feed8-d7a7-4bf9-8938-b5a41b0c1e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eae23-acdc-40f8-80ac-59490c15dae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7F28B-F6A7-40A0-8029-4B697B13D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2feed8-d7a7-4bf9-8938-b5a41b0c1e63"/>
    <ds:schemaRef ds:uri="957eae23-acdc-40f8-80ac-59490c15da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1DCE04-C353-40E3-9DBD-EAF08B45FBBE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957eae23-acdc-40f8-80ac-59490c15dae4"/>
    <ds:schemaRef ds:uri="7a2feed8-d7a7-4bf9-8938-b5a41b0c1e6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A9D8833-FCDA-47E7-AFBD-C2792B7FBE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974CB9-8ACE-4DDB-83F3-D38D159D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6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ZSR-ZT</Company>
  <LinksUpToDate>false</LinksUpToDate>
  <CharactersWithSpaces>14260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Suster.Martin</dc:creator>
  <cp:keywords/>
  <dc:description/>
  <cp:lastModifiedBy>Musec Daniel</cp:lastModifiedBy>
  <cp:revision>28</cp:revision>
  <dcterms:created xsi:type="dcterms:W3CDTF">2022-12-21T14:03:00Z</dcterms:created>
  <dcterms:modified xsi:type="dcterms:W3CDTF">2023-04-04T14:19:00Z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0x010100D0F3CF9402C80B4B97D8584BFAFFAD04</vt:lpwstr>
  </property>
</Properties>
</file>