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1.xml" ContentType="application/vnd.openxmlformats-officedocument.themeOverrid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4CDFF0" w14:textId="57986897" w:rsidR="00510129" w:rsidRDefault="00B608EA" w:rsidP="002D5D06">
      <w:pPr>
        <w:pStyle w:val="Nzov"/>
        <w:jc w:val="center"/>
      </w:pPr>
      <w:r w:rsidRPr="00B608EA">
        <w:t xml:space="preserve">Metodika </w:t>
      </w:r>
      <w:r w:rsidR="008D0D64">
        <w:t>prípravy a hodnotenia</w:t>
      </w:r>
      <w:r w:rsidRPr="00B608EA">
        <w:t xml:space="preserve"> investičných projektov</w:t>
      </w:r>
    </w:p>
    <w:p w14:paraId="1E34A798" w14:textId="4C71E1F9" w:rsidR="008B55D7" w:rsidRDefault="008B55D7" w:rsidP="00577F95">
      <w:pPr>
        <w:jc w:val="center"/>
        <w:rPr>
          <w:color w:val="FF0000"/>
          <w:sz w:val="36"/>
        </w:rPr>
      </w:pPr>
    </w:p>
    <w:p w14:paraId="47F6EBB7" w14:textId="18ED9C0D" w:rsidR="008B55D7" w:rsidRDefault="008B55D7" w:rsidP="00577F95">
      <w:pPr>
        <w:jc w:val="center"/>
        <w:rPr>
          <w:color w:val="FF0000"/>
          <w:sz w:val="36"/>
        </w:rPr>
      </w:pPr>
    </w:p>
    <w:p w14:paraId="6E885A83" w14:textId="67CFB943" w:rsidR="008B55D7" w:rsidRPr="00577F95" w:rsidRDefault="008B55D7" w:rsidP="00577F95">
      <w:pPr>
        <w:jc w:val="center"/>
        <w:rPr>
          <w:color w:val="FF0000"/>
          <w:sz w:val="36"/>
        </w:rPr>
      </w:pPr>
      <w:r>
        <w:rPr>
          <w:color w:val="FF0000"/>
          <w:sz w:val="36"/>
        </w:rPr>
        <w:t>Pracovná verzia</w:t>
      </w:r>
    </w:p>
    <w:p w14:paraId="1B87D21F" w14:textId="77777777" w:rsidR="00F46934" w:rsidRDefault="00F46934" w:rsidP="00F46934"/>
    <w:p w14:paraId="4494B1B9" w14:textId="0CF1B840" w:rsidR="00F46934" w:rsidRPr="00F46934" w:rsidRDefault="00F46934" w:rsidP="00F46934">
      <w:pPr>
        <w:jc w:val="center"/>
        <w:rPr>
          <w:color w:val="FF0000"/>
          <w:sz w:val="32"/>
        </w:rPr>
      </w:pPr>
    </w:p>
    <w:p w14:paraId="52405EED" w14:textId="77777777" w:rsidR="00510129" w:rsidRPr="005C2CEC" w:rsidRDefault="00510129">
      <w:pPr>
        <w:spacing w:after="160" w:line="259" w:lineRule="auto"/>
        <w:jc w:val="left"/>
        <w:rPr>
          <w:rFonts w:eastAsiaTheme="majorEastAsia" w:cstheme="majorBidi"/>
          <w:spacing w:val="-10"/>
          <w:kern w:val="28"/>
          <w:sz w:val="56"/>
          <w:szCs w:val="56"/>
        </w:rPr>
      </w:pPr>
      <w:r w:rsidRPr="005C2CEC">
        <w:br w:type="page"/>
      </w:r>
    </w:p>
    <w:p w14:paraId="7DB2C3B0" w14:textId="67A9529B" w:rsidR="00111294" w:rsidRPr="005C2CEC" w:rsidRDefault="00111294" w:rsidP="00EE1B9D">
      <w:pPr>
        <w:rPr>
          <w:b/>
          <w:sz w:val="36"/>
          <w:szCs w:val="36"/>
        </w:rPr>
      </w:pPr>
      <w:r w:rsidRPr="005C2CEC">
        <w:rPr>
          <w:b/>
          <w:sz w:val="36"/>
          <w:szCs w:val="36"/>
        </w:rPr>
        <w:lastRenderedPageBreak/>
        <w:t>Obsah</w:t>
      </w:r>
    </w:p>
    <w:p w14:paraId="2959DACF" w14:textId="0505F3E3" w:rsidR="00E94A6F" w:rsidRDefault="000879FC">
      <w:pPr>
        <w:pStyle w:val="Obsah1"/>
        <w:rPr>
          <w:rFonts w:asciiTheme="minorHAnsi" w:eastAsiaTheme="minorEastAsia" w:hAnsiTheme="minorHAnsi"/>
          <w:noProof/>
          <w:lang w:eastAsia="sk-SK"/>
        </w:rPr>
      </w:pPr>
      <w:r w:rsidRPr="005C2CEC">
        <w:fldChar w:fldCharType="begin"/>
      </w:r>
      <w:r w:rsidRPr="005C2CEC">
        <w:instrText xml:space="preserve"> TOC \o "1-2" \h \z \u </w:instrText>
      </w:r>
      <w:r w:rsidRPr="005C2CEC">
        <w:fldChar w:fldCharType="separate"/>
      </w:r>
      <w:hyperlink w:anchor="_Toc83651072" w:history="1">
        <w:r w:rsidR="00E94A6F" w:rsidRPr="00093BAB">
          <w:rPr>
            <w:rStyle w:val="Hypertextovprepojenie"/>
            <w:noProof/>
          </w:rPr>
          <w:t>1</w:t>
        </w:r>
        <w:r w:rsidR="00E94A6F">
          <w:rPr>
            <w:rFonts w:asciiTheme="minorHAnsi" w:eastAsiaTheme="minorEastAsia" w:hAnsiTheme="minorHAnsi"/>
            <w:noProof/>
            <w:lang w:eastAsia="sk-SK"/>
          </w:rPr>
          <w:tab/>
        </w:r>
        <w:r w:rsidR="00E94A6F" w:rsidRPr="00093BAB">
          <w:rPr>
            <w:rStyle w:val="Hypertextovprepojenie"/>
            <w:noProof/>
          </w:rPr>
          <w:t>Úvod</w:t>
        </w:r>
        <w:r w:rsidR="00E94A6F">
          <w:rPr>
            <w:noProof/>
            <w:webHidden/>
          </w:rPr>
          <w:tab/>
        </w:r>
        <w:r w:rsidR="00E94A6F">
          <w:rPr>
            <w:noProof/>
            <w:webHidden/>
          </w:rPr>
          <w:fldChar w:fldCharType="begin"/>
        </w:r>
        <w:r w:rsidR="00E94A6F">
          <w:rPr>
            <w:noProof/>
            <w:webHidden/>
          </w:rPr>
          <w:instrText xml:space="preserve"> PAGEREF _Toc83651072 \h </w:instrText>
        </w:r>
        <w:r w:rsidR="00E94A6F">
          <w:rPr>
            <w:noProof/>
            <w:webHidden/>
          </w:rPr>
        </w:r>
        <w:r w:rsidR="00E94A6F">
          <w:rPr>
            <w:noProof/>
            <w:webHidden/>
          </w:rPr>
          <w:fldChar w:fldCharType="separate"/>
        </w:r>
        <w:r w:rsidR="00E94A6F">
          <w:rPr>
            <w:noProof/>
            <w:webHidden/>
          </w:rPr>
          <w:t>4</w:t>
        </w:r>
        <w:r w:rsidR="00E94A6F">
          <w:rPr>
            <w:noProof/>
            <w:webHidden/>
          </w:rPr>
          <w:fldChar w:fldCharType="end"/>
        </w:r>
      </w:hyperlink>
    </w:p>
    <w:p w14:paraId="772BEEA5" w14:textId="339832B2" w:rsidR="00E94A6F" w:rsidRDefault="009573AC">
      <w:pPr>
        <w:pStyle w:val="Obsah2"/>
        <w:rPr>
          <w:rFonts w:asciiTheme="minorHAnsi" w:eastAsiaTheme="minorEastAsia" w:hAnsiTheme="minorHAnsi"/>
          <w:noProof/>
          <w:lang w:eastAsia="sk-SK"/>
        </w:rPr>
      </w:pPr>
      <w:hyperlink w:anchor="_Toc83651073" w:history="1">
        <w:r w:rsidR="00E94A6F" w:rsidRPr="00093BAB">
          <w:rPr>
            <w:rStyle w:val="Hypertextovprepojenie"/>
            <w:noProof/>
          </w:rPr>
          <w:t>1.1</w:t>
        </w:r>
        <w:r w:rsidR="00E94A6F">
          <w:rPr>
            <w:rFonts w:asciiTheme="minorHAnsi" w:eastAsiaTheme="minorEastAsia" w:hAnsiTheme="minorHAnsi"/>
            <w:noProof/>
            <w:lang w:eastAsia="sk-SK"/>
          </w:rPr>
          <w:tab/>
        </w:r>
        <w:r w:rsidR="00E94A6F" w:rsidRPr="00093BAB">
          <w:rPr>
            <w:rStyle w:val="Hypertextovprepojenie"/>
            <w:noProof/>
          </w:rPr>
          <w:t>Účel dokumentu</w:t>
        </w:r>
        <w:r w:rsidR="00E94A6F">
          <w:rPr>
            <w:noProof/>
            <w:webHidden/>
          </w:rPr>
          <w:tab/>
        </w:r>
        <w:r w:rsidR="00E94A6F">
          <w:rPr>
            <w:noProof/>
            <w:webHidden/>
          </w:rPr>
          <w:fldChar w:fldCharType="begin"/>
        </w:r>
        <w:r w:rsidR="00E94A6F">
          <w:rPr>
            <w:noProof/>
            <w:webHidden/>
          </w:rPr>
          <w:instrText xml:space="preserve"> PAGEREF _Toc83651073 \h </w:instrText>
        </w:r>
        <w:r w:rsidR="00E94A6F">
          <w:rPr>
            <w:noProof/>
            <w:webHidden/>
          </w:rPr>
        </w:r>
        <w:r w:rsidR="00E94A6F">
          <w:rPr>
            <w:noProof/>
            <w:webHidden/>
          </w:rPr>
          <w:fldChar w:fldCharType="separate"/>
        </w:r>
        <w:r w:rsidR="00E94A6F">
          <w:rPr>
            <w:noProof/>
            <w:webHidden/>
          </w:rPr>
          <w:t>4</w:t>
        </w:r>
        <w:r w:rsidR="00E94A6F">
          <w:rPr>
            <w:noProof/>
            <w:webHidden/>
          </w:rPr>
          <w:fldChar w:fldCharType="end"/>
        </w:r>
      </w:hyperlink>
    </w:p>
    <w:p w14:paraId="6B6F19AA" w14:textId="6A5E65F8" w:rsidR="00E94A6F" w:rsidRDefault="009573AC">
      <w:pPr>
        <w:pStyle w:val="Obsah2"/>
        <w:rPr>
          <w:rFonts w:asciiTheme="minorHAnsi" w:eastAsiaTheme="minorEastAsia" w:hAnsiTheme="minorHAnsi"/>
          <w:noProof/>
          <w:lang w:eastAsia="sk-SK"/>
        </w:rPr>
      </w:pPr>
      <w:hyperlink w:anchor="_Toc83651074" w:history="1">
        <w:r w:rsidR="00E94A6F" w:rsidRPr="00093BAB">
          <w:rPr>
            <w:rStyle w:val="Hypertextovprepojenie"/>
            <w:noProof/>
          </w:rPr>
          <w:t>1.2</w:t>
        </w:r>
        <w:r w:rsidR="00E94A6F">
          <w:rPr>
            <w:rFonts w:asciiTheme="minorHAnsi" w:eastAsiaTheme="minorEastAsia" w:hAnsiTheme="minorHAnsi"/>
            <w:noProof/>
            <w:lang w:eastAsia="sk-SK"/>
          </w:rPr>
          <w:tab/>
        </w:r>
        <w:r w:rsidR="00E94A6F" w:rsidRPr="00093BAB">
          <w:rPr>
            <w:rStyle w:val="Hypertextovprepojenie"/>
            <w:noProof/>
          </w:rPr>
          <w:t>Záväznosť dokumentu</w:t>
        </w:r>
        <w:r w:rsidR="00E94A6F">
          <w:rPr>
            <w:noProof/>
            <w:webHidden/>
          </w:rPr>
          <w:tab/>
        </w:r>
        <w:r w:rsidR="00E94A6F">
          <w:rPr>
            <w:noProof/>
            <w:webHidden/>
          </w:rPr>
          <w:fldChar w:fldCharType="begin"/>
        </w:r>
        <w:r w:rsidR="00E94A6F">
          <w:rPr>
            <w:noProof/>
            <w:webHidden/>
          </w:rPr>
          <w:instrText xml:space="preserve"> PAGEREF _Toc83651074 \h </w:instrText>
        </w:r>
        <w:r w:rsidR="00E94A6F">
          <w:rPr>
            <w:noProof/>
            <w:webHidden/>
          </w:rPr>
        </w:r>
        <w:r w:rsidR="00E94A6F">
          <w:rPr>
            <w:noProof/>
            <w:webHidden/>
          </w:rPr>
          <w:fldChar w:fldCharType="separate"/>
        </w:r>
        <w:r w:rsidR="00E94A6F">
          <w:rPr>
            <w:noProof/>
            <w:webHidden/>
          </w:rPr>
          <w:t>5</w:t>
        </w:r>
        <w:r w:rsidR="00E94A6F">
          <w:rPr>
            <w:noProof/>
            <w:webHidden/>
          </w:rPr>
          <w:fldChar w:fldCharType="end"/>
        </w:r>
      </w:hyperlink>
    </w:p>
    <w:p w14:paraId="203873FD" w14:textId="7E7C9607" w:rsidR="00E94A6F" w:rsidRDefault="009573AC">
      <w:pPr>
        <w:pStyle w:val="Obsah2"/>
        <w:rPr>
          <w:rFonts w:asciiTheme="minorHAnsi" w:eastAsiaTheme="minorEastAsia" w:hAnsiTheme="minorHAnsi"/>
          <w:noProof/>
          <w:lang w:eastAsia="sk-SK"/>
        </w:rPr>
      </w:pPr>
      <w:hyperlink w:anchor="_Toc83651075" w:history="1">
        <w:r w:rsidR="00E94A6F" w:rsidRPr="00093BAB">
          <w:rPr>
            <w:rStyle w:val="Hypertextovprepojenie"/>
            <w:noProof/>
          </w:rPr>
          <w:t>1.3</w:t>
        </w:r>
        <w:r w:rsidR="00E94A6F">
          <w:rPr>
            <w:rFonts w:asciiTheme="minorHAnsi" w:eastAsiaTheme="minorEastAsia" w:hAnsiTheme="minorHAnsi"/>
            <w:noProof/>
            <w:lang w:eastAsia="sk-SK"/>
          </w:rPr>
          <w:tab/>
        </w:r>
        <w:r w:rsidR="00E94A6F" w:rsidRPr="00093BAB">
          <w:rPr>
            <w:rStyle w:val="Hypertextovprepojenie"/>
            <w:noProof/>
          </w:rPr>
          <w:t>Nadväznosť na iné dokumenty</w:t>
        </w:r>
        <w:r w:rsidR="00E94A6F">
          <w:rPr>
            <w:noProof/>
            <w:webHidden/>
          </w:rPr>
          <w:tab/>
        </w:r>
        <w:r w:rsidR="00E94A6F">
          <w:rPr>
            <w:noProof/>
            <w:webHidden/>
          </w:rPr>
          <w:fldChar w:fldCharType="begin"/>
        </w:r>
        <w:r w:rsidR="00E94A6F">
          <w:rPr>
            <w:noProof/>
            <w:webHidden/>
          </w:rPr>
          <w:instrText xml:space="preserve"> PAGEREF _Toc83651075 \h </w:instrText>
        </w:r>
        <w:r w:rsidR="00E94A6F">
          <w:rPr>
            <w:noProof/>
            <w:webHidden/>
          </w:rPr>
        </w:r>
        <w:r w:rsidR="00E94A6F">
          <w:rPr>
            <w:noProof/>
            <w:webHidden/>
          </w:rPr>
          <w:fldChar w:fldCharType="separate"/>
        </w:r>
        <w:r w:rsidR="00E94A6F">
          <w:rPr>
            <w:noProof/>
            <w:webHidden/>
          </w:rPr>
          <w:t>6</w:t>
        </w:r>
        <w:r w:rsidR="00E94A6F">
          <w:rPr>
            <w:noProof/>
            <w:webHidden/>
          </w:rPr>
          <w:fldChar w:fldCharType="end"/>
        </w:r>
      </w:hyperlink>
    </w:p>
    <w:p w14:paraId="30C673AC" w14:textId="46A653A7" w:rsidR="00E94A6F" w:rsidRDefault="009573AC">
      <w:pPr>
        <w:pStyle w:val="Obsah1"/>
        <w:rPr>
          <w:rFonts w:asciiTheme="minorHAnsi" w:eastAsiaTheme="minorEastAsia" w:hAnsiTheme="minorHAnsi"/>
          <w:noProof/>
          <w:lang w:eastAsia="sk-SK"/>
        </w:rPr>
      </w:pPr>
      <w:hyperlink w:anchor="_Toc83651076" w:history="1">
        <w:r w:rsidR="00E94A6F" w:rsidRPr="00093BAB">
          <w:rPr>
            <w:rStyle w:val="Hypertextovprepojenie"/>
            <w:noProof/>
          </w:rPr>
          <w:t>2</w:t>
        </w:r>
        <w:r w:rsidR="00E94A6F">
          <w:rPr>
            <w:rFonts w:asciiTheme="minorHAnsi" w:eastAsiaTheme="minorEastAsia" w:hAnsiTheme="minorHAnsi"/>
            <w:noProof/>
            <w:lang w:eastAsia="sk-SK"/>
          </w:rPr>
          <w:tab/>
        </w:r>
        <w:r w:rsidR="00E94A6F" w:rsidRPr="00093BAB">
          <w:rPr>
            <w:rStyle w:val="Hypertextovprepojenie"/>
            <w:noProof/>
          </w:rPr>
          <w:t>Proces riadenia verejných investícií</w:t>
        </w:r>
        <w:r w:rsidR="00E94A6F">
          <w:rPr>
            <w:noProof/>
            <w:webHidden/>
          </w:rPr>
          <w:tab/>
        </w:r>
        <w:r w:rsidR="00E94A6F">
          <w:rPr>
            <w:noProof/>
            <w:webHidden/>
          </w:rPr>
          <w:fldChar w:fldCharType="begin"/>
        </w:r>
        <w:r w:rsidR="00E94A6F">
          <w:rPr>
            <w:noProof/>
            <w:webHidden/>
          </w:rPr>
          <w:instrText xml:space="preserve"> PAGEREF _Toc83651076 \h </w:instrText>
        </w:r>
        <w:r w:rsidR="00E94A6F">
          <w:rPr>
            <w:noProof/>
            <w:webHidden/>
          </w:rPr>
        </w:r>
        <w:r w:rsidR="00E94A6F">
          <w:rPr>
            <w:noProof/>
            <w:webHidden/>
          </w:rPr>
          <w:fldChar w:fldCharType="separate"/>
        </w:r>
        <w:r w:rsidR="00E94A6F">
          <w:rPr>
            <w:noProof/>
            <w:webHidden/>
          </w:rPr>
          <w:t>6</w:t>
        </w:r>
        <w:r w:rsidR="00E94A6F">
          <w:rPr>
            <w:noProof/>
            <w:webHidden/>
          </w:rPr>
          <w:fldChar w:fldCharType="end"/>
        </w:r>
      </w:hyperlink>
    </w:p>
    <w:p w14:paraId="48506141" w14:textId="79A194DC" w:rsidR="00E94A6F" w:rsidRDefault="009573AC">
      <w:pPr>
        <w:pStyle w:val="Obsah1"/>
        <w:rPr>
          <w:rFonts w:asciiTheme="minorHAnsi" w:eastAsiaTheme="minorEastAsia" w:hAnsiTheme="minorHAnsi"/>
          <w:noProof/>
          <w:lang w:eastAsia="sk-SK"/>
        </w:rPr>
      </w:pPr>
      <w:hyperlink w:anchor="_Toc83651077" w:history="1">
        <w:r w:rsidR="00E94A6F" w:rsidRPr="00093BAB">
          <w:rPr>
            <w:rStyle w:val="Hypertextovprepojenie"/>
            <w:noProof/>
          </w:rPr>
          <w:t>3</w:t>
        </w:r>
        <w:r w:rsidR="00E94A6F">
          <w:rPr>
            <w:rFonts w:asciiTheme="minorHAnsi" w:eastAsiaTheme="minorEastAsia" w:hAnsiTheme="minorHAnsi"/>
            <w:noProof/>
            <w:lang w:eastAsia="sk-SK"/>
          </w:rPr>
          <w:tab/>
        </w:r>
        <w:r w:rsidR="00E94A6F" w:rsidRPr="00093BAB">
          <w:rPr>
            <w:rStyle w:val="Hypertextovprepojenie"/>
            <w:noProof/>
          </w:rPr>
          <w:t>Strategické plánovanie investícií</w:t>
        </w:r>
        <w:r w:rsidR="00E94A6F">
          <w:rPr>
            <w:noProof/>
            <w:webHidden/>
          </w:rPr>
          <w:tab/>
        </w:r>
        <w:r w:rsidR="00E94A6F">
          <w:rPr>
            <w:noProof/>
            <w:webHidden/>
          </w:rPr>
          <w:fldChar w:fldCharType="begin"/>
        </w:r>
        <w:r w:rsidR="00E94A6F">
          <w:rPr>
            <w:noProof/>
            <w:webHidden/>
          </w:rPr>
          <w:instrText xml:space="preserve"> PAGEREF _Toc83651077 \h </w:instrText>
        </w:r>
        <w:r w:rsidR="00E94A6F">
          <w:rPr>
            <w:noProof/>
            <w:webHidden/>
          </w:rPr>
        </w:r>
        <w:r w:rsidR="00E94A6F">
          <w:rPr>
            <w:noProof/>
            <w:webHidden/>
          </w:rPr>
          <w:fldChar w:fldCharType="separate"/>
        </w:r>
        <w:r w:rsidR="00E94A6F">
          <w:rPr>
            <w:noProof/>
            <w:webHidden/>
          </w:rPr>
          <w:t>11</w:t>
        </w:r>
        <w:r w:rsidR="00E94A6F">
          <w:rPr>
            <w:noProof/>
            <w:webHidden/>
          </w:rPr>
          <w:fldChar w:fldCharType="end"/>
        </w:r>
      </w:hyperlink>
    </w:p>
    <w:p w14:paraId="4EAFD74D" w14:textId="7C8A747D" w:rsidR="00E94A6F" w:rsidRDefault="009573AC">
      <w:pPr>
        <w:pStyle w:val="Obsah2"/>
        <w:rPr>
          <w:rFonts w:asciiTheme="minorHAnsi" w:eastAsiaTheme="minorEastAsia" w:hAnsiTheme="minorHAnsi"/>
          <w:noProof/>
          <w:lang w:eastAsia="sk-SK"/>
        </w:rPr>
      </w:pPr>
      <w:hyperlink w:anchor="_Toc83651078" w:history="1">
        <w:r w:rsidR="00E94A6F" w:rsidRPr="00093BAB">
          <w:rPr>
            <w:rStyle w:val="Hypertextovprepojenie"/>
            <w:noProof/>
          </w:rPr>
          <w:t>3.1</w:t>
        </w:r>
        <w:r w:rsidR="00E94A6F">
          <w:rPr>
            <w:rFonts w:asciiTheme="minorHAnsi" w:eastAsiaTheme="minorEastAsia" w:hAnsiTheme="minorHAnsi"/>
            <w:noProof/>
            <w:lang w:eastAsia="sk-SK"/>
          </w:rPr>
          <w:tab/>
        </w:r>
        <w:r w:rsidR="00E94A6F" w:rsidRPr="00093BAB">
          <w:rPr>
            <w:rStyle w:val="Hypertextovprepojenie"/>
            <w:noProof/>
          </w:rPr>
          <w:t>Národná investičná stratégia</w:t>
        </w:r>
        <w:r w:rsidR="00E94A6F">
          <w:rPr>
            <w:noProof/>
            <w:webHidden/>
          </w:rPr>
          <w:tab/>
        </w:r>
        <w:r w:rsidR="00E94A6F">
          <w:rPr>
            <w:noProof/>
            <w:webHidden/>
          </w:rPr>
          <w:fldChar w:fldCharType="begin"/>
        </w:r>
        <w:r w:rsidR="00E94A6F">
          <w:rPr>
            <w:noProof/>
            <w:webHidden/>
          </w:rPr>
          <w:instrText xml:space="preserve"> PAGEREF _Toc83651078 \h </w:instrText>
        </w:r>
        <w:r w:rsidR="00E94A6F">
          <w:rPr>
            <w:noProof/>
            <w:webHidden/>
          </w:rPr>
        </w:r>
        <w:r w:rsidR="00E94A6F">
          <w:rPr>
            <w:noProof/>
            <w:webHidden/>
          </w:rPr>
          <w:fldChar w:fldCharType="separate"/>
        </w:r>
        <w:r w:rsidR="00E94A6F">
          <w:rPr>
            <w:noProof/>
            <w:webHidden/>
          </w:rPr>
          <w:t>11</w:t>
        </w:r>
        <w:r w:rsidR="00E94A6F">
          <w:rPr>
            <w:noProof/>
            <w:webHidden/>
          </w:rPr>
          <w:fldChar w:fldCharType="end"/>
        </w:r>
      </w:hyperlink>
    </w:p>
    <w:p w14:paraId="4AE372E6" w14:textId="25D8787F" w:rsidR="00E94A6F" w:rsidRDefault="009573AC">
      <w:pPr>
        <w:pStyle w:val="Obsah2"/>
        <w:rPr>
          <w:rFonts w:asciiTheme="minorHAnsi" w:eastAsiaTheme="minorEastAsia" w:hAnsiTheme="minorHAnsi"/>
          <w:noProof/>
          <w:lang w:eastAsia="sk-SK"/>
        </w:rPr>
      </w:pPr>
      <w:hyperlink w:anchor="_Toc83651079" w:history="1">
        <w:r w:rsidR="00E94A6F" w:rsidRPr="00093BAB">
          <w:rPr>
            <w:rStyle w:val="Hypertextovprepojenie"/>
            <w:noProof/>
          </w:rPr>
          <w:t>3.2</w:t>
        </w:r>
        <w:r w:rsidR="00E94A6F">
          <w:rPr>
            <w:rFonts w:asciiTheme="minorHAnsi" w:eastAsiaTheme="minorEastAsia" w:hAnsiTheme="minorHAnsi"/>
            <w:noProof/>
            <w:lang w:eastAsia="sk-SK"/>
          </w:rPr>
          <w:tab/>
        </w:r>
        <w:r w:rsidR="00E94A6F" w:rsidRPr="00093BAB">
          <w:rPr>
            <w:rStyle w:val="Hypertextovprepojenie"/>
            <w:noProof/>
          </w:rPr>
          <w:t>Sektorové investičné stratégie</w:t>
        </w:r>
        <w:r w:rsidR="00E94A6F">
          <w:rPr>
            <w:noProof/>
            <w:webHidden/>
          </w:rPr>
          <w:tab/>
        </w:r>
        <w:r w:rsidR="00E94A6F">
          <w:rPr>
            <w:noProof/>
            <w:webHidden/>
          </w:rPr>
          <w:fldChar w:fldCharType="begin"/>
        </w:r>
        <w:r w:rsidR="00E94A6F">
          <w:rPr>
            <w:noProof/>
            <w:webHidden/>
          </w:rPr>
          <w:instrText xml:space="preserve"> PAGEREF _Toc83651079 \h </w:instrText>
        </w:r>
        <w:r w:rsidR="00E94A6F">
          <w:rPr>
            <w:noProof/>
            <w:webHidden/>
          </w:rPr>
        </w:r>
        <w:r w:rsidR="00E94A6F">
          <w:rPr>
            <w:noProof/>
            <w:webHidden/>
          </w:rPr>
          <w:fldChar w:fldCharType="separate"/>
        </w:r>
        <w:r w:rsidR="00E94A6F">
          <w:rPr>
            <w:noProof/>
            <w:webHidden/>
          </w:rPr>
          <w:t>12</w:t>
        </w:r>
        <w:r w:rsidR="00E94A6F">
          <w:rPr>
            <w:noProof/>
            <w:webHidden/>
          </w:rPr>
          <w:fldChar w:fldCharType="end"/>
        </w:r>
      </w:hyperlink>
    </w:p>
    <w:p w14:paraId="12BBB7CD" w14:textId="071395F9" w:rsidR="00E94A6F" w:rsidRDefault="009573AC">
      <w:pPr>
        <w:pStyle w:val="Obsah1"/>
        <w:rPr>
          <w:rFonts w:asciiTheme="minorHAnsi" w:eastAsiaTheme="minorEastAsia" w:hAnsiTheme="minorHAnsi"/>
          <w:noProof/>
          <w:lang w:eastAsia="sk-SK"/>
        </w:rPr>
      </w:pPr>
      <w:hyperlink w:anchor="_Toc83651080" w:history="1">
        <w:r w:rsidR="00E94A6F" w:rsidRPr="00093BAB">
          <w:rPr>
            <w:rStyle w:val="Hypertextovprepojenie"/>
            <w:noProof/>
          </w:rPr>
          <w:t>4</w:t>
        </w:r>
        <w:r w:rsidR="00E94A6F">
          <w:rPr>
            <w:rFonts w:asciiTheme="minorHAnsi" w:eastAsiaTheme="minorEastAsia" w:hAnsiTheme="minorHAnsi"/>
            <w:noProof/>
            <w:lang w:eastAsia="sk-SK"/>
          </w:rPr>
          <w:tab/>
        </w:r>
        <w:r w:rsidR="00E94A6F" w:rsidRPr="00093BAB">
          <w:rPr>
            <w:rStyle w:val="Hypertextovprepojenie"/>
            <w:noProof/>
          </w:rPr>
          <w:t>Príprava investičného projektu</w:t>
        </w:r>
        <w:r w:rsidR="00E94A6F">
          <w:rPr>
            <w:noProof/>
            <w:webHidden/>
          </w:rPr>
          <w:tab/>
        </w:r>
        <w:r w:rsidR="00E94A6F">
          <w:rPr>
            <w:noProof/>
            <w:webHidden/>
          </w:rPr>
          <w:fldChar w:fldCharType="begin"/>
        </w:r>
        <w:r w:rsidR="00E94A6F">
          <w:rPr>
            <w:noProof/>
            <w:webHidden/>
          </w:rPr>
          <w:instrText xml:space="preserve"> PAGEREF _Toc83651080 \h </w:instrText>
        </w:r>
        <w:r w:rsidR="00E94A6F">
          <w:rPr>
            <w:noProof/>
            <w:webHidden/>
          </w:rPr>
        </w:r>
        <w:r w:rsidR="00E94A6F">
          <w:rPr>
            <w:noProof/>
            <w:webHidden/>
          </w:rPr>
          <w:fldChar w:fldCharType="separate"/>
        </w:r>
        <w:r w:rsidR="00E94A6F">
          <w:rPr>
            <w:noProof/>
            <w:webHidden/>
          </w:rPr>
          <w:t>19</w:t>
        </w:r>
        <w:r w:rsidR="00E94A6F">
          <w:rPr>
            <w:noProof/>
            <w:webHidden/>
          </w:rPr>
          <w:fldChar w:fldCharType="end"/>
        </w:r>
      </w:hyperlink>
    </w:p>
    <w:p w14:paraId="4686E992" w14:textId="27B16A78" w:rsidR="00E94A6F" w:rsidRDefault="009573AC">
      <w:pPr>
        <w:pStyle w:val="Obsah2"/>
        <w:rPr>
          <w:rFonts w:asciiTheme="minorHAnsi" w:eastAsiaTheme="minorEastAsia" w:hAnsiTheme="minorHAnsi"/>
          <w:noProof/>
          <w:lang w:eastAsia="sk-SK"/>
        </w:rPr>
      </w:pPr>
      <w:hyperlink w:anchor="_Toc83651081" w:history="1">
        <w:r w:rsidR="00E94A6F" w:rsidRPr="00093BAB">
          <w:rPr>
            <w:rStyle w:val="Hypertextovprepojenie"/>
            <w:noProof/>
          </w:rPr>
          <w:t>4.1</w:t>
        </w:r>
        <w:r w:rsidR="00E94A6F">
          <w:rPr>
            <w:rFonts w:asciiTheme="minorHAnsi" w:eastAsiaTheme="minorEastAsia" w:hAnsiTheme="minorHAnsi"/>
            <w:noProof/>
            <w:lang w:eastAsia="sk-SK"/>
          </w:rPr>
          <w:tab/>
        </w:r>
        <w:r w:rsidR="00E94A6F" w:rsidRPr="00093BAB">
          <w:rPr>
            <w:rStyle w:val="Hypertextovprepojenie"/>
            <w:noProof/>
          </w:rPr>
          <w:t>Príprava investičného projektu pod ustanovenou hranicou</w:t>
        </w:r>
        <w:r w:rsidR="00E94A6F">
          <w:rPr>
            <w:noProof/>
            <w:webHidden/>
          </w:rPr>
          <w:tab/>
        </w:r>
        <w:r w:rsidR="00E94A6F">
          <w:rPr>
            <w:noProof/>
            <w:webHidden/>
          </w:rPr>
          <w:fldChar w:fldCharType="begin"/>
        </w:r>
        <w:r w:rsidR="00E94A6F">
          <w:rPr>
            <w:noProof/>
            <w:webHidden/>
          </w:rPr>
          <w:instrText xml:space="preserve"> PAGEREF _Toc83651081 \h </w:instrText>
        </w:r>
        <w:r w:rsidR="00E94A6F">
          <w:rPr>
            <w:noProof/>
            <w:webHidden/>
          </w:rPr>
        </w:r>
        <w:r w:rsidR="00E94A6F">
          <w:rPr>
            <w:noProof/>
            <w:webHidden/>
          </w:rPr>
          <w:fldChar w:fldCharType="separate"/>
        </w:r>
        <w:r w:rsidR="00E94A6F">
          <w:rPr>
            <w:noProof/>
            <w:webHidden/>
          </w:rPr>
          <w:t>21</w:t>
        </w:r>
        <w:r w:rsidR="00E94A6F">
          <w:rPr>
            <w:noProof/>
            <w:webHidden/>
          </w:rPr>
          <w:fldChar w:fldCharType="end"/>
        </w:r>
      </w:hyperlink>
    </w:p>
    <w:p w14:paraId="40BB656C" w14:textId="65BFEAE6" w:rsidR="00E94A6F" w:rsidRDefault="009573AC">
      <w:pPr>
        <w:pStyle w:val="Obsah2"/>
        <w:rPr>
          <w:rFonts w:asciiTheme="minorHAnsi" w:eastAsiaTheme="minorEastAsia" w:hAnsiTheme="minorHAnsi"/>
          <w:noProof/>
          <w:lang w:eastAsia="sk-SK"/>
        </w:rPr>
      </w:pPr>
      <w:hyperlink w:anchor="_Toc83651082" w:history="1">
        <w:r w:rsidR="00E94A6F" w:rsidRPr="00093BAB">
          <w:rPr>
            <w:rStyle w:val="Hypertextovprepojenie"/>
            <w:noProof/>
          </w:rPr>
          <w:t>4.2</w:t>
        </w:r>
        <w:r w:rsidR="00E94A6F">
          <w:rPr>
            <w:rFonts w:asciiTheme="minorHAnsi" w:eastAsiaTheme="minorEastAsia" w:hAnsiTheme="minorHAnsi"/>
            <w:noProof/>
            <w:lang w:eastAsia="sk-SK"/>
          </w:rPr>
          <w:tab/>
        </w:r>
        <w:r w:rsidR="00E94A6F" w:rsidRPr="00093BAB">
          <w:rPr>
            <w:rStyle w:val="Hypertextovprepojenie"/>
            <w:noProof/>
          </w:rPr>
          <w:t>Príprava investičného projektu nad ustanovenou hranicou</w:t>
        </w:r>
        <w:r w:rsidR="00E94A6F">
          <w:rPr>
            <w:noProof/>
            <w:webHidden/>
          </w:rPr>
          <w:tab/>
        </w:r>
        <w:r w:rsidR="00E94A6F">
          <w:rPr>
            <w:noProof/>
            <w:webHidden/>
          </w:rPr>
          <w:fldChar w:fldCharType="begin"/>
        </w:r>
        <w:r w:rsidR="00E94A6F">
          <w:rPr>
            <w:noProof/>
            <w:webHidden/>
          </w:rPr>
          <w:instrText xml:space="preserve"> PAGEREF _Toc83651082 \h </w:instrText>
        </w:r>
        <w:r w:rsidR="00E94A6F">
          <w:rPr>
            <w:noProof/>
            <w:webHidden/>
          </w:rPr>
        </w:r>
        <w:r w:rsidR="00E94A6F">
          <w:rPr>
            <w:noProof/>
            <w:webHidden/>
          </w:rPr>
          <w:fldChar w:fldCharType="separate"/>
        </w:r>
        <w:r w:rsidR="00E94A6F">
          <w:rPr>
            <w:noProof/>
            <w:webHidden/>
          </w:rPr>
          <w:t>22</w:t>
        </w:r>
        <w:r w:rsidR="00E94A6F">
          <w:rPr>
            <w:noProof/>
            <w:webHidden/>
          </w:rPr>
          <w:fldChar w:fldCharType="end"/>
        </w:r>
      </w:hyperlink>
    </w:p>
    <w:p w14:paraId="702EC2D6" w14:textId="0CA46E96" w:rsidR="00E94A6F" w:rsidRDefault="009573AC">
      <w:pPr>
        <w:pStyle w:val="Obsah2"/>
        <w:rPr>
          <w:rFonts w:asciiTheme="minorHAnsi" w:eastAsiaTheme="minorEastAsia" w:hAnsiTheme="minorHAnsi"/>
          <w:noProof/>
          <w:lang w:eastAsia="sk-SK"/>
        </w:rPr>
      </w:pPr>
      <w:hyperlink w:anchor="_Toc83651083" w:history="1">
        <w:r w:rsidR="00E94A6F" w:rsidRPr="00093BAB">
          <w:rPr>
            <w:rStyle w:val="Hypertextovprepojenie"/>
            <w:noProof/>
          </w:rPr>
          <w:t>4.3</w:t>
        </w:r>
        <w:r w:rsidR="00E94A6F">
          <w:rPr>
            <w:rFonts w:asciiTheme="minorHAnsi" w:eastAsiaTheme="minorEastAsia" w:hAnsiTheme="minorHAnsi"/>
            <w:noProof/>
            <w:lang w:eastAsia="sk-SK"/>
          </w:rPr>
          <w:tab/>
        </w:r>
        <w:r w:rsidR="00E94A6F" w:rsidRPr="00093BAB">
          <w:rPr>
            <w:rStyle w:val="Hypertextovprepojenie"/>
            <w:noProof/>
          </w:rPr>
          <w:t>Postup pri rozhodovaní o spôsobe financovania</w:t>
        </w:r>
        <w:r w:rsidR="00E94A6F">
          <w:rPr>
            <w:noProof/>
            <w:webHidden/>
          </w:rPr>
          <w:tab/>
        </w:r>
        <w:r w:rsidR="00E94A6F">
          <w:rPr>
            <w:noProof/>
            <w:webHidden/>
          </w:rPr>
          <w:fldChar w:fldCharType="begin"/>
        </w:r>
        <w:r w:rsidR="00E94A6F">
          <w:rPr>
            <w:noProof/>
            <w:webHidden/>
          </w:rPr>
          <w:instrText xml:space="preserve"> PAGEREF _Toc83651083 \h </w:instrText>
        </w:r>
        <w:r w:rsidR="00E94A6F">
          <w:rPr>
            <w:noProof/>
            <w:webHidden/>
          </w:rPr>
        </w:r>
        <w:r w:rsidR="00E94A6F">
          <w:rPr>
            <w:noProof/>
            <w:webHidden/>
          </w:rPr>
          <w:fldChar w:fldCharType="separate"/>
        </w:r>
        <w:r w:rsidR="00E94A6F">
          <w:rPr>
            <w:noProof/>
            <w:webHidden/>
          </w:rPr>
          <w:t>29</w:t>
        </w:r>
        <w:r w:rsidR="00E94A6F">
          <w:rPr>
            <w:noProof/>
            <w:webHidden/>
          </w:rPr>
          <w:fldChar w:fldCharType="end"/>
        </w:r>
      </w:hyperlink>
    </w:p>
    <w:p w14:paraId="4CF58D71" w14:textId="41026C6F" w:rsidR="00E94A6F" w:rsidRDefault="009573AC">
      <w:pPr>
        <w:pStyle w:val="Obsah2"/>
        <w:rPr>
          <w:rFonts w:asciiTheme="minorHAnsi" w:eastAsiaTheme="minorEastAsia" w:hAnsiTheme="minorHAnsi"/>
          <w:noProof/>
          <w:lang w:eastAsia="sk-SK"/>
        </w:rPr>
      </w:pPr>
      <w:hyperlink w:anchor="_Toc83651084" w:history="1">
        <w:r w:rsidR="00E94A6F" w:rsidRPr="00093BAB">
          <w:rPr>
            <w:rStyle w:val="Hypertextovprepojenie"/>
            <w:noProof/>
          </w:rPr>
          <w:t>4.4</w:t>
        </w:r>
        <w:r w:rsidR="00E94A6F">
          <w:rPr>
            <w:rFonts w:asciiTheme="minorHAnsi" w:eastAsiaTheme="minorEastAsia" w:hAnsiTheme="minorHAnsi"/>
            <w:noProof/>
            <w:lang w:eastAsia="sk-SK"/>
          </w:rPr>
          <w:tab/>
        </w:r>
        <w:r w:rsidR="00E94A6F" w:rsidRPr="00093BAB">
          <w:rPr>
            <w:rStyle w:val="Hypertextovprepojenie"/>
            <w:noProof/>
          </w:rPr>
          <w:t>Ďalšia príprava projektu</w:t>
        </w:r>
        <w:r w:rsidR="00E94A6F">
          <w:rPr>
            <w:noProof/>
            <w:webHidden/>
          </w:rPr>
          <w:tab/>
        </w:r>
        <w:r w:rsidR="00E94A6F">
          <w:rPr>
            <w:noProof/>
            <w:webHidden/>
          </w:rPr>
          <w:fldChar w:fldCharType="begin"/>
        </w:r>
        <w:r w:rsidR="00E94A6F">
          <w:rPr>
            <w:noProof/>
            <w:webHidden/>
          </w:rPr>
          <w:instrText xml:space="preserve"> PAGEREF _Toc83651084 \h </w:instrText>
        </w:r>
        <w:r w:rsidR="00E94A6F">
          <w:rPr>
            <w:noProof/>
            <w:webHidden/>
          </w:rPr>
        </w:r>
        <w:r w:rsidR="00E94A6F">
          <w:rPr>
            <w:noProof/>
            <w:webHidden/>
          </w:rPr>
          <w:fldChar w:fldCharType="separate"/>
        </w:r>
        <w:r w:rsidR="00E94A6F">
          <w:rPr>
            <w:noProof/>
            <w:webHidden/>
          </w:rPr>
          <w:t>30</w:t>
        </w:r>
        <w:r w:rsidR="00E94A6F">
          <w:rPr>
            <w:noProof/>
            <w:webHidden/>
          </w:rPr>
          <w:fldChar w:fldCharType="end"/>
        </w:r>
      </w:hyperlink>
    </w:p>
    <w:p w14:paraId="03401214" w14:textId="36D1D0C9" w:rsidR="00E94A6F" w:rsidRDefault="009573AC">
      <w:pPr>
        <w:pStyle w:val="Obsah1"/>
        <w:rPr>
          <w:rFonts w:asciiTheme="minorHAnsi" w:eastAsiaTheme="minorEastAsia" w:hAnsiTheme="minorHAnsi"/>
          <w:noProof/>
          <w:lang w:eastAsia="sk-SK"/>
        </w:rPr>
      </w:pPr>
      <w:hyperlink w:anchor="_Toc83651085" w:history="1">
        <w:r w:rsidR="00E94A6F" w:rsidRPr="00093BAB">
          <w:rPr>
            <w:rStyle w:val="Hypertextovprepojenie"/>
            <w:noProof/>
          </w:rPr>
          <w:t>5</w:t>
        </w:r>
        <w:r w:rsidR="00E94A6F">
          <w:rPr>
            <w:rFonts w:asciiTheme="minorHAnsi" w:eastAsiaTheme="minorEastAsia" w:hAnsiTheme="minorHAnsi"/>
            <w:noProof/>
            <w:lang w:eastAsia="sk-SK"/>
          </w:rPr>
          <w:tab/>
        </w:r>
        <w:r w:rsidR="00E94A6F" w:rsidRPr="00093BAB">
          <w:rPr>
            <w:rStyle w:val="Hypertextovprepojenie"/>
            <w:noProof/>
          </w:rPr>
          <w:t>Obstarávanie investičného projektu</w:t>
        </w:r>
        <w:r w:rsidR="00E94A6F">
          <w:rPr>
            <w:noProof/>
            <w:webHidden/>
          </w:rPr>
          <w:tab/>
        </w:r>
        <w:r w:rsidR="00E94A6F">
          <w:rPr>
            <w:noProof/>
            <w:webHidden/>
          </w:rPr>
          <w:fldChar w:fldCharType="begin"/>
        </w:r>
        <w:r w:rsidR="00E94A6F">
          <w:rPr>
            <w:noProof/>
            <w:webHidden/>
          </w:rPr>
          <w:instrText xml:space="preserve"> PAGEREF _Toc83651085 \h </w:instrText>
        </w:r>
        <w:r w:rsidR="00E94A6F">
          <w:rPr>
            <w:noProof/>
            <w:webHidden/>
          </w:rPr>
        </w:r>
        <w:r w:rsidR="00E94A6F">
          <w:rPr>
            <w:noProof/>
            <w:webHidden/>
          </w:rPr>
          <w:fldChar w:fldCharType="separate"/>
        </w:r>
        <w:r w:rsidR="00E94A6F">
          <w:rPr>
            <w:noProof/>
            <w:webHidden/>
          </w:rPr>
          <w:t>31</w:t>
        </w:r>
        <w:r w:rsidR="00E94A6F">
          <w:rPr>
            <w:noProof/>
            <w:webHidden/>
          </w:rPr>
          <w:fldChar w:fldCharType="end"/>
        </w:r>
      </w:hyperlink>
    </w:p>
    <w:p w14:paraId="4C023D91" w14:textId="56C4F044" w:rsidR="00E94A6F" w:rsidRDefault="009573AC">
      <w:pPr>
        <w:pStyle w:val="Obsah2"/>
        <w:rPr>
          <w:rFonts w:asciiTheme="minorHAnsi" w:eastAsiaTheme="minorEastAsia" w:hAnsiTheme="minorHAnsi"/>
          <w:noProof/>
          <w:lang w:eastAsia="sk-SK"/>
        </w:rPr>
      </w:pPr>
      <w:hyperlink w:anchor="_Toc83651086" w:history="1">
        <w:r w:rsidR="00E94A6F" w:rsidRPr="00093BAB">
          <w:rPr>
            <w:rStyle w:val="Hypertextovprepojenie"/>
            <w:noProof/>
          </w:rPr>
          <w:t>5.1</w:t>
        </w:r>
        <w:r w:rsidR="00E94A6F">
          <w:rPr>
            <w:rFonts w:asciiTheme="minorHAnsi" w:eastAsiaTheme="minorEastAsia" w:hAnsiTheme="minorHAnsi"/>
            <w:noProof/>
            <w:lang w:eastAsia="sk-SK"/>
          </w:rPr>
          <w:tab/>
        </w:r>
        <w:r w:rsidR="00E94A6F" w:rsidRPr="00093BAB">
          <w:rPr>
            <w:rStyle w:val="Hypertextovprepojenie"/>
            <w:noProof/>
          </w:rPr>
          <w:t>Príprava obstarávania</w:t>
        </w:r>
        <w:r w:rsidR="00E94A6F">
          <w:rPr>
            <w:noProof/>
            <w:webHidden/>
          </w:rPr>
          <w:tab/>
        </w:r>
        <w:r w:rsidR="00E94A6F">
          <w:rPr>
            <w:noProof/>
            <w:webHidden/>
          </w:rPr>
          <w:fldChar w:fldCharType="begin"/>
        </w:r>
        <w:r w:rsidR="00E94A6F">
          <w:rPr>
            <w:noProof/>
            <w:webHidden/>
          </w:rPr>
          <w:instrText xml:space="preserve"> PAGEREF _Toc83651086 \h </w:instrText>
        </w:r>
        <w:r w:rsidR="00E94A6F">
          <w:rPr>
            <w:noProof/>
            <w:webHidden/>
          </w:rPr>
        </w:r>
        <w:r w:rsidR="00E94A6F">
          <w:rPr>
            <w:noProof/>
            <w:webHidden/>
          </w:rPr>
          <w:fldChar w:fldCharType="separate"/>
        </w:r>
        <w:r w:rsidR="00E94A6F">
          <w:rPr>
            <w:noProof/>
            <w:webHidden/>
          </w:rPr>
          <w:t>32</w:t>
        </w:r>
        <w:r w:rsidR="00E94A6F">
          <w:rPr>
            <w:noProof/>
            <w:webHidden/>
          </w:rPr>
          <w:fldChar w:fldCharType="end"/>
        </w:r>
      </w:hyperlink>
    </w:p>
    <w:p w14:paraId="0D00B547" w14:textId="0660FF7B" w:rsidR="00E94A6F" w:rsidRDefault="009573AC">
      <w:pPr>
        <w:pStyle w:val="Obsah2"/>
        <w:rPr>
          <w:rFonts w:asciiTheme="minorHAnsi" w:eastAsiaTheme="minorEastAsia" w:hAnsiTheme="minorHAnsi"/>
          <w:noProof/>
          <w:lang w:eastAsia="sk-SK"/>
        </w:rPr>
      </w:pPr>
      <w:hyperlink w:anchor="_Toc83651087" w:history="1">
        <w:r w:rsidR="00E94A6F" w:rsidRPr="00093BAB">
          <w:rPr>
            <w:rStyle w:val="Hypertextovprepojenie"/>
            <w:noProof/>
          </w:rPr>
          <w:t>5.2</w:t>
        </w:r>
        <w:r w:rsidR="00E94A6F">
          <w:rPr>
            <w:rFonts w:asciiTheme="minorHAnsi" w:eastAsiaTheme="minorEastAsia" w:hAnsiTheme="minorHAnsi"/>
            <w:noProof/>
            <w:lang w:eastAsia="sk-SK"/>
          </w:rPr>
          <w:tab/>
        </w:r>
        <w:r w:rsidR="00E94A6F" w:rsidRPr="00093BAB">
          <w:rPr>
            <w:rStyle w:val="Hypertextovprepojenie"/>
            <w:noProof/>
          </w:rPr>
          <w:t>Hodnotenie investičného projektu pod ustanovenou hranicou</w:t>
        </w:r>
        <w:r w:rsidR="00E94A6F">
          <w:rPr>
            <w:noProof/>
            <w:webHidden/>
          </w:rPr>
          <w:tab/>
        </w:r>
        <w:r w:rsidR="00E94A6F">
          <w:rPr>
            <w:noProof/>
            <w:webHidden/>
          </w:rPr>
          <w:fldChar w:fldCharType="begin"/>
        </w:r>
        <w:r w:rsidR="00E94A6F">
          <w:rPr>
            <w:noProof/>
            <w:webHidden/>
          </w:rPr>
          <w:instrText xml:space="preserve"> PAGEREF _Toc83651087 \h </w:instrText>
        </w:r>
        <w:r w:rsidR="00E94A6F">
          <w:rPr>
            <w:noProof/>
            <w:webHidden/>
          </w:rPr>
        </w:r>
        <w:r w:rsidR="00E94A6F">
          <w:rPr>
            <w:noProof/>
            <w:webHidden/>
          </w:rPr>
          <w:fldChar w:fldCharType="separate"/>
        </w:r>
        <w:r w:rsidR="00E94A6F">
          <w:rPr>
            <w:noProof/>
            <w:webHidden/>
          </w:rPr>
          <w:t>33</w:t>
        </w:r>
        <w:r w:rsidR="00E94A6F">
          <w:rPr>
            <w:noProof/>
            <w:webHidden/>
          </w:rPr>
          <w:fldChar w:fldCharType="end"/>
        </w:r>
      </w:hyperlink>
    </w:p>
    <w:p w14:paraId="6F3727DA" w14:textId="15D5A85B" w:rsidR="00E94A6F" w:rsidRDefault="009573AC">
      <w:pPr>
        <w:pStyle w:val="Obsah2"/>
        <w:rPr>
          <w:rFonts w:asciiTheme="minorHAnsi" w:eastAsiaTheme="minorEastAsia" w:hAnsiTheme="minorHAnsi"/>
          <w:noProof/>
          <w:lang w:eastAsia="sk-SK"/>
        </w:rPr>
      </w:pPr>
      <w:hyperlink w:anchor="_Toc83651088" w:history="1">
        <w:r w:rsidR="00E94A6F" w:rsidRPr="00093BAB">
          <w:rPr>
            <w:rStyle w:val="Hypertextovprepojenie"/>
            <w:noProof/>
          </w:rPr>
          <w:t>5.3</w:t>
        </w:r>
        <w:r w:rsidR="00E94A6F">
          <w:rPr>
            <w:rFonts w:asciiTheme="minorHAnsi" w:eastAsiaTheme="minorEastAsia" w:hAnsiTheme="minorHAnsi"/>
            <w:noProof/>
            <w:lang w:eastAsia="sk-SK"/>
          </w:rPr>
          <w:tab/>
        </w:r>
        <w:r w:rsidR="00E94A6F" w:rsidRPr="00093BAB">
          <w:rPr>
            <w:rStyle w:val="Hypertextovprepojenie"/>
            <w:noProof/>
          </w:rPr>
          <w:t>Hodnotenie investičného projektu nad ustanovenou hranicou</w:t>
        </w:r>
        <w:r w:rsidR="00E94A6F">
          <w:rPr>
            <w:noProof/>
            <w:webHidden/>
          </w:rPr>
          <w:tab/>
        </w:r>
        <w:r w:rsidR="00E94A6F">
          <w:rPr>
            <w:noProof/>
            <w:webHidden/>
          </w:rPr>
          <w:fldChar w:fldCharType="begin"/>
        </w:r>
        <w:r w:rsidR="00E94A6F">
          <w:rPr>
            <w:noProof/>
            <w:webHidden/>
          </w:rPr>
          <w:instrText xml:space="preserve"> PAGEREF _Toc83651088 \h </w:instrText>
        </w:r>
        <w:r w:rsidR="00E94A6F">
          <w:rPr>
            <w:noProof/>
            <w:webHidden/>
          </w:rPr>
        </w:r>
        <w:r w:rsidR="00E94A6F">
          <w:rPr>
            <w:noProof/>
            <w:webHidden/>
          </w:rPr>
          <w:fldChar w:fldCharType="separate"/>
        </w:r>
        <w:r w:rsidR="00E94A6F">
          <w:rPr>
            <w:noProof/>
            <w:webHidden/>
          </w:rPr>
          <w:t>35</w:t>
        </w:r>
        <w:r w:rsidR="00E94A6F">
          <w:rPr>
            <w:noProof/>
            <w:webHidden/>
          </w:rPr>
          <w:fldChar w:fldCharType="end"/>
        </w:r>
      </w:hyperlink>
    </w:p>
    <w:p w14:paraId="3200C5D7" w14:textId="2BD5F10B" w:rsidR="00E94A6F" w:rsidRDefault="009573AC">
      <w:pPr>
        <w:pStyle w:val="Obsah1"/>
        <w:rPr>
          <w:rFonts w:asciiTheme="minorHAnsi" w:eastAsiaTheme="minorEastAsia" w:hAnsiTheme="minorHAnsi"/>
          <w:noProof/>
          <w:lang w:eastAsia="sk-SK"/>
        </w:rPr>
      </w:pPr>
      <w:hyperlink w:anchor="_Toc83651089" w:history="1">
        <w:r w:rsidR="00E94A6F" w:rsidRPr="00093BAB">
          <w:rPr>
            <w:rStyle w:val="Hypertextovprepojenie"/>
            <w:noProof/>
          </w:rPr>
          <w:t>6</w:t>
        </w:r>
        <w:r w:rsidR="00E94A6F">
          <w:rPr>
            <w:rFonts w:asciiTheme="minorHAnsi" w:eastAsiaTheme="minorEastAsia" w:hAnsiTheme="minorHAnsi"/>
            <w:noProof/>
            <w:lang w:eastAsia="sk-SK"/>
          </w:rPr>
          <w:tab/>
        </w:r>
        <w:r w:rsidR="00E94A6F" w:rsidRPr="00093BAB">
          <w:rPr>
            <w:rStyle w:val="Hypertextovprepojenie"/>
            <w:noProof/>
          </w:rPr>
          <w:t>Rozpočtovanie kapitálových výdavkov</w:t>
        </w:r>
        <w:r w:rsidR="00E94A6F">
          <w:rPr>
            <w:noProof/>
            <w:webHidden/>
          </w:rPr>
          <w:tab/>
        </w:r>
        <w:r w:rsidR="00E94A6F">
          <w:rPr>
            <w:noProof/>
            <w:webHidden/>
          </w:rPr>
          <w:fldChar w:fldCharType="begin"/>
        </w:r>
        <w:r w:rsidR="00E94A6F">
          <w:rPr>
            <w:noProof/>
            <w:webHidden/>
          </w:rPr>
          <w:instrText xml:space="preserve"> PAGEREF _Toc83651089 \h </w:instrText>
        </w:r>
        <w:r w:rsidR="00E94A6F">
          <w:rPr>
            <w:noProof/>
            <w:webHidden/>
          </w:rPr>
        </w:r>
        <w:r w:rsidR="00E94A6F">
          <w:rPr>
            <w:noProof/>
            <w:webHidden/>
          </w:rPr>
          <w:fldChar w:fldCharType="separate"/>
        </w:r>
        <w:r w:rsidR="00E94A6F">
          <w:rPr>
            <w:noProof/>
            <w:webHidden/>
          </w:rPr>
          <w:t>37</w:t>
        </w:r>
        <w:r w:rsidR="00E94A6F">
          <w:rPr>
            <w:noProof/>
            <w:webHidden/>
          </w:rPr>
          <w:fldChar w:fldCharType="end"/>
        </w:r>
      </w:hyperlink>
    </w:p>
    <w:p w14:paraId="62B29575" w14:textId="1228618A" w:rsidR="00E94A6F" w:rsidRDefault="009573AC">
      <w:pPr>
        <w:pStyle w:val="Obsah1"/>
        <w:rPr>
          <w:rFonts w:asciiTheme="minorHAnsi" w:eastAsiaTheme="minorEastAsia" w:hAnsiTheme="minorHAnsi"/>
          <w:noProof/>
          <w:lang w:eastAsia="sk-SK"/>
        </w:rPr>
      </w:pPr>
      <w:hyperlink w:anchor="_Toc83651090" w:history="1">
        <w:r w:rsidR="00E94A6F" w:rsidRPr="00093BAB">
          <w:rPr>
            <w:rStyle w:val="Hypertextovprepojenie"/>
            <w:noProof/>
          </w:rPr>
          <w:t>7</w:t>
        </w:r>
        <w:r w:rsidR="00E94A6F">
          <w:rPr>
            <w:rFonts w:asciiTheme="minorHAnsi" w:eastAsiaTheme="minorEastAsia" w:hAnsiTheme="minorHAnsi"/>
            <w:noProof/>
            <w:lang w:eastAsia="sk-SK"/>
          </w:rPr>
          <w:tab/>
        </w:r>
        <w:r w:rsidR="00E94A6F" w:rsidRPr="00093BAB">
          <w:rPr>
            <w:rStyle w:val="Hypertextovprepojenie"/>
            <w:noProof/>
          </w:rPr>
          <w:t>Realizácia investičného projektu</w:t>
        </w:r>
        <w:r w:rsidR="00E94A6F">
          <w:rPr>
            <w:noProof/>
            <w:webHidden/>
          </w:rPr>
          <w:tab/>
        </w:r>
        <w:r w:rsidR="00E94A6F">
          <w:rPr>
            <w:noProof/>
            <w:webHidden/>
          </w:rPr>
          <w:fldChar w:fldCharType="begin"/>
        </w:r>
        <w:r w:rsidR="00E94A6F">
          <w:rPr>
            <w:noProof/>
            <w:webHidden/>
          </w:rPr>
          <w:instrText xml:space="preserve"> PAGEREF _Toc83651090 \h </w:instrText>
        </w:r>
        <w:r w:rsidR="00E94A6F">
          <w:rPr>
            <w:noProof/>
            <w:webHidden/>
          </w:rPr>
        </w:r>
        <w:r w:rsidR="00E94A6F">
          <w:rPr>
            <w:noProof/>
            <w:webHidden/>
          </w:rPr>
          <w:fldChar w:fldCharType="separate"/>
        </w:r>
        <w:r w:rsidR="00E94A6F">
          <w:rPr>
            <w:noProof/>
            <w:webHidden/>
          </w:rPr>
          <w:t>40</w:t>
        </w:r>
        <w:r w:rsidR="00E94A6F">
          <w:rPr>
            <w:noProof/>
            <w:webHidden/>
          </w:rPr>
          <w:fldChar w:fldCharType="end"/>
        </w:r>
      </w:hyperlink>
    </w:p>
    <w:p w14:paraId="781C86DD" w14:textId="698268A8" w:rsidR="00E94A6F" w:rsidRDefault="009573AC">
      <w:pPr>
        <w:pStyle w:val="Obsah2"/>
        <w:rPr>
          <w:rFonts w:asciiTheme="minorHAnsi" w:eastAsiaTheme="minorEastAsia" w:hAnsiTheme="minorHAnsi"/>
          <w:noProof/>
          <w:lang w:eastAsia="sk-SK"/>
        </w:rPr>
      </w:pPr>
      <w:hyperlink w:anchor="_Toc83651091" w:history="1">
        <w:r w:rsidR="00E94A6F" w:rsidRPr="00093BAB">
          <w:rPr>
            <w:rStyle w:val="Hypertextovprepojenie"/>
            <w:noProof/>
          </w:rPr>
          <w:t>7.1</w:t>
        </w:r>
        <w:r w:rsidR="00E94A6F">
          <w:rPr>
            <w:rFonts w:asciiTheme="minorHAnsi" w:eastAsiaTheme="minorEastAsia" w:hAnsiTheme="minorHAnsi"/>
            <w:noProof/>
            <w:lang w:eastAsia="sk-SK"/>
          </w:rPr>
          <w:tab/>
        </w:r>
        <w:r w:rsidR="00E94A6F" w:rsidRPr="00093BAB">
          <w:rPr>
            <w:rStyle w:val="Hypertextovprepojenie"/>
            <w:noProof/>
          </w:rPr>
          <w:t>Realizácia a odovzdanie investičného projektu</w:t>
        </w:r>
        <w:r w:rsidR="00E94A6F">
          <w:rPr>
            <w:noProof/>
            <w:webHidden/>
          </w:rPr>
          <w:tab/>
        </w:r>
        <w:r w:rsidR="00E94A6F">
          <w:rPr>
            <w:noProof/>
            <w:webHidden/>
          </w:rPr>
          <w:fldChar w:fldCharType="begin"/>
        </w:r>
        <w:r w:rsidR="00E94A6F">
          <w:rPr>
            <w:noProof/>
            <w:webHidden/>
          </w:rPr>
          <w:instrText xml:space="preserve"> PAGEREF _Toc83651091 \h </w:instrText>
        </w:r>
        <w:r w:rsidR="00E94A6F">
          <w:rPr>
            <w:noProof/>
            <w:webHidden/>
          </w:rPr>
        </w:r>
        <w:r w:rsidR="00E94A6F">
          <w:rPr>
            <w:noProof/>
            <w:webHidden/>
          </w:rPr>
          <w:fldChar w:fldCharType="separate"/>
        </w:r>
        <w:r w:rsidR="00E94A6F">
          <w:rPr>
            <w:noProof/>
            <w:webHidden/>
          </w:rPr>
          <w:t>40</w:t>
        </w:r>
        <w:r w:rsidR="00E94A6F">
          <w:rPr>
            <w:noProof/>
            <w:webHidden/>
          </w:rPr>
          <w:fldChar w:fldCharType="end"/>
        </w:r>
      </w:hyperlink>
    </w:p>
    <w:p w14:paraId="796EB28F" w14:textId="0AA7A473" w:rsidR="00E94A6F" w:rsidRDefault="009573AC">
      <w:pPr>
        <w:pStyle w:val="Obsah2"/>
        <w:rPr>
          <w:rFonts w:asciiTheme="minorHAnsi" w:eastAsiaTheme="minorEastAsia" w:hAnsiTheme="minorHAnsi"/>
          <w:noProof/>
          <w:lang w:eastAsia="sk-SK"/>
        </w:rPr>
      </w:pPr>
      <w:hyperlink w:anchor="_Toc83651092" w:history="1">
        <w:r w:rsidR="00E94A6F" w:rsidRPr="00093BAB">
          <w:rPr>
            <w:rStyle w:val="Hypertextovprepojenie"/>
            <w:noProof/>
          </w:rPr>
          <w:t>7.2</w:t>
        </w:r>
        <w:r w:rsidR="00E94A6F">
          <w:rPr>
            <w:rFonts w:asciiTheme="minorHAnsi" w:eastAsiaTheme="minorEastAsia" w:hAnsiTheme="minorHAnsi"/>
            <w:noProof/>
            <w:lang w:eastAsia="sk-SK"/>
          </w:rPr>
          <w:tab/>
        </w:r>
        <w:r w:rsidR="00E94A6F" w:rsidRPr="00093BAB">
          <w:rPr>
            <w:rStyle w:val="Hypertextovprepojenie"/>
            <w:noProof/>
          </w:rPr>
          <w:t>Následné vyhodnotenie investičného projektu</w:t>
        </w:r>
        <w:r w:rsidR="00E94A6F">
          <w:rPr>
            <w:noProof/>
            <w:webHidden/>
          </w:rPr>
          <w:tab/>
        </w:r>
        <w:r w:rsidR="00E94A6F">
          <w:rPr>
            <w:noProof/>
            <w:webHidden/>
          </w:rPr>
          <w:fldChar w:fldCharType="begin"/>
        </w:r>
        <w:r w:rsidR="00E94A6F">
          <w:rPr>
            <w:noProof/>
            <w:webHidden/>
          </w:rPr>
          <w:instrText xml:space="preserve"> PAGEREF _Toc83651092 \h </w:instrText>
        </w:r>
        <w:r w:rsidR="00E94A6F">
          <w:rPr>
            <w:noProof/>
            <w:webHidden/>
          </w:rPr>
        </w:r>
        <w:r w:rsidR="00E94A6F">
          <w:rPr>
            <w:noProof/>
            <w:webHidden/>
          </w:rPr>
          <w:fldChar w:fldCharType="separate"/>
        </w:r>
        <w:r w:rsidR="00E94A6F">
          <w:rPr>
            <w:noProof/>
            <w:webHidden/>
          </w:rPr>
          <w:t>40</w:t>
        </w:r>
        <w:r w:rsidR="00E94A6F">
          <w:rPr>
            <w:noProof/>
            <w:webHidden/>
          </w:rPr>
          <w:fldChar w:fldCharType="end"/>
        </w:r>
      </w:hyperlink>
    </w:p>
    <w:p w14:paraId="26C515E8" w14:textId="7A9F8E0D" w:rsidR="00E94A6F" w:rsidRDefault="009573AC">
      <w:pPr>
        <w:pStyle w:val="Obsah1"/>
        <w:rPr>
          <w:rFonts w:asciiTheme="minorHAnsi" w:eastAsiaTheme="minorEastAsia" w:hAnsiTheme="minorHAnsi"/>
          <w:noProof/>
          <w:lang w:eastAsia="sk-SK"/>
        </w:rPr>
      </w:pPr>
      <w:hyperlink w:anchor="_Toc83651093" w:history="1">
        <w:r w:rsidR="00E94A6F" w:rsidRPr="00093BAB">
          <w:rPr>
            <w:rStyle w:val="Hypertextovprepojenie"/>
            <w:noProof/>
          </w:rPr>
          <w:t>8</w:t>
        </w:r>
        <w:r w:rsidR="00E94A6F">
          <w:rPr>
            <w:rFonts w:asciiTheme="minorHAnsi" w:eastAsiaTheme="minorEastAsia" w:hAnsiTheme="minorHAnsi"/>
            <w:noProof/>
            <w:lang w:eastAsia="sk-SK"/>
          </w:rPr>
          <w:tab/>
        </w:r>
        <w:r w:rsidR="00E94A6F" w:rsidRPr="00093BAB">
          <w:rPr>
            <w:rStyle w:val="Hypertextovprepojenie"/>
            <w:noProof/>
          </w:rPr>
          <w:t>Použité pojmy a skratky</w:t>
        </w:r>
        <w:r w:rsidR="00E94A6F">
          <w:rPr>
            <w:noProof/>
            <w:webHidden/>
          </w:rPr>
          <w:tab/>
        </w:r>
        <w:r w:rsidR="00E94A6F">
          <w:rPr>
            <w:noProof/>
            <w:webHidden/>
          </w:rPr>
          <w:fldChar w:fldCharType="begin"/>
        </w:r>
        <w:r w:rsidR="00E94A6F">
          <w:rPr>
            <w:noProof/>
            <w:webHidden/>
          </w:rPr>
          <w:instrText xml:space="preserve"> PAGEREF _Toc83651093 \h </w:instrText>
        </w:r>
        <w:r w:rsidR="00E94A6F">
          <w:rPr>
            <w:noProof/>
            <w:webHidden/>
          </w:rPr>
        </w:r>
        <w:r w:rsidR="00E94A6F">
          <w:rPr>
            <w:noProof/>
            <w:webHidden/>
          </w:rPr>
          <w:fldChar w:fldCharType="separate"/>
        </w:r>
        <w:r w:rsidR="00E94A6F">
          <w:rPr>
            <w:noProof/>
            <w:webHidden/>
          </w:rPr>
          <w:t>43</w:t>
        </w:r>
        <w:r w:rsidR="00E94A6F">
          <w:rPr>
            <w:noProof/>
            <w:webHidden/>
          </w:rPr>
          <w:fldChar w:fldCharType="end"/>
        </w:r>
      </w:hyperlink>
    </w:p>
    <w:p w14:paraId="71E625CB" w14:textId="4BAA0870" w:rsidR="00E94A6F" w:rsidRDefault="009573AC">
      <w:pPr>
        <w:pStyle w:val="Obsah2"/>
        <w:rPr>
          <w:rFonts w:asciiTheme="minorHAnsi" w:eastAsiaTheme="minorEastAsia" w:hAnsiTheme="minorHAnsi"/>
          <w:noProof/>
          <w:lang w:eastAsia="sk-SK"/>
        </w:rPr>
      </w:pPr>
      <w:hyperlink w:anchor="_Toc83651094" w:history="1">
        <w:r w:rsidR="00E94A6F" w:rsidRPr="00093BAB">
          <w:rPr>
            <w:rStyle w:val="Hypertextovprepojenie"/>
            <w:noProof/>
          </w:rPr>
          <w:t>8.1</w:t>
        </w:r>
        <w:r w:rsidR="00E94A6F">
          <w:rPr>
            <w:rFonts w:asciiTheme="minorHAnsi" w:eastAsiaTheme="minorEastAsia" w:hAnsiTheme="minorHAnsi"/>
            <w:noProof/>
            <w:lang w:eastAsia="sk-SK"/>
          </w:rPr>
          <w:tab/>
        </w:r>
        <w:r w:rsidR="00E94A6F" w:rsidRPr="00093BAB">
          <w:rPr>
            <w:rStyle w:val="Hypertextovprepojenie"/>
            <w:noProof/>
          </w:rPr>
          <w:t>Pojmy</w:t>
        </w:r>
        <w:r w:rsidR="00E94A6F">
          <w:rPr>
            <w:noProof/>
            <w:webHidden/>
          </w:rPr>
          <w:tab/>
        </w:r>
        <w:r w:rsidR="00E94A6F">
          <w:rPr>
            <w:noProof/>
            <w:webHidden/>
          </w:rPr>
          <w:fldChar w:fldCharType="begin"/>
        </w:r>
        <w:r w:rsidR="00E94A6F">
          <w:rPr>
            <w:noProof/>
            <w:webHidden/>
          </w:rPr>
          <w:instrText xml:space="preserve"> PAGEREF _Toc83651094 \h </w:instrText>
        </w:r>
        <w:r w:rsidR="00E94A6F">
          <w:rPr>
            <w:noProof/>
            <w:webHidden/>
          </w:rPr>
        </w:r>
        <w:r w:rsidR="00E94A6F">
          <w:rPr>
            <w:noProof/>
            <w:webHidden/>
          </w:rPr>
          <w:fldChar w:fldCharType="separate"/>
        </w:r>
        <w:r w:rsidR="00E94A6F">
          <w:rPr>
            <w:noProof/>
            <w:webHidden/>
          </w:rPr>
          <w:t>43</w:t>
        </w:r>
        <w:r w:rsidR="00E94A6F">
          <w:rPr>
            <w:noProof/>
            <w:webHidden/>
          </w:rPr>
          <w:fldChar w:fldCharType="end"/>
        </w:r>
      </w:hyperlink>
    </w:p>
    <w:p w14:paraId="2544C5A6" w14:textId="34506A65" w:rsidR="00E94A6F" w:rsidRDefault="009573AC">
      <w:pPr>
        <w:pStyle w:val="Obsah2"/>
        <w:rPr>
          <w:rFonts w:asciiTheme="minorHAnsi" w:eastAsiaTheme="minorEastAsia" w:hAnsiTheme="minorHAnsi"/>
          <w:noProof/>
          <w:lang w:eastAsia="sk-SK"/>
        </w:rPr>
      </w:pPr>
      <w:hyperlink w:anchor="_Toc83651095" w:history="1">
        <w:r w:rsidR="00E94A6F" w:rsidRPr="00093BAB">
          <w:rPr>
            <w:rStyle w:val="Hypertextovprepojenie"/>
            <w:noProof/>
          </w:rPr>
          <w:t>8.2</w:t>
        </w:r>
        <w:r w:rsidR="00E94A6F">
          <w:rPr>
            <w:rFonts w:asciiTheme="minorHAnsi" w:eastAsiaTheme="minorEastAsia" w:hAnsiTheme="minorHAnsi"/>
            <w:noProof/>
            <w:lang w:eastAsia="sk-SK"/>
          </w:rPr>
          <w:tab/>
        </w:r>
        <w:r w:rsidR="00E94A6F" w:rsidRPr="00093BAB">
          <w:rPr>
            <w:rStyle w:val="Hypertextovprepojenie"/>
            <w:noProof/>
          </w:rPr>
          <w:t>Skratky</w:t>
        </w:r>
        <w:r w:rsidR="00E94A6F">
          <w:rPr>
            <w:noProof/>
            <w:webHidden/>
          </w:rPr>
          <w:tab/>
        </w:r>
        <w:r w:rsidR="00E94A6F">
          <w:rPr>
            <w:noProof/>
            <w:webHidden/>
          </w:rPr>
          <w:fldChar w:fldCharType="begin"/>
        </w:r>
        <w:r w:rsidR="00E94A6F">
          <w:rPr>
            <w:noProof/>
            <w:webHidden/>
          </w:rPr>
          <w:instrText xml:space="preserve"> PAGEREF _Toc83651095 \h </w:instrText>
        </w:r>
        <w:r w:rsidR="00E94A6F">
          <w:rPr>
            <w:noProof/>
            <w:webHidden/>
          </w:rPr>
        </w:r>
        <w:r w:rsidR="00E94A6F">
          <w:rPr>
            <w:noProof/>
            <w:webHidden/>
          </w:rPr>
          <w:fldChar w:fldCharType="separate"/>
        </w:r>
        <w:r w:rsidR="00E94A6F">
          <w:rPr>
            <w:noProof/>
            <w:webHidden/>
          </w:rPr>
          <w:t>46</w:t>
        </w:r>
        <w:r w:rsidR="00E94A6F">
          <w:rPr>
            <w:noProof/>
            <w:webHidden/>
          </w:rPr>
          <w:fldChar w:fldCharType="end"/>
        </w:r>
      </w:hyperlink>
    </w:p>
    <w:p w14:paraId="5A5F302B" w14:textId="746A11ED" w:rsidR="00E94A6F" w:rsidRDefault="009573AC">
      <w:pPr>
        <w:pStyle w:val="Obsah1"/>
        <w:rPr>
          <w:rFonts w:asciiTheme="minorHAnsi" w:eastAsiaTheme="minorEastAsia" w:hAnsiTheme="minorHAnsi"/>
          <w:noProof/>
          <w:lang w:eastAsia="sk-SK"/>
        </w:rPr>
      </w:pPr>
      <w:hyperlink w:anchor="_Toc83651096" w:history="1">
        <w:r w:rsidR="00E94A6F" w:rsidRPr="00093BAB">
          <w:rPr>
            <w:rStyle w:val="Hypertextovprepojenie"/>
            <w:noProof/>
          </w:rPr>
          <w:t>9</w:t>
        </w:r>
        <w:r w:rsidR="00E94A6F">
          <w:rPr>
            <w:rFonts w:asciiTheme="minorHAnsi" w:eastAsiaTheme="minorEastAsia" w:hAnsiTheme="minorHAnsi"/>
            <w:noProof/>
            <w:lang w:eastAsia="sk-SK"/>
          </w:rPr>
          <w:tab/>
        </w:r>
        <w:r w:rsidR="00E94A6F" w:rsidRPr="00093BAB">
          <w:rPr>
            <w:rStyle w:val="Hypertextovprepojenie"/>
            <w:noProof/>
          </w:rPr>
          <w:t>Prílohy</w:t>
        </w:r>
        <w:r w:rsidR="00E94A6F">
          <w:rPr>
            <w:noProof/>
            <w:webHidden/>
          </w:rPr>
          <w:tab/>
        </w:r>
        <w:r w:rsidR="00E94A6F">
          <w:rPr>
            <w:noProof/>
            <w:webHidden/>
          </w:rPr>
          <w:fldChar w:fldCharType="begin"/>
        </w:r>
        <w:r w:rsidR="00E94A6F">
          <w:rPr>
            <w:noProof/>
            <w:webHidden/>
          </w:rPr>
          <w:instrText xml:space="preserve"> PAGEREF _Toc83651096 \h </w:instrText>
        </w:r>
        <w:r w:rsidR="00E94A6F">
          <w:rPr>
            <w:noProof/>
            <w:webHidden/>
          </w:rPr>
        </w:r>
        <w:r w:rsidR="00E94A6F">
          <w:rPr>
            <w:noProof/>
            <w:webHidden/>
          </w:rPr>
          <w:fldChar w:fldCharType="separate"/>
        </w:r>
        <w:r w:rsidR="00E94A6F">
          <w:rPr>
            <w:noProof/>
            <w:webHidden/>
          </w:rPr>
          <w:t>48</w:t>
        </w:r>
        <w:r w:rsidR="00E94A6F">
          <w:rPr>
            <w:noProof/>
            <w:webHidden/>
          </w:rPr>
          <w:fldChar w:fldCharType="end"/>
        </w:r>
      </w:hyperlink>
    </w:p>
    <w:p w14:paraId="25A67619" w14:textId="58289E9D" w:rsidR="00111294" w:rsidRPr="005C2CEC" w:rsidRDefault="000879FC" w:rsidP="00DF5430">
      <w:r w:rsidRPr="005C2CEC">
        <w:fldChar w:fldCharType="end"/>
      </w:r>
      <w:r w:rsidRPr="005C2CEC">
        <w:br w:type="page"/>
      </w:r>
    </w:p>
    <w:p w14:paraId="5B22A660" w14:textId="237F0802" w:rsidR="00111294" w:rsidRPr="005C2CEC" w:rsidRDefault="00111294" w:rsidP="0011164D">
      <w:pPr>
        <w:pStyle w:val="Nadpis3"/>
        <w:numPr>
          <w:ilvl w:val="0"/>
          <w:numId w:val="0"/>
        </w:numPr>
        <w:ind w:left="720" w:hanging="720"/>
        <w:rPr>
          <w:color w:val="auto"/>
          <w:sz w:val="32"/>
        </w:rPr>
      </w:pPr>
      <w:r w:rsidRPr="005C2CEC">
        <w:rPr>
          <w:b/>
          <w:color w:val="auto"/>
          <w:sz w:val="32"/>
        </w:rPr>
        <w:lastRenderedPageBreak/>
        <w:t>Zoznam</w:t>
      </w:r>
      <w:r w:rsidR="00F56E89" w:rsidRPr="005C2CEC">
        <w:rPr>
          <w:b/>
          <w:color w:val="auto"/>
          <w:sz w:val="32"/>
        </w:rPr>
        <w:t xml:space="preserve"> </w:t>
      </w:r>
      <w:r w:rsidR="00487A5D" w:rsidRPr="005C2CEC">
        <w:rPr>
          <w:b/>
          <w:color w:val="auto"/>
          <w:sz w:val="32"/>
        </w:rPr>
        <w:t>schém</w:t>
      </w:r>
      <w:r w:rsidR="005571A7" w:rsidRPr="005C2CEC">
        <w:rPr>
          <w:b/>
          <w:color w:val="auto"/>
          <w:sz w:val="32"/>
        </w:rPr>
        <w:t xml:space="preserve"> a</w:t>
      </w:r>
      <w:r w:rsidR="004806FF" w:rsidRPr="005C2CEC">
        <w:rPr>
          <w:b/>
          <w:color w:val="auto"/>
          <w:sz w:val="32"/>
        </w:rPr>
        <w:t> </w:t>
      </w:r>
      <w:r w:rsidR="005571A7" w:rsidRPr="005C2CEC">
        <w:rPr>
          <w:b/>
          <w:color w:val="auto"/>
          <w:sz w:val="32"/>
        </w:rPr>
        <w:t>tabuliek</w:t>
      </w:r>
    </w:p>
    <w:p w14:paraId="1F3EE893" w14:textId="16447D23" w:rsidR="00E94A6F" w:rsidRDefault="00487A5D">
      <w:pPr>
        <w:pStyle w:val="Zoznamobrzkov"/>
        <w:tabs>
          <w:tab w:val="right" w:leader="dot" w:pos="9062"/>
        </w:tabs>
        <w:rPr>
          <w:rFonts w:asciiTheme="minorHAnsi" w:eastAsiaTheme="minorEastAsia" w:hAnsiTheme="minorHAnsi"/>
          <w:noProof/>
          <w:lang w:eastAsia="sk-SK"/>
        </w:rPr>
      </w:pPr>
      <w:r w:rsidRPr="005C2CEC">
        <w:fldChar w:fldCharType="begin"/>
      </w:r>
      <w:r w:rsidRPr="005C2CEC">
        <w:instrText xml:space="preserve"> TOC \h \z \c "Schéma" </w:instrText>
      </w:r>
      <w:r w:rsidRPr="005C2CEC">
        <w:fldChar w:fldCharType="separate"/>
      </w:r>
      <w:hyperlink w:anchor="_Toc83651097" w:history="1">
        <w:r w:rsidR="00E94A6F" w:rsidRPr="00F330E7">
          <w:rPr>
            <w:rStyle w:val="Hypertextovprepojenie"/>
            <w:noProof/>
          </w:rPr>
          <w:t>Schéma 1: Proces riadenia verejných investícií pre projekty nad ustanovenou hranicou</w:t>
        </w:r>
        <w:r w:rsidR="00E94A6F">
          <w:rPr>
            <w:noProof/>
            <w:webHidden/>
          </w:rPr>
          <w:tab/>
        </w:r>
        <w:r w:rsidR="00E94A6F">
          <w:rPr>
            <w:noProof/>
            <w:webHidden/>
          </w:rPr>
          <w:fldChar w:fldCharType="begin"/>
        </w:r>
        <w:r w:rsidR="00E94A6F">
          <w:rPr>
            <w:noProof/>
            <w:webHidden/>
          </w:rPr>
          <w:instrText xml:space="preserve"> PAGEREF _Toc83651097 \h </w:instrText>
        </w:r>
        <w:r w:rsidR="00E94A6F">
          <w:rPr>
            <w:noProof/>
            <w:webHidden/>
          </w:rPr>
        </w:r>
        <w:r w:rsidR="00E94A6F">
          <w:rPr>
            <w:noProof/>
            <w:webHidden/>
          </w:rPr>
          <w:fldChar w:fldCharType="separate"/>
        </w:r>
        <w:r w:rsidR="00E94A6F">
          <w:rPr>
            <w:noProof/>
            <w:webHidden/>
          </w:rPr>
          <w:t>7</w:t>
        </w:r>
        <w:r w:rsidR="00E94A6F">
          <w:rPr>
            <w:noProof/>
            <w:webHidden/>
          </w:rPr>
          <w:fldChar w:fldCharType="end"/>
        </w:r>
      </w:hyperlink>
    </w:p>
    <w:p w14:paraId="4B6D06B3" w14:textId="45E67E34" w:rsidR="00E94A6F" w:rsidRDefault="009573AC">
      <w:pPr>
        <w:pStyle w:val="Zoznamobrzkov"/>
        <w:tabs>
          <w:tab w:val="right" w:leader="dot" w:pos="9062"/>
        </w:tabs>
        <w:rPr>
          <w:rFonts w:asciiTheme="minorHAnsi" w:eastAsiaTheme="minorEastAsia" w:hAnsiTheme="minorHAnsi"/>
          <w:noProof/>
          <w:lang w:eastAsia="sk-SK"/>
        </w:rPr>
      </w:pPr>
      <w:hyperlink w:anchor="_Toc83651098" w:history="1">
        <w:r w:rsidR="00E94A6F" w:rsidRPr="00F330E7">
          <w:rPr>
            <w:rStyle w:val="Hypertextovprepojenie"/>
            <w:noProof/>
          </w:rPr>
          <w:t>Schéma 2: Proces riadenia verejných investícií s hodnotou pod ustanovenou hranicou</w:t>
        </w:r>
        <w:r w:rsidR="00E94A6F">
          <w:rPr>
            <w:noProof/>
            <w:webHidden/>
          </w:rPr>
          <w:tab/>
        </w:r>
        <w:r w:rsidR="00E94A6F">
          <w:rPr>
            <w:noProof/>
            <w:webHidden/>
          </w:rPr>
          <w:fldChar w:fldCharType="begin"/>
        </w:r>
        <w:r w:rsidR="00E94A6F">
          <w:rPr>
            <w:noProof/>
            <w:webHidden/>
          </w:rPr>
          <w:instrText xml:space="preserve"> PAGEREF _Toc83651098 \h </w:instrText>
        </w:r>
        <w:r w:rsidR="00E94A6F">
          <w:rPr>
            <w:noProof/>
            <w:webHidden/>
          </w:rPr>
        </w:r>
        <w:r w:rsidR="00E94A6F">
          <w:rPr>
            <w:noProof/>
            <w:webHidden/>
          </w:rPr>
          <w:fldChar w:fldCharType="separate"/>
        </w:r>
        <w:r w:rsidR="00E94A6F">
          <w:rPr>
            <w:noProof/>
            <w:webHidden/>
          </w:rPr>
          <w:t>7</w:t>
        </w:r>
        <w:r w:rsidR="00E94A6F">
          <w:rPr>
            <w:noProof/>
            <w:webHidden/>
          </w:rPr>
          <w:fldChar w:fldCharType="end"/>
        </w:r>
      </w:hyperlink>
    </w:p>
    <w:p w14:paraId="30A6DCD1" w14:textId="2D2E5C45" w:rsidR="00E94A6F" w:rsidRDefault="009573AC">
      <w:pPr>
        <w:pStyle w:val="Zoznamobrzkov"/>
        <w:tabs>
          <w:tab w:val="right" w:leader="dot" w:pos="9062"/>
        </w:tabs>
        <w:rPr>
          <w:rFonts w:asciiTheme="minorHAnsi" w:eastAsiaTheme="minorEastAsia" w:hAnsiTheme="minorHAnsi"/>
          <w:noProof/>
          <w:lang w:eastAsia="sk-SK"/>
        </w:rPr>
      </w:pPr>
      <w:hyperlink w:anchor="_Toc83651099" w:history="1">
        <w:r w:rsidR="00E94A6F" w:rsidRPr="00F330E7">
          <w:rPr>
            <w:rStyle w:val="Hypertextovprepojenie"/>
            <w:noProof/>
          </w:rPr>
          <w:t>Schéma 3: Proces strategického plánovania verejných investičných projektov</w:t>
        </w:r>
        <w:r w:rsidR="00E94A6F">
          <w:rPr>
            <w:noProof/>
            <w:webHidden/>
          </w:rPr>
          <w:tab/>
        </w:r>
        <w:r w:rsidR="00E94A6F">
          <w:rPr>
            <w:noProof/>
            <w:webHidden/>
          </w:rPr>
          <w:fldChar w:fldCharType="begin"/>
        </w:r>
        <w:r w:rsidR="00E94A6F">
          <w:rPr>
            <w:noProof/>
            <w:webHidden/>
          </w:rPr>
          <w:instrText xml:space="preserve"> PAGEREF _Toc83651099 \h </w:instrText>
        </w:r>
        <w:r w:rsidR="00E94A6F">
          <w:rPr>
            <w:noProof/>
            <w:webHidden/>
          </w:rPr>
        </w:r>
        <w:r w:rsidR="00E94A6F">
          <w:rPr>
            <w:noProof/>
            <w:webHidden/>
          </w:rPr>
          <w:fldChar w:fldCharType="separate"/>
        </w:r>
        <w:r w:rsidR="00E94A6F">
          <w:rPr>
            <w:noProof/>
            <w:webHidden/>
          </w:rPr>
          <w:t>11</w:t>
        </w:r>
        <w:r w:rsidR="00E94A6F">
          <w:rPr>
            <w:noProof/>
            <w:webHidden/>
          </w:rPr>
          <w:fldChar w:fldCharType="end"/>
        </w:r>
      </w:hyperlink>
    </w:p>
    <w:p w14:paraId="0C7204F6" w14:textId="3D9550F2" w:rsidR="00E94A6F" w:rsidRDefault="009573AC">
      <w:pPr>
        <w:pStyle w:val="Zoznamobrzkov"/>
        <w:tabs>
          <w:tab w:val="right" w:leader="dot" w:pos="9062"/>
        </w:tabs>
        <w:rPr>
          <w:rFonts w:asciiTheme="minorHAnsi" w:eastAsiaTheme="minorEastAsia" w:hAnsiTheme="minorHAnsi"/>
          <w:noProof/>
          <w:lang w:eastAsia="sk-SK"/>
        </w:rPr>
      </w:pPr>
      <w:hyperlink w:anchor="_Toc83651100" w:history="1">
        <w:r w:rsidR="00E94A6F" w:rsidRPr="00F330E7">
          <w:rPr>
            <w:rStyle w:val="Hypertextovprepojenie"/>
            <w:noProof/>
          </w:rPr>
          <w:t>Schéma 4: Príklad ohodnotenia priorít na základe ukazovateľa DALY a YLD</w:t>
        </w:r>
        <w:r w:rsidR="00E94A6F">
          <w:rPr>
            <w:noProof/>
            <w:webHidden/>
          </w:rPr>
          <w:tab/>
        </w:r>
        <w:r w:rsidR="00E94A6F">
          <w:rPr>
            <w:noProof/>
            <w:webHidden/>
          </w:rPr>
          <w:fldChar w:fldCharType="begin"/>
        </w:r>
        <w:r w:rsidR="00E94A6F">
          <w:rPr>
            <w:noProof/>
            <w:webHidden/>
          </w:rPr>
          <w:instrText xml:space="preserve"> PAGEREF _Toc83651100 \h </w:instrText>
        </w:r>
        <w:r w:rsidR="00E94A6F">
          <w:rPr>
            <w:noProof/>
            <w:webHidden/>
          </w:rPr>
        </w:r>
        <w:r w:rsidR="00E94A6F">
          <w:rPr>
            <w:noProof/>
            <w:webHidden/>
          </w:rPr>
          <w:fldChar w:fldCharType="separate"/>
        </w:r>
        <w:r w:rsidR="00E94A6F">
          <w:rPr>
            <w:noProof/>
            <w:webHidden/>
          </w:rPr>
          <w:t>17</w:t>
        </w:r>
        <w:r w:rsidR="00E94A6F">
          <w:rPr>
            <w:noProof/>
            <w:webHidden/>
          </w:rPr>
          <w:fldChar w:fldCharType="end"/>
        </w:r>
      </w:hyperlink>
    </w:p>
    <w:p w14:paraId="0D350C57" w14:textId="243AA545" w:rsidR="00E94A6F" w:rsidRDefault="009573AC">
      <w:pPr>
        <w:pStyle w:val="Zoznamobrzkov"/>
        <w:tabs>
          <w:tab w:val="right" w:leader="dot" w:pos="9062"/>
        </w:tabs>
        <w:rPr>
          <w:rFonts w:asciiTheme="minorHAnsi" w:eastAsiaTheme="minorEastAsia" w:hAnsiTheme="minorHAnsi"/>
          <w:noProof/>
          <w:lang w:eastAsia="sk-SK"/>
        </w:rPr>
      </w:pPr>
      <w:hyperlink w:anchor="_Toc83651101" w:history="1">
        <w:r w:rsidR="00E94A6F" w:rsidRPr="00F330E7">
          <w:rPr>
            <w:rStyle w:val="Hypertextovprepojenie"/>
            <w:noProof/>
          </w:rPr>
          <w:t>Schéma 5: Postup pri príprave investičných projektov s hodnotou nad ustanovenou hranicou</w:t>
        </w:r>
        <w:r w:rsidR="00E94A6F">
          <w:rPr>
            <w:noProof/>
            <w:webHidden/>
          </w:rPr>
          <w:tab/>
        </w:r>
        <w:r w:rsidR="00E94A6F">
          <w:rPr>
            <w:noProof/>
            <w:webHidden/>
          </w:rPr>
          <w:fldChar w:fldCharType="begin"/>
        </w:r>
        <w:r w:rsidR="00E94A6F">
          <w:rPr>
            <w:noProof/>
            <w:webHidden/>
          </w:rPr>
          <w:instrText xml:space="preserve"> PAGEREF _Toc83651101 \h </w:instrText>
        </w:r>
        <w:r w:rsidR="00E94A6F">
          <w:rPr>
            <w:noProof/>
            <w:webHidden/>
          </w:rPr>
        </w:r>
        <w:r w:rsidR="00E94A6F">
          <w:rPr>
            <w:noProof/>
            <w:webHidden/>
          </w:rPr>
          <w:fldChar w:fldCharType="separate"/>
        </w:r>
        <w:r w:rsidR="00E94A6F">
          <w:rPr>
            <w:noProof/>
            <w:webHidden/>
          </w:rPr>
          <w:t>22</w:t>
        </w:r>
        <w:r w:rsidR="00E94A6F">
          <w:rPr>
            <w:noProof/>
            <w:webHidden/>
          </w:rPr>
          <w:fldChar w:fldCharType="end"/>
        </w:r>
      </w:hyperlink>
    </w:p>
    <w:p w14:paraId="47271735" w14:textId="572495DF" w:rsidR="00E94A6F" w:rsidRDefault="009573AC">
      <w:pPr>
        <w:pStyle w:val="Zoznamobrzkov"/>
        <w:tabs>
          <w:tab w:val="right" w:leader="dot" w:pos="9062"/>
        </w:tabs>
        <w:rPr>
          <w:rFonts w:asciiTheme="minorHAnsi" w:eastAsiaTheme="minorEastAsia" w:hAnsiTheme="minorHAnsi"/>
          <w:noProof/>
          <w:lang w:eastAsia="sk-SK"/>
        </w:rPr>
      </w:pPr>
      <w:hyperlink w:anchor="_Toc83651102" w:history="1">
        <w:r w:rsidR="00E94A6F" w:rsidRPr="00F330E7">
          <w:rPr>
            <w:rStyle w:val="Hypertextovprepojenie"/>
            <w:noProof/>
          </w:rPr>
          <w:t>Schéma 6: Prehľad existujúcich a pripravovaných sektorových investičných metodík</w:t>
        </w:r>
        <w:r w:rsidR="00E94A6F">
          <w:rPr>
            <w:noProof/>
            <w:webHidden/>
          </w:rPr>
          <w:tab/>
        </w:r>
        <w:r w:rsidR="00E94A6F">
          <w:rPr>
            <w:noProof/>
            <w:webHidden/>
          </w:rPr>
          <w:fldChar w:fldCharType="begin"/>
        </w:r>
        <w:r w:rsidR="00E94A6F">
          <w:rPr>
            <w:noProof/>
            <w:webHidden/>
          </w:rPr>
          <w:instrText xml:space="preserve"> PAGEREF _Toc83651102 \h </w:instrText>
        </w:r>
        <w:r w:rsidR="00E94A6F">
          <w:rPr>
            <w:noProof/>
            <w:webHidden/>
          </w:rPr>
        </w:r>
        <w:r w:rsidR="00E94A6F">
          <w:rPr>
            <w:noProof/>
            <w:webHidden/>
          </w:rPr>
          <w:fldChar w:fldCharType="separate"/>
        </w:r>
        <w:r w:rsidR="00E94A6F">
          <w:rPr>
            <w:noProof/>
            <w:webHidden/>
          </w:rPr>
          <w:t>25</w:t>
        </w:r>
        <w:r w:rsidR="00E94A6F">
          <w:rPr>
            <w:noProof/>
            <w:webHidden/>
          </w:rPr>
          <w:fldChar w:fldCharType="end"/>
        </w:r>
      </w:hyperlink>
    </w:p>
    <w:p w14:paraId="41B22F89" w14:textId="64DC7874" w:rsidR="00E94A6F" w:rsidRDefault="009573AC">
      <w:pPr>
        <w:pStyle w:val="Zoznamobrzkov"/>
        <w:tabs>
          <w:tab w:val="right" w:leader="dot" w:pos="9062"/>
        </w:tabs>
        <w:rPr>
          <w:rFonts w:asciiTheme="minorHAnsi" w:eastAsiaTheme="minorEastAsia" w:hAnsiTheme="minorHAnsi"/>
          <w:noProof/>
          <w:lang w:eastAsia="sk-SK"/>
        </w:rPr>
      </w:pPr>
      <w:hyperlink w:anchor="_Toc83651103" w:history="1">
        <w:r w:rsidR="00E94A6F" w:rsidRPr="00F330E7">
          <w:rPr>
            <w:rStyle w:val="Hypertextovprepojenie"/>
            <w:noProof/>
          </w:rPr>
          <w:t>Schéma 7: Proces prípravy projektovej dokumentácie pre investičný projekt v oblasti dopravy</w:t>
        </w:r>
        <w:r w:rsidR="00E94A6F">
          <w:rPr>
            <w:noProof/>
            <w:webHidden/>
          </w:rPr>
          <w:tab/>
        </w:r>
        <w:r w:rsidR="00E94A6F">
          <w:rPr>
            <w:noProof/>
            <w:webHidden/>
          </w:rPr>
          <w:fldChar w:fldCharType="begin"/>
        </w:r>
        <w:r w:rsidR="00E94A6F">
          <w:rPr>
            <w:noProof/>
            <w:webHidden/>
          </w:rPr>
          <w:instrText xml:space="preserve"> PAGEREF _Toc83651103 \h </w:instrText>
        </w:r>
        <w:r w:rsidR="00E94A6F">
          <w:rPr>
            <w:noProof/>
            <w:webHidden/>
          </w:rPr>
        </w:r>
        <w:r w:rsidR="00E94A6F">
          <w:rPr>
            <w:noProof/>
            <w:webHidden/>
          </w:rPr>
          <w:fldChar w:fldCharType="separate"/>
        </w:r>
        <w:r w:rsidR="00E94A6F">
          <w:rPr>
            <w:noProof/>
            <w:webHidden/>
          </w:rPr>
          <w:t>31</w:t>
        </w:r>
        <w:r w:rsidR="00E94A6F">
          <w:rPr>
            <w:noProof/>
            <w:webHidden/>
          </w:rPr>
          <w:fldChar w:fldCharType="end"/>
        </w:r>
      </w:hyperlink>
    </w:p>
    <w:p w14:paraId="6BD66818" w14:textId="3A52502C" w:rsidR="00E94A6F" w:rsidRDefault="009573AC">
      <w:pPr>
        <w:pStyle w:val="Zoznamobrzkov"/>
        <w:tabs>
          <w:tab w:val="right" w:leader="dot" w:pos="9062"/>
        </w:tabs>
        <w:rPr>
          <w:rFonts w:asciiTheme="minorHAnsi" w:eastAsiaTheme="minorEastAsia" w:hAnsiTheme="minorHAnsi"/>
          <w:noProof/>
          <w:lang w:eastAsia="sk-SK"/>
        </w:rPr>
      </w:pPr>
      <w:hyperlink w:anchor="_Toc83651104" w:history="1">
        <w:r w:rsidR="00E94A6F" w:rsidRPr="00F330E7">
          <w:rPr>
            <w:rStyle w:val="Hypertextovprepojenie"/>
            <w:noProof/>
          </w:rPr>
          <w:t>Schéma 8: Hodnotenie investičného projektu pod ustanovenou hranicou</w:t>
        </w:r>
        <w:r w:rsidR="00E94A6F">
          <w:rPr>
            <w:noProof/>
            <w:webHidden/>
          </w:rPr>
          <w:tab/>
        </w:r>
        <w:r w:rsidR="00E94A6F">
          <w:rPr>
            <w:noProof/>
            <w:webHidden/>
          </w:rPr>
          <w:fldChar w:fldCharType="begin"/>
        </w:r>
        <w:r w:rsidR="00E94A6F">
          <w:rPr>
            <w:noProof/>
            <w:webHidden/>
          </w:rPr>
          <w:instrText xml:space="preserve"> PAGEREF _Toc83651104 \h </w:instrText>
        </w:r>
        <w:r w:rsidR="00E94A6F">
          <w:rPr>
            <w:noProof/>
            <w:webHidden/>
          </w:rPr>
        </w:r>
        <w:r w:rsidR="00E94A6F">
          <w:rPr>
            <w:noProof/>
            <w:webHidden/>
          </w:rPr>
          <w:fldChar w:fldCharType="separate"/>
        </w:r>
        <w:r w:rsidR="00E94A6F">
          <w:rPr>
            <w:noProof/>
            <w:webHidden/>
          </w:rPr>
          <w:t>34</w:t>
        </w:r>
        <w:r w:rsidR="00E94A6F">
          <w:rPr>
            <w:noProof/>
            <w:webHidden/>
          </w:rPr>
          <w:fldChar w:fldCharType="end"/>
        </w:r>
      </w:hyperlink>
    </w:p>
    <w:p w14:paraId="1B644BF2" w14:textId="6D5ADA1C" w:rsidR="00E94A6F" w:rsidRDefault="009573AC">
      <w:pPr>
        <w:pStyle w:val="Zoznamobrzkov"/>
        <w:tabs>
          <w:tab w:val="right" w:leader="dot" w:pos="9062"/>
        </w:tabs>
        <w:rPr>
          <w:rFonts w:asciiTheme="minorHAnsi" w:eastAsiaTheme="minorEastAsia" w:hAnsiTheme="minorHAnsi"/>
          <w:noProof/>
          <w:lang w:eastAsia="sk-SK"/>
        </w:rPr>
      </w:pPr>
      <w:hyperlink w:anchor="_Toc83651105" w:history="1">
        <w:r w:rsidR="00E94A6F" w:rsidRPr="00F330E7">
          <w:rPr>
            <w:rStyle w:val="Hypertextovprepojenie"/>
            <w:noProof/>
          </w:rPr>
          <w:t>Schéma 9: Hodnotenie investičného projektu nad ustanovenou hranicou</w:t>
        </w:r>
        <w:r w:rsidR="00E94A6F">
          <w:rPr>
            <w:noProof/>
            <w:webHidden/>
          </w:rPr>
          <w:tab/>
        </w:r>
        <w:r w:rsidR="00E94A6F">
          <w:rPr>
            <w:noProof/>
            <w:webHidden/>
          </w:rPr>
          <w:fldChar w:fldCharType="begin"/>
        </w:r>
        <w:r w:rsidR="00E94A6F">
          <w:rPr>
            <w:noProof/>
            <w:webHidden/>
          </w:rPr>
          <w:instrText xml:space="preserve"> PAGEREF _Toc83651105 \h </w:instrText>
        </w:r>
        <w:r w:rsidR="00E94A6F">
          <w:rPr>
            <w:noProof/>
            <w:webHidden/>
          </w:rPr>
        </w:r>
        <w:r w:rsidR="00E94A6F">
          <w:rPr>
            <w:noProof/>
            <w:webHidden/>
          </w:rPr>
          <w:fldChar w:fldCharType="separate"/>
        </w:r>
        <w:r w:rsidR="00E94A6F">
          <w:rPr>
            <w:noProof/>
            <w:webHidden/>
          </w:rPr>
          <w:t>36</w:t>
        </w:r>
        <w:r w:rsidR="00E94A6F">
          <w:rPr>
            <w:noProof/>
            <w:webHidden/>
          </w:rPr>
          <w:fldChar w:fldCharType="end"/>
        </w:r>
      </w:hyperlink>
    </w:p>
    <w:p w14:paraId="761C132F" w14:textId="48311D54" w:rsidR="00594E44" w:rsidRDefault="00487A5D">
      <w:pPr>
        <w:pStyle w:val="Zoznamobrzkov"/>
        <w:tabs>
          <w:tab w:val="right" w:leader="dot" w:pos="9062"/>
        </w:tabs>
      </w:pPr>
      <w:r w:rsidRPr="005C2CEC">
        <w:fldChar w:fldCharType="end"/>
      </w:r>
    </w:p>
    <w:p w14:paraId="17E7717D" w14:textId="2D73F5C2" w:rsidR="00E94A6F" w:rsidRDefault="00111294">
      <w:pPr>
        <w:pStyle w:val="Zoznamobrzkov"/>
        <w:tabs>
          <w:tab w:val="right" w:leader="dot" w:pos="9062"/>
        </w:tabs>
        <w:rPr>
          <w:rFonts w:asciiTheme="minorHAnsi" w:eastAsiaTheme="minorEastAsia" w:hAnsiTheme="minorHAnsi"/>
          <w:noProof/>
          <w:lang w:eastAsia="sk-SK"/>
        </w:rPr>
      </w:pPr>
      <w:r w:rsidRPr="005C2CEC">
        <w:fldChar w:fldCharType="begin"/>
      </w:r>
      <w:r w:rsidRPr="005C2CEC">
        <w:instrText xml:space="preserve"> TOC \h \z \c "Tabuľka" </w:instrText>
      </w:r>
      <w:r w:rsidRPr="005C2CEC">
        <w:fldChar w:fldCharType="separate"/>
      </w:r>
      <w:bookmarkStart w:id="0" w:name="_Toc75874986"/>
      <w:bookmarkStart w:id="1" w:name="_Toc75270640"/>
      <w:bookmarkStart w:id="2" w:name="_Toc74932157"/>
      <w:bookmarkStart w:id="3" w:name="_Toc74926130"/>
      <w:bookmarkStart w:id="4" w:name="_Toc75874985"/>
      <w:bookmarkStart w:id="5" w:name="_Toc75270639"/>
      <w:bookmarkStart w:id="6" w:name="_Toc74932156"/>
      <w:bookmarkStart w:id="7" w:name="_Toc74926129"/>
      <w:bookmarkStart w:id="8" w:name="_Toc75874984"/>
      <w:bookmarkStart w:id="9" w:name="_Toc75270638"/>
      <w:bookmarkStart w:id="10" w:name="_Toc74932155"/>
      <w:bookmarkStart w:id="11" w:name="_Toc74926128"/>
      <w:bookmarkStart w:id="12" w:name="_Toc75874983"/>
      <w:bookmarkStart w:id="13" w:name="_Toc75270637"/>
      <w:bookmarkStart w:id="14" w:name="_Toc74932154"/>
      <w:bookmarkStart w:id="15" w:name="_Toc74926127"/>
      <w:bookmarkStart w:id="16" w:name="_Toc75874982"/>
      <w:bookmarkStart w:id="17" w:name="_Toc75270636"/>
      <w:bookmarkStart w:id="18" w:name="_Toc74932153"/>
      <w:bookmarkStart w:id="19" w:name="_Toc74926126"/>
      <w:bookmarkStart w:id="20" w:name="_Toc75874981"/>
      <w:bookmarkStart w:id="21" w:name="_Toc75270635"/>
      <w:bookmarkStart w:id="22" w:name="_Toc74932152"/>
      <w:bookmarkStart w:id="23" w:name="_Toc74926125"/>
      <w:bookmarkStart w:id="24" w:name="_Toc75874980"/>
      <w:bookmarkStart w:id="25" w:name="_Toc75270634"/>
      <w:bookmarkStart w:id="26" w:name="_Toc74932151"/>
      <w:bookmarkStart w:id="27" w:name="_Toc74926124"/>
      <w:bookmarkStart w:id="28" w:name="_Toc75874979"/>
      <w:bookmarkStart w:id="29" w:name="_Toc75270633"/>
      <w:bookmarkStart w:id="30" w:name="_Toc74932150"/>
      <w:bookmarkStart w:id="31" w:name="_Toc74926123"/>
      <w:bookmarkStart w:id="32" w:name="_Toc75874978"/>
      <w:bookmarkStart w:id="33" w:name="_Toc75270632"/>
      <w:bookmarkStart w:id="34" w:name="_Toc74932149"/>
      <w:bookmarkStart w:id="35" w:name="_Toc74926122"/>
      <w:bookmarkStart w:id="36" w:name="_Toc75874977"/>
      <w:bookmarkStart w:id="37" w:name="_Toc75270631"/>
      <w:bookmarkStart w:id="38" w:name="_Toc74932148"/>
      <w:bookmarkStart w:id="39" w:name="_Toc74926121"/>
      <w:bookmarkStart w:id="40" w:name="_Toc75874976"/>
      <w:bookmarkStart w:id="41" w:name="_Toc75270630"/>
      <w:bookmarkStart w:id="42" w:name="_Toc74932147"/>
      <w:bookmarkStart w:id="43" w:name="_Toc74926120"/>
      <w:bookmarkStart w:id="44" w:name="_Toc75874975"/>
      <w:bookmarkStart w:id="45" w:name="_Toc75270629"/>
      <w:bookmarkStart w:id="46" w:name="_Toc74932146"/>
      <w:bookmarkStart w:id="47" w:name="_Toc74926119"/>
      <w:bookmarkStart w:id="48" w:name="_Toc75874974"/>
      <w:bookmarkStart w:id="49" w:name="_Toc75270628"/>
      <w:bookmarkStart w:id="50" w:name="_Toc74932145"/>
      <w:bookmarkStart w:id="51" w:name="_Toc74926118"/>
      <w:bookmarkStart w:id="52" w:name="_Toc75874973"/>
      <w:bookmarkStart w:id="53" w:name="_Toc75270627"/>
      <w:bookmarkStart w:id="54" w:name="_Toc74932144"/>
      <w:bookmarkStart w:id="55" w:name="_Toc74926117"/>
      <w:bookmarkStart w:id="56" w:name="_Toc75874972"/>
      <w:bookmarkStart w:id="57" w:name="_Toc75270626"/>
      <w:bookmarkStart w:id="58" w:name="_Toc74932143"/>
      <w:bookmarkStart w:id="59" w:name="_Toc74926116"/>
      <w:bookmarkStart w:id="60" w:name="_Toc75874971"/>
      <w:bookmarkStart w:id="61" w:name="_Toc75270625"/>
      <w:bookmarkStart w:id="62" w:name="_Toc74932142"/>
      <w:bookmarkStart w:id="63" w:name="_Toc75874970"/>
      <w:bookmarkStart w:id="64" w:name="_Toc75270624"/>
      <w:bookmarkStart w:id="65" w:name="_Toc74932141"/>
      <w:bookmarkStart w:id="66" w:name="_Toc75874969"/>
      <w:bookmarkStart w:id="67" w:name="_Toc75270623"/>
      <w:bookmarkStart w:id="68" w:name="_Toc75874968"/>
      <w:bookmarkStart w:id="69" w:name="_Toc75270622"/>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r w:rsidR="00E94A6F" w:rsidRPr="00011C35">
        <w:rPr>
          <w:rStyle w:val="Hypertextovprepojenie"/>
          <w:noProof/>
        </w:rPr>
        <w:fldChar w:fldCharType="begin"/>
      </w:r>
      <w:r w:rsidR="00E94A6F" w:rsidRPr="00011C35">
        <w:rPr>
          <w:rStyle w:val="Hypertextovprepojenie"/>
          <w:noProof/>
        </w:rPr>
        <w:instrText xml:space="preserve"> </w:instrText>
      </w:r>
      <w:r w:rsidR="00E94A6F">
        <w:rPr>
          <w:noProof/>
        </w:rPr>
        <w:instrText>HYPERLINK \l "_Toc83651106"</w:instrText>
      </w:r>
      <w:r w:rsidR="00E94A6F" w:rsidRPr="00011C35">
        <w:rPr>
          <w:rStyle w:val="Hypertextovprepojenie"/>
          <w:noProof/>
        </w:rPr>
        <w:instrText xml:space="preserve"> </w:instrText>
      </w:r>
      <w:r w:rsidR="00E94A6F" w:rsidRPr="00011C35">
        <w:rPr>
          <w:rStyle w:val="Hypertextovprepojenie"/>
          <w:noProof/>
        </w:rPr>
        <w:fldChar w:fldCharType="separate"/>
      </w:r>
      <w:r w:rsidR="00E94A6F" w:rsidRPr="00011C35">
        <w:rPr>
          <w:rStyle w:val="Hypertextovprepojenie"/>
          <w:noProof/>
        </w:rPr>
        <w:t>Tabuľka 1 Časť hodnotenie PIMA (MMF) ohľadom rozpočtového procesu verejných investícií*</w:t>
      </w:r>
      <w:r w:rsidR="00E94A6F">
        <w:rPr>
          <w:noProof/>
          <w:webHidden/>
        </w:rPr>
        <w:tab/>
      </w:r>
      <w:r w:rsidR="00E94A6F">
        <w:rPr>
          <w:noProof/>
          <w:webHidden/>
        </w:rPr>
        <w:fldChar w:fldCharType="begin"/>
      </w:r>
      <w:r w:rsidR="00E94A6F">
        <w:rPr>
          <w:noProof/>
          <w:webHidden/>
        </w:rPr>
        <w:instrText xml:space="preserve"> PAGEREF _Toc83651106 \h </w:instrText>
      </w:r>
      <w:r w:rsidR="00E94A6F">
        <w:rPr>
          <w:noProof/>
          <w:webHidden/>
        </w:rPr>
      </w:r>
      <w:r w:rsidR="00E94A6F">
        <w:rPr>
          <w:noProof/>
          <w:webHidden/>
        </w:rPr>
        <w:fldChar w:fldCharType="separate"/>
      </w:r>
      <w:r w:rsidR="00E94A6F">
        <w:rPr>
          <w:noProof/>
          <w:webHidden/>
        </w:rPr>
        <w:t>5</w:t>
      </w:r>
      <w:r w:rsidR="00E94A6F">
        <w:rPr>
          <w:noProof/>
          <w:webHidden/>
        </w:rPr>
        <w:fldChar w:fldCharType="end"/>
      </w:r>
      <w:r w:rsidR="00E94A6F" w:rsidRPr="00011C35">
        <w:rPr>
          <w:rStyle w:val="Hypertextovprepojenie"/>
          <w:noProof/>
        </w:rPr>
        <w:fldChar w:fldCharType="end"/>
      </w:r>
    </w:p>
    <w:p w14:paraId="24F9846E" w14:textId="0F006B02" w:rsidR="00E94A6F" w:rsidRDefault="009573AC">
      <w:pPr>
        <w:pStyle w:val="Zoznamobrzkov"/>
        <w:tabs>
          <w:tab w:val="right" w:leader="dot" w:pos="9062"/>
        </w:tabs>
        <w:rPr>
          <w:rFonts w:asciiTheme="minorHAnsi" w:eastAsiaTheme="minorEastAsia" w:hAnsiTheme="minorHAnsi"/>
          <w:noProof/>
          <w:lang w:eastAsia="sk-SK"/>
        </w:rPr>
      </w:pPr>
      <w:hyperlink w:anchor="_Toc83651107" w:history="1">
        <w:r w:rsidR="00E94A6F" w:rsidRPr="00011C35">
          <w:rPr>
            <w:rStyle w:val="Hypertextovprepojenie"/>
            <w:noProof/>
          </w:rPr>
          <w:t>Tabuľka 2: Prehľad úkonov a zodpovedností v procese riadenia verejných investícií</w:t>
        </w:r>
        <w:r w:rsidR="00E94A6F">
          <w:rPr>
            <w:noProof/>
            <w:webHidden/>
          </w:rPr>
          <w:tab/>
        </w:r>
        <w:r w:rsidR="00E94A6F">
          <w:rPr>
            <w:noProof/>
            <w:webHidden/>
          </w:rPr>
          <w:fldChar w:fldCharType="begin"/>
        </w:r>
        <w:r w:rsidR="00E94A6F">
          <w:rPr>
            <w:noProof/>
            <w:webHidden/>
          </w:rPr>
          <w:instrText xml:space="preserve"> PAGEREF _Toc83651107 \h </w:instrText>
        </w:r>
        <w:r w:rsidR="00E94A6F">
          <w:rPr>
            <w:noProof/>
            <w:webHidden/>
          </w:rPr>
        </w:r>
        <w:r w:rsidR="00E94A6F">
          <w:rPr>
            <w:noProof/>
            <w:webHidden/>
          </w:rPr>
          <w:fldChar w:fldCharType="separate"/>
        </w:r>
        <w:r w:rsidR="00E94A6F">
          <w:rPr>
            <w:noProof/>
            <w:webHidden/>
          </w:rPr>
          <w:t>8</w:t>
        </w:r>
        <w:r w:rsidR="00E94A6F">
          <w:rPr>
            <w:noProof/>
            <w:webHidden/>
          </w:rPr>
          <w:fldChar w:fldCharType="end"/>
        </w:r>
      </w:hyperlink>
    </w:p>
    <w:p w14:paraId="135A3666" w14:textId="1AE83428" w:rsidR="00E94A6F" w:rsidRDefault="009573AC">
      <w:pPr>
        <w:pStyle w:val="Zoznamobrzkov"/>
        <w:tabs>
          <w:tab w:val="right" w:leader="dot" w:pos="9062"/>
        </w:tabs>
        <w:rPr>
          <w:rFonts w:asciiTheme="minorHAnsi" w:eastAsiaTheme="minorEastAsia" w:hAnsiTheme="minorHAnsi"/>
          <w:noProof/>
          <w:lang w:eastAsia="sk-SK"/>
        </w:rPr>
      </w:pPr>
      <w:hyperlink w:anchor="_Toc83651108" w:history="1">
        <w:r w:rsidR="00E94A6F" w:rsidRPr="00011C35">
          <w:rPr>
            <w:rStyle w:val="Hypertextovprepojenie"/>
            <w:noProof/>
          </w:rPr>
          <w:t>Tabuľka 3 Navrhované ciele revízie výdavkov a možné merateľné ukazovatele</w:t>
        </w:r>
        <w:r w:rsidR="00E94A6F">
          <w:rPr>
            <w:noProof/>
            <w:webHidden/>
          </w:rPr>
          <w:tab/>
        </w:r>
        <w:r w:rsidR="00E94A6F">
          <w:rPr>
            <w:noProof/>
            <w:webHidden/>
          </w:rPr>
          <w:fldChar w:fldCharType="begin"/>
        </w:r>
        <w:r w:rsidR="00E94A6F">
          <w:rPr>
            <w:noProof/>
            <w:webHidden/>
          </w:rPr>
          <w:instrText xml:space="preserve"> PAGEREF _Toc83651108 \h </w:instrText>
        </w:r>
        <w:r w:rsidR="00E94A6F">
          <w:rPr>
            <w:noProof/>
            <w:webHidden/>
          </w:rPr>
        </w:r>
        <w:r w:rsidR="00E94A6F">
          <w:rPr>
            <w:noProof/>
            <w:webHidden/>
          </w:rPr>
          <w:fldChar w:fldCharType="separate"/>
        </w:r>
        <w:r w:rsidR="00E94A6F">
          <w:rPr>
            <w:noProof/>
            <w:webHidden/>
          </w:rPr>
          <w:t>13</w:t>
        </w:r>
        <w:r w:rsidR="00E94A6F">
          <w:rPr>
            <w:noProof/>
            <w:webHidden/>
          </w:rPr>
          <w:fldChar w:fldCharType="end"/>
        </w:r>
      </w:hyperlink>
    </w:p>
    <w:p w14:paraId="06E590A5" w14:textId="77E0F28B" w:rsidR="00E94A6F" w:rsidRDefault="009573AC">
      <w:pPr>
        <w:pStyle w:val="Zoznamobrzkov"/>
        <w:tabs>
          <w:tab w:val="right" w:leader="dot" w:pos="9062"/>
        </w:tabs>
        <w:rPr>
          <w:rFonts w:asciiTheme="minorHAnsi" w:eastAsiaTheme="minorEastAsia" w:hAnsiTheme="minorHAnsi"/>
          <w:noProof/>
          <w:lang w:eastAsia="sk-SK"/>
        </w:rPr>
      </w:pPr>
      <w:hyperlink w:anchor="_Toc83651109" w:history="1">
        <w:r w:rsidR="00E94A6F" w:rsidRPr="00011C35">
          <w:rPr>
            <w:rStyle w:val="Hypertextovprepojenie"/>
            <w:noProof/>
          </w:rPr>
          <w:t>Tabuľka 4: Prehľad aktivít pri určovaní priorít investičných projektov v prechodnom období</w:t>
        </w:r>
        <w:r w:rsidR="00E94A6F">
          <w:rPr>
            <w:noProof/>
            <w:webHidden/>
          </w:rPr>
          <w:tab/>
        </w:r>
        <w:r w:rsidR="00E94A6F">
          <w:rPr>
            <w:noProof/>
            <w:webHidden/>
          </w:rPr>
          <w:fldChar w:fldCharType="begin"/>
        </w:r>
        <w:r w:rsidR="00E94A6F">
          <w:rPr>
            <w:noProof/>
            <w:webHidden/>
          </w:rPr>
          <w:instrText xml:space="preserve"> PAGEREF _Toc83651109 \h </w:instrText>
        </w:r>
        <w:r w:rsidR="00E94A6F">
          <w:rPr>
            <w:noProof/>
            <w:webHidden/>
          </w:rPr>
        </w:r>
        <w:r w:rsidR="00E94A6F">
          <w:rPr>
            <w:noProof/>
            <w:webHidden/>
          </w:rPr>
          <w:fldChar w:fldCharType="separate"/>
        </w:r>
        <w:r w:rsidR="00E94A6F">
          <w:rPr>
            <w:noProof/>
            <w:webHidden/>
          </w:rPr>
          <w:t>16</w:t>
        </w:r>
        <w:r w:rsidR="00E94A6F">
          <w:rPr>
            <w:noProof/>
            <w:webHidden/>
          </w:rPr>
          <w:fldChar w:fldCharType="end"/>
        </w:r>
      </w:hyperlink>
    </w:p>
    <w:p w14:paraId="2FEAB627" w14:textId="78213B9B" w:rsidR="00E94A6F" w:rsidRDefault="009573AC">
      <w:pPr>
        <w:pStyle w:val="Zoznamobrzkov"/>
        <w:tabs>
          <w:tab w:val="right" w:leader="dot" w:pos="9062"/>
        </w:tabs>
        <w:rPr>
          <w:rFonts w:asciiTheme="minorHAnsi" w:eastAsiaTheme="minorEastAsia" w:hAnsiTheme="minorHAnsi"/>
          <w:noProof/>
          <w:lang w:eastAsia="sk-SK"/>
        </w:rPr>
      </w:pPr>
      <w:hyperlink w:anchor="_Toc83651110" w:history="1">
        <w:r w:rsidR="00E94A6F" w:rsidRPr="00011C35">
          <w:rPr>
            <w:rStyle w:val="Hypertextovprepojenie"/>
            <w:noProof/>
          </w:rPr>
          <w:t>Tabuľka 5: Príklad priorizácie investičných projektov v doprave</w:t>
        </w:r>
        <w:r w:rsidR="00E94A6F">
          <w:rPr>
            <w:noProof/>
            <w:webHidden/>
          </w:rPr>
          <w:tab/>
        </w:r>
        <w:r w:rsidR="00E94A6F">
          <w:rPr>
            <w:noProof/>
            <w:webHidden/>
          </w:rPr>
          <w:fldChar w:fldCharType="begin"/>
        </w:r>
        <w:r w:rsidR="00E94A6F">
          <w:rPr>
            <w:noProof/>
            <w:webHidden/>
          </w:rPr>
          <w:instrText xml:space="preserve"> PAGEREF _Toc83651110 \h </w:instrText>
        </w:r>
        <w:r w:rsidR="00E94A6F">
          <w:rPr>
            <w:noProof/>
            <w:webHidden/>
          </w:rPr>
        </w:r>
        <w:r w:rsidR="00E94A6F">
          <w:rPr>
            <w:noProof/>
            <w:webHidden/>
          </w:rPr>
          <w:fldChar w:fldCharType="separate"/>
        </w:r>
        <w:r w:rsidR="00E94A6F">
          <w:rPr>
            <w:noProof/>
            <w:webHidden/>
          </w:rPr>
          <w:t>16</w:t>
        </w:r>
        <w:r w:rsidR="00E94A6F">
          <w:rPr>
            <w:noProof/>
            <w:webHidden/>
          </w:rPr>
          <w:fldChar w:fldCharType="end"/>
        </w:r>
      </w:hyperlink>
    </w:p>
    <w:p w14:paraId="5A5AB016" w14:textId="57335A5F" w:rsidR="00E94A6F" w:rsidRDefault="009573AC">
      <w:pPr>
        <w:pStyle w:val="Zoznamobrzkov"/>
        <w:tabs>
          <w:tab w:val="right" w:leader="dot" w:pos="9062"/>
        </w:tabs>
        <w:rPr>
          <w:rFonts w:asciiTheme="minorHAnsi" w:eastAsiaTheme="minorEastAsia" w:hAnsiTheme="minorHAnsi"/>
          <w:noProof/>
          <w:lang w:eastAsia="sk-SK"/>
        </w:rPr>
      </w:pPr>
      <w:hyperlink w:anchor="_Toc83651111" w:history="1">
        <w:r w:rsidR="00E94A6F" w:rsidRPr="00011C35">
          <w:rPr>
            <w:rStyle w:val="Hypertextovprepojenie"/>
            <w:noProof/>
          </w:rPr>
          <w:t>Tabuľka 6: Príklad investičného plánovania vo Veľkej Británii</w:t>
        </w:r>
        <w:r w:rsidR="00E94A6F">
          <w:rPr>
            <w:noProof/>
            <w:webHidden/>
          </w:rPr>
          <w:tab/>
        </w:r>
        <w:r w:rsidR="00E94A6F">
          <w:rPr>
            <w:noProof/>
            <w:webHidden/>
          </w:rPr>
          <w:fldChar w:fldCharType="begin"/>
        </w:r>
        <w:r w:rsidR="00E94A6F">
          <w:rPr>
            <w:noProof/>
            <w:webHidden/>
          </w:rPr>
          <w:instrText xml:space="preserve"> PAGEREF _Toc83651111 \h </w:instrText>
        </w:r>
        <w:r w:rsidR="00E94A6F">
          <w:rPr>
            <w:noProof/>
            <w:webHidden/>
          </w:rPr>
        </w:r>
        <w:r w:rsidR="00E94A6F">
          <w:rPr>
            <w:noProof/>
            <w:webHidden/>
          </w:rPr>
          <w:fldChar w:fldCharType="separate"/>
        </w:r>
        <w:r w:rsidR="00E94A6F">
          <w:rPr>
            <w:noProof/>
            <w:webHidden/>
          </w:rPr>
          <w:t>18</w:t>
        </w:r>
        <w:r w:rsidR="00E94A6F">
          <w:rPr>
            <w:noProof/>
            <w:webHidden/>
          </w:rPr>
          <w:fldChar w:fldCharType="end"/>
        </w:r>
      </w:hyperlink>
    </w:p>
    <w:p w14:paraId="6422257D" w14:textId="63FD9589" w:rsidR="00E94A6F" w:rsidRDefault="009573AC">
      <w:pPr>
        <w:pStyle w:val="Zoznamobrzkov"/>
        <w:tabs>
          <w:tab w:val="right" w:leader="dot" w:pos="9062"/>
        </w:tabs>
        <w:rPr>
          <w:rFonts w:asciiTheme="minorHAnsi" w:eastAsiaTheme="minorEastAsia" w:hAnsiTheme="minorHAnsi"/>
          <w:noProof/>
          <w:lang w:eastAsia="sk-SK"/>
        </w:rPr>
      </w:pPr>
      <w:hyperlink w:anchor="_Toc83651112" w:history="1">
        <w:r w:rsidR="00E94A6F" w:rsidRPr="00011C35">
          <w:rPr>
            <w:rStyle w:val="Hypertextovprepojenie"/>
            <w:noProof/>
          </w:rPr>
          <w:t>Tabuľka 7: Prehľad subjektov, na ktoré sa vzťahuje povinnosť predložiť investičné projekty na ekonomické hodnotenie MF SR podľa hodnoty a zdroja financovania</w:t>
        </w:r>
        <w:r w:rsidR="00E94A6F">
          <w:rPr>
            <w:noProof/>
            <w:webHidden/>
          </w:rPr>
          <w:tab/>
        </w:r>
        <w:r w:rsidR="00E94A6F">
          <w:rPr>
            <w:noProof/>
            <w:webHidden/>
          </w:rPr>
          <w:fldChar w:fldCharType="begin"/>
        </w:r>
        <w:r w:rsidR="00E94A6F">
          <w:rPr>
            <w:noProof/>
            <w:webHidden/>
          </w:rPr>
          <w:instrText xml:space="preserve"> PAGEREF _Toc83651112 \h </w:instrText>
        </w:r>
        <w:r w:rsidR="00E94A6F">
          <w:rPr>
            <w:noProof/>
            <w:webHidden/>
          </w:rPr>
        </w:r>
        <w:r w:rsidR="00E94A6F">
          <w:rPr>
            <w:noProof/>
            <w:webHidden/>
          </w:rPr>
          <w:fldChar w:fldCharType="separate"/>
        </w:r>
        <w:r w:rsidR="00E94A6F">
          <w:rPr>
            <w:noProof/>
            <w:webHidden/>
          </w:rPr>
          <w:t>20</w:t>
        </w:r>
        <w:r w:rsidR="00E94A6F">
          <w:rPr>
            <w:noProof/>
            <w:webHidden/>
          </w:rPr>
          <w:fldChar w:fldCharType="end"/>
        </w:r>
      </w:hyperlink>
    </w:p>
    <w:p w14:paraId="0D052306" w14:textId="1321F1DF" w:rsidR="00E94A6F" w:rsidRDefault="009573AC">
      <w:pPr>
        <w:pStyle w:val="Zoznamobrzkov"/>
        <w:tabs>
          <w:tab w:val="right" w:leader="dot" w:pos="9062"/>
        </w:tabs>
        <w:rPr>
          <w:rFonts w:asciiTheme="minorHAnsi" w:eastAsiaTheme="minorEastAsia" w:hAnsiTheme="minorHAnsi"/>
          <w:noProof/>
          <w:lang w:eastAsia="sk-SK"/>
        </w:rPr>
      </w:pPr>
      <w:hyperlink w:anchor="_Toc83651113" w:history="1">
        <w:r w:rsidR="00E94A6F" w:rsidRPr="00011C35">
          <w:rPr>
            <w:rStyle w:val="Hypertextovprepojenie"/>
            <w:noProof/>
          </w:rPr>
          <w:t>Tabuľka 8: Príklad investičného plánu z Veľkej Británie</w:t>
        </w:r>
        <w:r w:rsidR="00E94A6F">
          <w:rPr>
            <w:noProof/>
            <w:webHidden/>
          </w:rPr>
          <w:tab/>
        </w:r>
        <w:r w:rsidR="00E94A6F">
          <w:rPr>
            <w:noProof/>
            <w:webHidden/>
          </w:rPr>
          <w:fldChar w:fldCharType="begin"/>
        </w:r>
        <w:r w:rsidR="00E94A6F">
          <w:rPr>
            <w:noProof/>
            <w:webHidden/>
          </w:rPr>
          <w:instrText xml:space="preserve"> PAGEREF _Toc83651113 \h </w:instrText>
        </w:r>
        <w:r w:rsidR="00E94A6F">
          <w:rPr>
            <w:noProof/>
            <w:webHidden/>
          </w:rPr>
        </w:r>
        <w:r w:rsidR="00E94A6F">
          <w:rPr>
            <w:noProof/>
            <w:webHidden/>
          </w:rPr>
          <w:fldChar w:fldCharType="separate"/>
        </w:r>
        <w:r w:rsidR="00E94A6F">
          <w:rPr>
            <w:noProof/>
            <w:webHidden/>
          </w:rPr>
          <w:t>31</w:t>
        </w:r>
        <w:r w:rsidR="00E94A6F">
          <w:rPr>
            <w:noProof/>
            <w:webHidden/>
          </w:rPr>
          <w:fldChar w:fldCharType="end"/>
        </w:r>
      </w:hyperlink>
    </w:p>
    <w:p w14:paraId="191D6543" w14:textId="3E8CA6F7" w:rsidR="00E94A6F" w:rsidRDefault="009573AC">
      <w:pPr>
        <w:pStyle w:val="Zoznamobrzkov"/>
        <w:tabs>
          <w:tab w:val="right" w:leader="dot" w:pos="9062"/>
        </w:tabs>
        <w:rPr>
          <w:rFonts w:asciiTheme="minorHAnsi" w:eastAsiaTheme="minorEastAsia" w:hAnsiTheme="minorHAnsi"/>
          <w:noProof/>
          <w:lang w:eastAsia="sk-SK"/>
        </w:rPr>
      </w:pPr>
      <w:hyperlink w:anchor="_Toc83651114" w:history="1">
        <w:r w:rsidR="00E94A6F" w:rsidRPr="00011C35">
          <w:rPr>
            <w:rStyle w:val="Hypertextovprepojenie"/>
            <w:noProof/>
          </w:rPr>
          <w:t>Tabuľka 9: Prehľad podmienok uvoľnenia prostriedkov do rozpočtových limitov kapitol štátneho rozpočtu</w:t>
        </w:r>
        <w:r w:rsidR="00E94A6F">
          <w:rPr>
            <w:noProof/>
            <w:webHidden/>
          </w:rPr>
          <w:tab/>
        </w:r>
        <w:r w:rsidR="00E94A6F">
          <w:rPr>
            <w:noProof/>
            <w:webHidden/>
          </w:rPr>
          <w:fldChar w:fldCharType="begin"/>
        </w:r>
        <w:r w:rsidR="00E94A6F">
          <w:rPr>
            <w:noProof/>
            <w:webHidden/>
          </w:rPr>
          <w:instrText xml:space="preserve"> PAGEREF _Toc83651114 \h </w:instrText>
        </w:r>
        <w:r w:rsidR="00E94A6F">
          <w:rPr>
            <w:noProof/>
            <w:webHidden/>
          </w:rPr>
        </w:r>
        <w:r w:rsidR="00E94A6F">
          <w:rPr>
            <w:noProof/>
            <w:webHidden/>
          </w:rPr>
          <w:fldChar w:fldCharType="separate"/>
        </w:r>
        <w:r w:rsidR="00E94A6F">
          <w:rPr>
            <w:noProof/>
            <w:webHidden/>
          </w:rPr>
          <w:t>39</w:t>
        </w:r>
        <w:r w:rsidR="00E94A6F">
          <w:rPr>
            <w:noProof/>
            <w:webHidden/>
          </w:rPr>
          <w:fldChar w:fldCharType="end"/>
        </w:r>
      </w:hyperlink>
    </w:p>
    <w:p w14:paraId="17C28B24" w14:textId="57B21390" w:rsidR="00E94A6F" w:rsidRDefault="009573AC">
      <w:pPr>
        <w:pStyle w:val="Zoznamobrzkov"/>
        <w:tabs>
          <w:tab w:val="right" w:leader="dot" w:pos="9062"/>
        </w:tabs>
        <w:rPr>
          <w:rFonts w:asciiTheme="minorHAnsi" w:eastAsiaTheme="minorEastAsia" w:hAnsiTheme="minorHAnsi"/>
          <w:noProof/>
          <w:lang w:eastAsia="sk-SK"/>
        </w:rPr>
      </w:pPr>
      <w:hyperlink w:anchor="_Toc83651115" w:history="1">
        <w:r w:rsidR="00E94A6F" w:rsidRPr="00011C35">
          <w:rPr>
            <w:rStyle w:val="Hypertextovprepojenie"/>
            <w:noProof/>
          </w:rPr>
          <w:t>Tabuľka 10: Príklad výsledku z ex-post CBA dopravného investičného projektu</w:t>
        </w:r>
        <w:r w:rsidR="00E94A6F">
          <w:rPr>
            <w:noProof/>
            <w:webHidden/>
          </w:rPr>
          <w:tab/>
        </w:r>
        <w:r w:rsidR="00E94A6F">
          <w:rPr>
            <w:noProof/>
            <w:webHidden/>
          </w:rPr>
          <w:fldChar w:fldCharType="begin"/>
        </w:r>
        <w:r w:rsidR="00E94A6F">
          <w:rPr>
            <w:noProof/>
            <w:webHidden/>
          </w:rPr>
          <w:instrText xml:space="preserve"> PAGEREF _Toc83651115 \h </w:instrText>
        </w:r>
        <w:r w:rsidR="00E94A6F">
          <w:rPr>
            <w:noProof/>
            <w:webHidden/>
          </w:rPr>
        </w:r>
        <w:r w:rsidR="00E94A6F">
          <w:rPr>
            <w:noProof/>
            <w:webHidden/>
          </w:rPr>
          <w:fldChar w:fldCharType="separate"/>
        </w:r>
        <w:r w:rsidR="00E94A6F">
          <w:rPr>
            <w:noProof/>
            <w:webHidden/>
          </w:rPr>
          <w:t>41</w:t>
        </w:r>
        <w:r w:rsidR="00E94A6F">
          <w:rPr>
            <w:noProof/>
            <w:webHidden/>
          </w:rPr>
          <w:fldChar w:fldCharType="end"/>
        </w:r>
      </w:hyperlink>
    </w:p>
    <w:p w14:paraId="1D60A8B7" w14:textId="1D5678D2" w:rsidR="00E94A6F" w:rsidRDefault="009573AC">
      <w:pPr>
        <w:pStyle w:val="Zoznamobrzkov"/>
        <w:tabs>
          <w:tab w:val="right" w:leader="dot" w:pos="9062"/>
        </w:tabs>
        <w:rPr>
          <w:rFonts w:asciiTheme="minorHAnsi" w:eastAsiaTheme="minorEastAsia" w:hAnsiTheme="minorHAnsi"/>
          <w:noProof/>
          <w:lang w:eastAsia="sk-SK"/>
        </w:rPr>
      </w:pPr>
      <w:hyperlink w:anchor="_Toc83651116" w:history="1">
        <w:r w:rsidR="00E94A6F" w:rsidRPr="00011C35">
          <w:rPr>
            <w:rStyle w:val="Hypertextovprepojenie"/>
            <w:noProof/>
          </w:rPr>
          <w:t>Tabuľka 11: Výdavky v informatizácii triedené v EKRK podpoložkách</w:t>
        </w:r>
        <w:r w:rsidR="00E94A6F">
          <w:rPr>
            <w:noProof/>
            <w:webHidden/>
          </w:rPr>
          <w:tab/>
        </w:r>
        <w:r w:rsidR="00E94A6F">
          <w:rPr>
            <w:noProof/>
            <w:webHidden/>
          </w:rPr>
          <w:fldChar w:fldCharType="begin"/>
        </w:r>
        <w:r w:rsidR="00E94A6F">
          <w:rPr>
            <w:noProof/>
            <w:webHidden/>
          </w:rPr>
          <w:instrText xml:space="preserve"> PAGEREF _Toc83651116 \h </w:instrText>
        </w:r>
        <w:r w:rsidR="00E94A6F">
          <w:rPr>
            <w:noProof/>
            <w:webHidden/>
          </w:rPr>
        </w:r>
        <w:r w:rsidR="00E94A6F">
          <w:rPr>
            <w:noProof/>
            <w:webHidden/>
          </w:rPr>
          <w:fldChar w:fldCharType="separate"/>
        </w:r>
        <w:r w:rsidR="00E94A6F">
          <w:rPr>
            <w:noProof/>
            <w:webHidden/>
          </w:rPr>
          <w:t>45</w:t>
        </w:r>
        <w:r w:rsidR="00E94A6F">
          <w:rPr>
            <w:noProof/>
            <w:webHidden/>
          </w:rPr>
          <w:fldChar w:fldCharType="end"/>
        </w:r>
      </w:hyperlink>
    </w:p>
    <w:p w14:paraId="203536A5" w14:textId="7E5CE9C4" w:rsidR="00E94A6F" w:rsidRDefault="009573AC">
      <w:pPr>
        <w:pStyle w:val="Zoznamobrzkov"/>
        <w:tabs>
          <w:tab w:val="right" w:leader="dot" w:pos="9062"/>
        </w:tabs>
        <w:rPr>
          <w:rFonts w:asciiTheme="minorHAnsi" w:eastAsiaTheme="minorEastAsia" w:hAnsiTheme="minorHAnsi"/>
          <w:noProof/>
          <w:lang w:eastAsia="sk-SK"/>
        </w:rPr>
      </w:pPr>
      <w:hyperlink w:anchor="_Toc83651117" w:history="1">
        <w:r w:rsidR="00E94A6F" w:rsidRPr="00011C35">
          <w:rPr>
            <w:rStyle w:val="Hypertextovprepojenie"/>
            <w:noProof/>
          </w:rPr>
          <w:t>Tabuľka 12: Zoznam použitých skratiek</w:t>
        </w:r>
        <w:r w:rsidR="00E94A6F">
          <w:rPr>
            <w:noProof/>
            <w:webHidden/>
          </w:rPr>
          <w:tab/>
        </w:r>
        <w:r w:rsidR="00E94A6F">
          <w:rPr>
            <w:noProof/>
            <w:webHidden/>
          </w:rPr>
          <w:fldChar w:fldCharType="begin"/>
        </w:r>
        <w:r w:rsidR="00E94A6F">
          <w:rPr>
            <w:noProof/>
            <w:webHidden/>
          </w:rPr>
          <w:instrText xml:space="preserve"> PAGEREF _Toc83651117 \h </w:instrText>
        </w:r>
        <w:r w:rsidR="00E94A6F">
          <w:rPr>
            <w:noProof/>
            <w:webHidden/>
          </w:rPr>
        </w:r>
        <w:r w:rsidR="00E94A6F">
          <w:rPr>
            <w:noProof/>
            <w:webHidden/>
          </w:rPr>
          <w:fldChar w:fldCharType="separate"/>
        </w:r>
        <w:r w:rsidR="00E94A6F">
          <w:rPr>
            <w:noProof/>
            <w:webHidden/>
          </w:rPr>
          <w:t>46</w:t>
        </w:r>
        <w:r w:rsidR="00E94A6F">
          <w:rPr>
            <w:noProof/>
            <w:webHidden/>
          </w:rPr>
          <w:fldChar w:fldCharType="end"/>
        </w:r>
      </w:hyperlink>
    </w:p>
    <w:p w14:paraId="347E1A54" w14:textId="33547CD2" w:rsidR="00E94A6F" w:rsidRDefault="009573AC">
      <w:pPr>
        <w:pStyle w:val="Zoznamobrzkov"/>
        <w:tabs>
          <w:tab w:val="right" w:leader="dot" w:pos="9062"/>
        </w:tabs>
        <w:rPr>
          <w:rFonts w:asciiTheme="minorHAnsi" w:eastAsiaTheme="minorEastAsia" w:hAnsiTheme="minorHAnsi"/>
          <w:noProof/>
          <w:lang w:eastAsia="sk-SK"/>
        </w:rPr>
      </w:pPr>
      <w:hyperlink w:anchor="_Toc83651118" w:history="1">
        <w:r w:rsidR="00E94A6F" w:rsidRPr="00011C35">
          <w:rPr>
            <w:rStyle w:val="Hypertextovprepojenie"/>
            <w:noProof/>
          </w:rPr>
          <w:t>Tabuľka 13: Dotazník pre vyhodnotenie potenciálu na financovanie formou PPP</w:t>
        </w:r>
        <w:r w:rsidR="00E94A6F">
          <w:rPr>
            <w:noProof/>
            <w:webHidden/>
          </w:rPr>
          <w:tab/>
        </w:r>
        <w:r w:rsidR="00E94A6F">
          <w:rPr>
            <w:noProof/>
            <w:webHidden/>
          </w:rPr>
          <w:fldChar w:fldCharType="begin"/>
        </w:r>
        <w:r w:rsidR="00E94A6F">
          <w:rPr>
            <w:noProof/>
            <w:webHidden/>
          </w:rPr>
          <w:instrText xml:space="preserve"> PAGEREF _Toc83651118 \h </w:instrText>
        </w:r>
        <w:r w:rsidR="00E94A6F">
          <w:rPr>
            <w:noProof/>
            <w:webHidden/>
          </w:rPr>
        </w:r>
        <w:r w:rsidR="00E94A6F">
          <w:rPr>
            <w:noProof/>
            <w:webHidden/>
          </w:rPr>
          <w:fldChar w:fldCharType="separate"/>
        </w:r>
        <w:r w:rsidR="00E94A6F">
          <w:rPr>
            <w:noProof/>
            <w:webHidden/>
          </w:rPr>
          <w:t>48</w:t>
        </w:r>
        <w:r w:rsidR="00E94A6F">
          <w:rPr>
            <w:noProof/>
            <w:webHidden/>
          </w:rPr>
          <w:fldChar w:fldCharType="end"/>
        </w:r>
      </w:hyperlink>
    </w:p>
    <w:p w14:paraId="64C4DFCE" w14:textId="6BF63E07" w:rsidR="00E94A6F" w:rsidRDefault="009573AC">
      <w:pPr>
        <w:pStyle w:val="Zoznamobrzkov"/>
        <w:tabs>
          <w:tab w:val="right" w:leader="dot" w:pos="9062"/>
        </w:tabs>
        <w:rPr>
          <w:rFonts w:asciiTheme="minorHAnsi" w:eastAsiaTheme="minorEastAsia" w:hAnsiTheme="minorHAnsi"/>
          <w:noProof/>
          <w:lang w:eastAsia="sk-SK"/>
        </w:rPr>
      </w:pPr>
      <w:hyperlink w:anchor="_Toc83651119" w:history="1">
        <w:r w:rsidR="00E94A6F" w:rsidRPr="00011C35">
          <w:rPr>
            <w:rStyle w:val="Hypertextovprepojenie"/>
            <w:noProof/>
          </w:rPr>
          <w:t>Tabuľka 14: Štandardný obsah štúdie uskutočniteľnosti</w:t>
        </w:r>
        <w:r w:rsidR="00E94A6F">
          <w:rPr>
            <w:noProof/>
            <w:webHidden/>
          </w:rPr>
          <w:tab/>
        </w:r>
        <w:r w:rsidR="00E94A6F">
          <w:rPr>
            <w:noProof/>
            <w:webHidden/>
          </w:rPr>
          <w:fldChar w:fldCharType="begin"/>
        </w:r>
        <w:r w:rsidR="00E94A6F">
          <w:rPr>
            <w:noProof/>
            <w:webHidden/>
          </w:rPr>
          <w:instrText xml:space="preserve"> PAGEREF _Toc83651119 \h </w:instrText>
        </w:r>
        <w:r w:rsidR="00E94A6F">
          <w:rPr>
            <w:noProof/>
            <w:webHidden/>
          </w:rPr>
        </w:r>
        <w:r w:rsidR="00E94A6F">
          <w:rPr>
            <w:noProof/>
            <w:webHidden/>
          </w:rPr>
          <w:fldChar w:fldCharType="separate"/>
        </w:r>
        <w:r w:rsidR="00E94A6F">
          <w:rPr>
            <w:noProof/>
            <w:webHidden/>
          </w:rPr>
          <w:t>53</w:t>
        </w:r>
        <w:r w:rsidR="00E94A6F">
          <w:rPr>
            <w:noProof/>
            <w:webHidden/>
          </w:rPr>
          <w:fldChar w:fldCharType="end"/>
        </w:r>
      </w:hyperlink>
    </w:p>
    <w:p w14:paraId="6FCAD320" w14:textId="15D45989" w:rsidR="00E94A6F" w:rsidRDefault="009573AC">
      <w:pPr>
        <w:pStyle w:val="Zoznamobrzkov"/>
        <w:tabs>
          <w:tab w:val="right" w:leader="dot" w:pos="9062"/>
        </w:tabs>
        <w:rPr>
          <w:rFonts w:asciiTheme="minorHAnsi" w:eastAsiaTheme="minorEastAsia" w:hAnsiTheme="minorHAnsi"/>
          <w:noProof/>
          <w:lang w:eastAsia="sk-SK"/>
        </w:rPr>
      </w:pPr>
      <w:hyperlink w:anchor="_Toc83651120" w:history="1">
        <w:r w:rsidR="00E94A6F" w:rsidRPr="00011C35">
          <w:rPr>
            <w:rStyle w:val="Hypertextovprepojenie"/>
            <w:noProof/>
          </w:rPr>
          <w:t>Tabuľka 15: Povinné prílohy štúdie uskutočniteľnosti</w:t>
        </w:r>
        <w:r w:rsidR="00E94A6F">
          <w:rPr>
            <w:noProof/>
            <w:webHidden/>
          </w:rPr>
          <w:tab/>
        </w:r>
        <w:r w:rsidR="00E94A6F">
          <w:rPr>
            <w:noProof/>
            <w:webHidden/>
          </w:rPr>
          <w:fldChar w:fldCharType="begin"/>
        </w:r>
        <w:r w:rsidR="00E94A6F">
          <w:rPr>
            <w:noProof/>
            <w:webHidden/>
          </w:rPr>
          <w:instrText xml:space="preserve"> PAGEREF _Toc83651120 \h </w:instrText>
        </w:r>
        <w:r w:rsidR="00E94A6F">
          <w:rPr>
            <w:noProof/>
            <w:webHidden/>
          </w:rPr>
        </w:r>
        <w:r w:rsidR="00E94A6F">
          <w:rPr>
            <w:noProof/>
            <w:webHidden/>
          </w:rPr>
          <w:fldChar w:fldCharType="separate"/>
        </w:r>
        <w:r w:rsidR="00E94A6F">
          <w:rPr>
            <w:noProof/>
            <w:webHidden/>
          </w:rPr>
          <w:t>54</w:t>
        </w:r>
        <w:r w:rsidR="00E94A6F">
          <w:rPr>
            <w:noProof/>
            <w:webHidden/>
          </w:rPr>
          <w:fldChar w:fldCharType="end"/>
        </w:r>
      </w:hyperlink>
    </w:p>
    <w:p w14:paraId="5312650A" w14:textId="298F169F" w:rsidR="00E94A6F" w:rsidRDefault="009573AC">
      <w:pPr>
        <w:pStyle w:val="Zoznamobrzkov"/>
        <w:tabs>
          <w:tab w:val="right" w:leader="dot" w:pos="9062"/>
        </w:tabs>
        <w:rPr>
          <w:rFonts w:asciiTheme="minorHAnsi" w:eastAsiaTheme="minorEastAsia" w:hAnsiTheme="minorHAnsi"/>
          <w:noProof/>
          <w:lang w:eastAsia="sk-SK"/>
        </w:rPr>
      </w:pPr>
      <w:hyperlink w:anchor="_Toc83651121" w:history="1">
        <w:r w:rsidR="00E94A6F" w:rsidRPr="00011C35">
          <w:rPr>
            <w:rStyle w:val="Hypertextovprepojenie"/>
            <w:noProof/>
          </w:rPr>
          <w:t>Tabuľka 16: Tabuľka spoločenských vplyvov verejnej investície</w:t>
        </w:r>
        <w:r w:rsidR="00E94A6F">
          <w:rPr>
            <w:noProof/>
            <w:webHidden/>
          </w:rPr>
          <w:tab/>
        </w:r>
        <w:r w:rsidR="00E94A6F">
          <w:rPr>
            <w:noProof/>
            <w:webHidden/>
          </w:rPr>
          <w:fldChar w:fldCharType="begin"/>
        </w:r>
        <w:r w:rsidR="00E94A6F">
          <w:rPr>
            <w:noProof/>
            <w:webHidden/>
          </w:rPr>
          <w:instrText xml:space="preserve"> PAGEREF _Toc83651121 \h </w:instrText>
        </w:r>
        <w:r w:rsidR="00E94A6F">
          <w:rPr>
            <w:noProof/>
            <w:webHidden/>
          </w:rPr>
        </w:r>
        <w:r w:rsidR="00E94A6F">
          <w:rPr>
            <w:noProof/>
            <w:webHidden/>
          </w:rPr>
          <w:fldChar w:fldCharType="separate"/>
        </w:r>
        <w:r w:rsidR="00E94A6F">
          <w:rPr>
            <w:noProof/>
            <w:webHidden/>
          </w:rPr>
          <w:t>55</w:t>
        </w:r>
        <w:r w:rsidR="00E94A6F">
          <w:rPr>
            <w:noProof/>
            <w:webHidden/>
          </w:rPr>
          <w:fldChar w:fldCharType="end"/>
        </w:r>
      </w:hyperlink>
    </w:p>
    <w:p w14:paraId="14130641" w14:textId="422182F9" w:rsidR="003F5CE5" w:rsidRPr="005C2CEC" w:rsidRDefault="00111294" w:rsidP="00577F95">
      <w:pPr>
        <w:pStyle w:val="Nadpis1"/>
        <w:pageBreakBefore/>
        <w:ind w:left="431" w:hanging="431"/>
      </w:pPr>
      <w:r w:rsidRPr="005C2CEC">
        <w:lastRenderedPageBreak/>
        <w:fldChar w:fldCharType="end"/>
      </w:r>
      <w:bookmarkStart w:id="70" w:name="_Toc455735645"/>
      <w:bookmarkStart w:id="71" w:name="_Toc455735671"/>
      <w:bookmarkStart w:id="72" w:name="_Toc455735787"/>
      <w:bookmarkStart w:id="73" w:name="_Toc455736277"/>
      <w:bookmarkStart w:id="74" w:name="_Toc455760869"/>
      <w:bookmarkStart w:id="75" w:name="_Toc454546175"/>
      <w:bookmarkStart w:id="76" w:name="_Toc83651072"/>
      <w:bookmarkStart w:id="77" w:name="_Toc454545848"/>
      <w:bookmarkEnd w:id="70"/>
      <w:bookmarkEnd w:id="71"/>
      <w:bookmarkEnd w:id="72"/>
      <w:bookmarkEnd w:id="73"/>
      <w:bookmarkEnd w:id="74"/>
      <w:bookmarkEnd w:id="75"/>
      <w:r w:rsidR="003F5CE5" w:rsidRPr="005C2CEC">
        <w:t>Úvod</w:t>
      </w:r>
      <w:bookmarkEnd w:id="76"/>
    </w:p>
    <w:p w14:paraId="69B4EF7E" w14:textId="281FB069" w:rsidR="00FD1883" w:rsidRPr="005C2CEC" w:rsidRDefault="00FD1883" w:rsidP="001054F1">
      <w:r w:rsidRPr="005C2CEC">
        <w:t>Ministerstvo financií Slovenskej republiky (</w:t>
      </w:r>
      <w:r w:rsidR="00F003EF" w:rsidRPr="005C2CEC">
        <w:t>ďalej len „</w:t>
      </w:r>
      <w:r w:rsidRPr="005C2CEC">
        <w:t>MF SR</w:t>
      </w:r>
      <w:r w:rsidR="00F003EF" w:rsidRPr="005C2CEC">
        <w:t>“</w:t>
      </w:r>
      <w:r w:rsidRPr="005C2CEC">
        <w:t xml:space="preserve">) </w:t>
      </w:r>
      <w:r w:rsidR="001F2F09" w:rsidRPr="005C2CEC">
        <w:t xml:space="preserve">vydáva </w:t>
      </w:r>
      <w:r w:rsidR="00B608EA">
        <w:t>Metodiku</w:t>
      </w:r>
      <w:r w:rsidR="00B608EA" w:rsidRPr="00B608EA">
        <w:t xml:space="preserve"> </w:t>
      </w:r>
      <w:r w:rsidR="008D0D64">
        <w:t>prípravy a hodnotenia</w:t>
      </w:r>
      <w:r w:rsidR="00B608EA" w:rsidRPr="00B608EA">
        <w:t xml:space="preserve"> investičných projektov </w:t>
      </w:r>
      <w:r w:rsidR="001F2F09" w:rsidRPr="005C2CEC">
        <w:t>(ďalej len „</w:t>
      </w:r>
      <w:r w:rsidR="00B608EA">
        <w:t>Metodika</w:t>
      </w:r>
      <w:r w:rsidR="001F2F09" w:rsidRPr="005C2CEC">
        <w:t xml:space="preserve">“) </w:t>
      </w:r>
      <w:r w:rsidRPr="005C2CEC">
        <w:t>v záujme zabezpečenia jednotného postupu pri príprave investícií</w:t>
      </w:r>
      <w:r w:rsidR="006C37B8">
        <w:t>, projektov investičného charakteru</w:t>
      </w:r>
      <w:r w:rsidRPr="005C2CEC">
        <w:t xml:space="preserve"> a</w:t>
      </w:r>
      <w:r w:rsidR="00BD63AA" w:rsidRPr="005C2CEC">
        <w:t> koncesií s ohľadom na ciele Programového vyhlásenia vlády Slovenskej republiky a povinnosti</w:t>
      </w:r>
      <w:r w:rsidRPr="005C2CEC">
        <w:t xml:space="preserve"> § 19a zákona</w:t>
      </w:r>
      <w:r w:rsidR="009C13D5">
        <w:t xml:space="preserve"> č.</w:t>
      </w:r>
      <w:r w:rsidRPr="005C2CEC">
        <w:t xml:space="preserve"> 523/2004 Z. z. o rozpočtových pravidlách verejnej správy</w:t>
      </w:r>
      <w:r w:rsidR="00CF7253">
        <w:t xml:space="preserve"> a o zmene a doplnení niektor</w:t>
      </w:r>
      <w:r w:rsidR="002C4408">
        <w:t>ých zákonov v znení zákona č. 360</w:t>
      </w:r>
      <w:r w:rsidR="00CF7253">
        <w:t>/2020 Z. z.</w:t>
      </w:r>
      <w:r w:rsidRPr="005C2CEC">
        <w:t xml:space="preserve"> (ďalej len „</w:t>
      </w:r>
      <w:r w:rsidR="009C13D5">
        <w:t>z</w:t>
      </w:r>
      <w:r w:rsidRPr="005C2CEC">
        <w:t>ákon</w:t>
      </w:r>
      <w:r w:rsidR="009C13D5">
        <w:t xml:space="preserve"> č.</w:t>
      </w:r>
      <w:r w:rsidR="00707D31">
        <w:t xml:space="preserve"> 523/2004 Z. z.</w:t>
      </w:r>
      <w:r w:rsidRPr="005C2CEC">
        <w:t>“)</w:t>
      </w:r>
      <w:r w:rsidR="00BD63AA" w:rsidRPr="005C2CEC">
        <w:t>.</w:t>
      </w:r>
    </w:p>
    <w:p w14:paraId="509C6D3B" w14:textId="62F0269B" w:rsidR="00C05660" w:rsidRPr="005C2CEC" w:rsidRDefault="00B608EA" w:rsidP="001054F1">
      <w:r>
        <w:t>Metodika</w:t>
      </w:r>
      <w:r w:rsidR="00C05660" w:rsidRPr="005C2CEC">
        <w:t xml:space="preserve"> </w:t>
      </w:r>
      <w:r w:rsidR="008342D5" w:rsidRPr="005C2CEC">
        <w:t xml:space="preserve">nadväzuje na </w:t>
      </w:r>
      <w:hyperlink r:id="rId8" w:history="1">
        <w:r w:rsidR="006C79D9" w:rsidRPr="00B220F7">
          <w:rPr>
            <w:rStyle w:val="Hypertextovprepojenie"/>
          </w:rPr>
          <w:t>P</w:t>
        </w:r>
        <w:r w:rsidR="00C05660" w:rsidRPr="00B220F7">
          <w:rPr>
            <w:rStyle w:val="Hypertextovprepojenie"/>
          </w:rPr>
          <w:t>rogramové vyhláseni</w:t>
        </w:r>
        <w:r w:rsidR="006C79D9" w:rsidRPr="00B220F7">
          <w:rPr>
            <w:rStyle w:val="Hypertextovprepojenie"/>
          </w:rPr>
          <w:t>e vlády Slovenskej republiky na obdobie rokov 2020 - 2024</w:t>
        </w:r>
      </w:hyperlink>
      <w:r w:rsidR="006C79D9" w:rsidRPr="005C2CEC">
        <w:t>,</w:t>
      </w:r>
      <w:r w:rsidR="00C05660" w:rsidRPr="005C2CEC">
        <w:t xml:space="preserve"> v</w:t>
      </w:r>
      <w:r w:rsidR="006C79D9" w:rsidRPr="005C2CEC">
        <w:t> ktorom sa vláda zaviazala:</w:t>
      </w:r>
      <w:r w:rsidR="00C05660" w:rsidRPr="005C2CEC">
        <w:t xml:space="preserve"> </w:t>
      </w:r>
    </w:p>
    <w:p w14:paraId="348FBDF9" w14:textId="63299351" w:rsidR="006C79D9" w:rsidRPr="005C2CEC" w:rsidRDefault="006C79D9" w:rsidP="0087207E">
      <w:pPr>
        <w:pStyle w:val="Odsekzoznamu"/>
        <w:numPr>
          <w:ilvl w:val="0"/>
          <w:numId w:val="32"/>
        </w:numPr>
      </w:pPr>
      <w:r w:rsidRPr="005C2CEC">
        <w:t>posilniť úlohu ministerstva financií a Útvaru hodnoty za peniaze pri posudzovaní investícií a riadení investičného rozpočtu,</w:t>
      </w:r>
    </w:p>
    <w:p w14:paraId="48837329" w14:textId="32115EA5" w:rsidR="006C79D9" w:rsidRPr="005C2CEC" w:rsidRDefault="006C79D9" w:rsidP="0087207E">
      <w:pPr>
        <w:pStyle w:val="Odsekzoznamu"/>
        <w:numPr>
          <w:ilvl w:val="0"/>
          <w:numId w:val="32"/>
        </w:numPr>
      </w:pPr>
      <w:r w:rsidRPr="005C2CEC">
        <w:t>zabezpečiť lepšiu prípravu investičných projektov s dôsledným uplatňovaním princípov hodnoty za peniaze,</w:t>
      </w:r>
    </w:p>
    <w:p w14:paraId="2E370989" w14:textId="72D7C18A" w:rsidR="00097D34" w:rsidRPr="005C2CEC" w:rsidRDefault="00097D34" w:rsidP="00097D34">
      <w:pPr>
        <w:pStyle w:val="Odsekzoznamu"/>
        <w:numPr>
          <w:ilvl w:val="0"/>
          <w:numId w:val="32"/>
        </w:numPr>
      </w:pPr>
      <w:r w:rsidRPr="005C2CEC">
        <w:t>systematicky zabezpečiť najlepšiu možnú efektívnosť investičných projektov nad 1 milión eur,</w:t>
      </w:r>
    </w:p>
    <w:p w14:paraId="2F4237C3" w14:textId="7BC44115" w:rsidR="006C79D9" w:rsidRPr="005C2CEC" w:rsidRDefault="006C79D9" w:rsidP="0087207E">
      <w:pPr>
        <w:pStyle w:val="Odsekzoznamu"/>
        <w:numPr>
          <w:ilvl w:val="0"/>
          <w:numId w:val="32"/>
        </w:numPr>
      </w:pPr>
      <w:r w:rsidRPr="005C2CEC">
        <w:t>zjednodušiť investičný proces, dopracovať metodiky, centrálnejšie vyberať najlepšie projekty, posilniť kapacity na rezortoch, zrevidovať legislatívu a pravidlá s cieľom optimalizovať náklady a dosiahnuť najlepšie prínosy investičných projektov,</w:t>
      </w:r>
    </w:p>
    <w:p w14:paraId="5B45E3E6" w14:textId="77777777" w:rsidR="002866A2" w:rsidRPr="005C2CEC" w:rsidRDefault="002866A2" w:rsidP="002866A2">
      <w:pPr>
        <w:pStyle w:val="Odsekzoznamu"/>
        <w:numPr>
          <w:ilvl w:val="0"/>
          <w:numId w:val="32"/>
        </w:numPr>
      </w:pPr>
      <w:r w:rsidRPr="005C2CEC">
        <w:t>zjednotiť štandardy na prípravu projektov, aby boli navzájom porovnateľné,</w:t>
      </w:r>
    </w:p>
    <w:p w14:paraId="23F3F246" w14:textId="5858ABD3" w:rsidR="006C79D9" w:rsidRPr="005C2CEC" w:rsidRDefault="006C79D9" w:rsidP="0087207E">
      <w:pPr>
        <w:pStyle w:val="Odsekzoznamu"/>
        <w:numPr>
          <w:ilvl w:val="0"/>
          <w:numId w:val="32"/>
        </w:numPr>
      </w:pPr>
      <w:r w:rsidRPr="005C2CEC">
        <w:t>zadefinovať v dlhodobých strategických plánoch jasné, analyticky podložené priority (priorizácia sa stane povinnou pre všetky rezorty),</w:t>
      </w:r>
    </w:p>
    <w:p w14:paraId="7ACD56A5" w14:textId="77777777" w:rsidR="006C79D9" w:rsidRPr="005C2CEC" w:rsidRDefault="006C79D9" w:rsidP="0087207E">
      <w:pPr>
        <w:pStyle w:val="Odsekzoznamu"/>
        <w:numPr>
          <w:ilvl w:val="0"/>
          <w:numId w:val="32"/>
        </w:numPr>
      </w:pPr>
      <w:r w:rsidRPr="005C2CEC">
        <w:t>transparentne vyhodnocovať a pravidelne aktualizovať investičné plány,</w:t>
      </w:r>
    </w:p>
    <w:p w14:paraId="5A33DBCE" w14:textId="3B267FDB" w:rsidR="006C79D9" w:rsidRDefault="00BA5A99" w:rsidP="0087207E">
      <w:pPr>
        <w:pStyle w:val="Odsekzoznamu"/>
        <w:numPr>
          <w:ilvl w:val="0"/>
          <w:numId w:val="32"/>
        </w:numPr>
      </w:pPr>
      <w:r>
        <w:t>realizovať</w:t>
      </w:r>
      <w:r w:rsidR="006C79D9" w:rsidRPr="005C2CEC">
        <w:t xml:space="preserve"> len projekty, ktoré sú spoločensky návratné a skutočne pripravené.</w:t>
      </w:r>
    </w:p>
    <w:p w14:paraId="4C2C5340" w14:textId="5B82A3C7" w:rsidR="00966048" w:rsidRPr="005C2CEC" w:rsidRDefault="00966048" w:rsidP="00966048">
      <w:pPr>
        <w:pStyle w:val="Nadpis2"/>
      </w:pPr>
      <w:bookmarkStart w:id="78" w:name="_Toc62580545"/>
      <w:bookmarkStart w:id="79" w:name="_Toc62653806"/>
      <w:bookmarkStart w:id="80" w:name="_Toc83651073"/>
      <w:bookmarkEnd w:id="78"/>
      <w:bookmarkEnd w:id="79"/>
      <w:r w:rsidRPr="005C2CEC">
        <w:t>Účel dokumentu</w:t>
      </w:r>
      <w:bookmarkEnd w:id="80"/>
    </w:p>
    <w:p w14:paraId="77F2D793" w14:textId="748B5C87" w:rsidR="00883468" w:rsidRDefault="00883468" w:rsidP="00883468">
      <w:r>
        <w:t>Investície sú pre zabezpečenie udržateľného hospodárstva najdôležitejšie verejné výdavky. Dlhodobým problémom Slovenska je neefektívne čerpanie štátneho investičného rozpočtu. Hlavnými dôvodmi sú nedostatočné plánovanie a podpora nepripravených a nenávratných projektov.</w:t>
      </w:r>
    </w:p>
    <w:p w14:paraId="09FE91B3" w14:textId="51BEDA04" w:rsidR="00883468" w:rsidRDefault="00883468" w:rsidP="00883468">
      <w:r>
        <w:t>Cieľom MF SR, ktorý si osvojila aj vláda v programovom vyhlásení, je zlepšiť proces a všetky fázy prípravy investícií. Hodnota za peniaze je základný princíp každej investície, nie formalita, ktorú treba splniť pre analytikov. Od roku 2021 sa zaviedol nulový štartovací rozpočet na nové investície (tzv. zero-based budgeting). Do rozpočtu verejnej správy sa zaraďujú len pripravené a návratné investičné projekty.</w:t>
      </w:r>
    </w:p>
    <w:p w14:paraId="302CA56B" w14:textId="1F4E5A56" w:rsidR="004976DB" w:rsidRPr="005C2CEC" w:rsidRDefault="00E93FE9" w:rsidP="00883468">
      <w:r w:rsidRPr="005C2CEC">
        <w:t xml:space="preserve">Cieľom </w:t>
      </w:r>
      <w:r w:rsidR="00883468">
        <w:t>tohto dokumentu</w:t>
      </w:r>
      <w:r w:rsidR="00883468" w:rsidRPr="005C2CEC">
        <w:t xml:space="preserve"> </w:t>
      </w:r>
      <w:r w:rsidRPr="005C2CEC">
        <w:t xml:space="preserve">je stanoviť jasné, systematické pravidlá do procesu </w:t>
      </w:r>
      <w:r w:rsidR="00C05660" w:rsidRPr="005C2CEC">
        <w:t xml:space="preserve">riadenia </w:t>
      </w:r>
      <w:r w:rsidR="00E90AF8" w:rsidRPr="005C2CEC">
        <w:t>verejných</w:t>
      </w:r>
      <w:r w:rsidRPr="005C2CEC">
        <w:t xml:space="preserve"> investícií </w:t>
      </w:r>
      <w:r w:rsidR="008F4FCB" w:rsidRPr="005C2CEC">
        <w:t xml:space="preserve">od počiatočnej identifikácie </w:t>
      </w:r>
      <w:r w:rsidR="00BD63AA" w:rsidRPr="005C2CEC">
        <w:t xml:space="preserve">a určenia </w:t>
      </w:r>
      <w:r w:rsidR="000C27F4" w:rsidRPr="005C2CEC">
        <w:t xml:space="preserve">investičných </w:t>
      </w:r>
      <w:r w:rsidR="00BD63AA" w:rsidRPr="005C2CEC">
        <w:t>priorít</w:t>
      </w:r>
      <w:r w:rsidR="008F4FCB" w:rsidRPr="005C2CEC">
        <w:t xml:space="preserve">, cez prípravu investičných projektov, posúdenie ich </w:t>
      </w:r>
      <w:r w:rsidR="000C27F4" w:rsidRPr="005C2CEC">
        <w:t>s</w:t>
      </w:r>
      <w:r w:rsidR="00131E4A" w:rsidRPr="005C2CEC">
        <w:t>poločensko-ekonomickej</w:t>
      </w:r>
      <w:r w:rsidR="000C27F4" w:rsidRPr="005C2CEC">
        <w:t xml:space="preserve"> návratnosti</w:t>
      </w:r>
      <w:r w:rsidR="008F4FCB" w:rsidRPr="005C2CEC">
        <w:t>, až po realizáciu a</w:t>
      </w:r>
      <w:r w:rsidR="00F003EF" w:rsidRPr="005C2CEC">
        <w:t xml:space="preserve"> následné </w:t>
      </w:r>
      <w:r w:rsidR="008F4FCB" w:rsidRPr="005C2CEC">
        <w:t>vyhodnotenie</w:t>
      </w:r>
      <w:r w:rsidR="008342D5" w:rsidRPr="005C2CEC">
        <w:t xml:space="preserve"> investičných projektov</w:t>
      </w:r>
      <w:r w:rsidR="004976DB" w:rsidRPr="005C2CEC">
        <w:t>.</w:t>
      </w:r>
      <w:r w:rsidR="00134A91" w:rsidRPr="005C2CEC">
        <w:t xml:space="preserve"> </w:t>
      </w:r>
      <w:r w:rsidR="00B608EA">
        <w:t>Metodika</w:t>
      </w:r>
      <w:r w:rsidR="00883468">
        <w:t xml:space="preserve"> </w:t>
      </w:r>
      <w:r w:rsidR="00134A91" w:rsidRPr="005C2CEC">
        <w:t>špecifikuje spoluprácu medzi jednotlivými zúčastnenými stranami a </w:t>
      </w:r>
      <w:r w:rsidR="003E0DFD" w:rsidRPr="005C2CEC">
        <w:t>princípy</w:t>
      </w:r>
      <w:r w:rsidR="00134A91" w:rsidRPr="005C2CEC">
        <w:t xml:space="preserve"> transparentnej výmeny údajov. </w:t>
      </w:r>
      <w:r w:rsidR="00707D31">
        <w:t>A</w:t>
      </w:r>
      <w:r w:rsidR="00913463" w:rsidRPr="005C2CEC">
        <w:t>mbíci</w:t>
      </w:r>
      <w:r w:rsidR="00707D31">
        <w:t>o</w:t>
      </w:r>
      <w:r w:rsidR="00134A91" w:rsidRPr="005C2CEC">
        <w:t xml:space="preserve">u </w:t>
      </w:r>
      <w:r w:rsidR="00707D31">
        <w:t xml:space="preserve">je </w:t>
      </w:r>
      <w:r w:rsidR="00134A91" w:rsidRPr="005C2CEC">
        <w:t>sprehľadn</w:t>
      </w:r>
      <w:r w:rsidR="00707D31">
        <w:t>enie</w:t>
      </w:r>
      <w:r w:rsidR="00134A91" w:rsidRPr="005C2CEC">
        <w:t xml:space="preserve"> proces</w:t>
      </w:r>
      <w:r w:rsidR="00707D31">
        <w:t>u</w:t>
      </w:r>
      <w:r w:rsidR="00134A91" w:rsidRPr="005C2CEC">
        <w:t xml:space="preserve"> riadeni</w:t>
      </w:r>
      <w:r w:rsidR="00707D31">
        <w:t>a</w:t>
      </w:r>
      <w:r w:rsidR="00134A91" w:rsidRPr="005C2CEC">
        <w:t xml:space="preserve"> verejných investícií, </w:t>
      </w:r>
      <w:r w:rsidR="003E0DFD" w:rsidRPr="005C2CEC">
        <w:t>zrých</w:t>
      </w:r>
      <w:r w:rsidR="00707D31">
        <w:t>lenie</w:t>
      </w:r>
      <w:r w:rsidR="003E0DFD" w:rsidRPr="005C2CEC">
        <w:t xml:space="preserve"> príprav</w:t>
      </w:r>
      <w:r w:rsidR="00707D31">
        <w:t>y</w:t>
      </w:r>
      <w:r w:rsidR="003E0DFD" w:rsidRPr="005C2CEC">
        <w:t xml:space="preserve"> investičných projektov </w:t>
      </w:r>
      <w:r w:rsidR="00134A91" w:rsidRPr="005C2CEC">
        <w:t>a zvýš</w:t>
      </w:r>
      <w:r w:rsidR="00707D31">
        <w:t>enie</w:t>
      </w:r>
      <w:r w:rsidR="00134A91" w:rsidRPr="005C2CEC">
        <w:t xml:space="preserve"> kvalit</w:t>
      </w:r>
      <w:r w:rsidR="00707D31">
        <w:t>y</w:t>
      </w:r>
      <w:r w:rsidR="00134A91" w:rsidRPr="005C2CEC">
        <w:t xml:space="preserve"> </w:t>
      </w:r>
      <w:r w:rsidR="003E0DFD" w:rsidRPr="005C2CEC">
        <w:t>ich pripravenosti</w:t>
      </w:r>
      <w:r w:rsidR="00134A91" w:rsidRPr="005C2CEC">
        <w:t xml:space="preserve">. Aktivity opísané v dokumente </w:t>
      </w:r>
      <w:r w:rsidR="003E0DFD" w:rsidRPr="005C2CEC">
        <w:t>vyplývajú z platn</w:t>
      </w:r>
      <w:r w:rsidR="00707D31">
        <w:t>ej legislatívy</w:t>
      </w:r>
      <w:r w:rsidR="00134A91" w:rsidRPr="005C2CEC">
        <w:t xml:space="preserve"> a nezavádzajú pre subjekty verejnej správy nové povinnosti.</w:t>
      </w:r>
    </w:p>
    <w:p w14:paraId="741C87A8" w14:textId="559334CB" w:rsidR="00BE0AF0" w:rsidRDefault="00F003EF" w:rsidP="001054F1">
      <w:r w:rsidRPr="005C2CEC">
        <w:t xml:space="preserve">Dokument opisuje </w:t>
      </w:r>
      <w:r w:rsidR="003F2712" w:rsidRPr="005C2CEC">
        <w:t xml:space="preserve">úlohy </w:t>
      </w:r>
      <w:r w:rsidRPr="005C2CEC">
        <w:t xml:space="preserve">subjektov, ktoré plánujú realizovať </w:t>
      </w:r>
      <w:r w:rsidR="00983211" w:rsidRPr="005C2CEC">
        <w:t>investičné projekty</w:t>
      </w:r>
      <w:r w:rsidR="000C27F4" w:rsidRPr="005C2CEC">
        <w:t xml:space="preserve"> z verejných prostriedkov</w:t>
      </w:r>
      <w:r w:rsidR="008342D5" w:rsidRPr="005C2CEC">
        <w:t>, ako aj pôsobnosť MF</w:t>
      </w:r>
      <w:r w:rsidR="00280F96" w:rsidRPr="005C2CEC">
        <w:t> </w:t>
      </w:r>
      <w:r w:rsidR="008342D5" w:rsidRPr="005C2CEC">
        <w:t>SR</w:t>
      </w:r>
      <w:r w:rsidR="000C27F4" w:rsidRPr="005C2CEC">
        <w:t xml:space="preserve"> pri ekonomickom hodnotení spoločensk</w:t>
      </w:r>
      <w:r w:rsidR="00131E4A" w:rsidRPr="005C2CEC">
        <w:t>o-ekonomickej</w:t>
      </w:r>
      <w:r w:rsidR="000C27F4" w:rsidRPr="005C2CEC">
        <w:t xml:space="preserve"> návratnosti projektov</w:t>
      </w:r>
      <w:r w:rsidR="008342D5" w:rsidRPr="005C2CEC">
        <w:t xml:space="preserve"> ako investičnej autority</w:t>
      </w:r>
      <w:r w:rsidRPr="005C2CEC">
        <w:t>.</w:t>
      </w:r>
      <w:r w:rsidR="0010386F">
        <w:t xml:space="preserve"> </w:t>
      </w:r>
      <w:r w:rsidR="008342D5" w:rsidRPr="005C2CEC">
        <w:t>Úlohou MF SR</w:t>
      </w:r>
      <w:r w:rsidRPr="005C2CEC">
        <w:t xml:space="preserve"> v procese riadenia verejných investícií</w:t>
      </w:r>
      <w:r w:rsidR="00C05660" w:rsidRPr="005C2CEC">
        <w:t xml:space="preserve"> </w:t>
      </w:r>
      <w:r w:rsidR="008342D5" w:rsidRPr="005C2CEC">
        <w:t xml:space="preserve">je </w:t>
      </w:r>
      <w:r w:rsidR="00E132BC">
        <w:t>hodnotiť investičné plány a investičné projekty</w:t>
      </w:r>
      <w:r w:rsidR="00E132BC" w:rsidRPr="005C2CEC">
        <w:t xml:space="preserve"> </w:t>
      </w:r>
      <w:r w:rsidR="00E132BC">
        <w:t>s ohľadom</w:t>
      </w:r>
      <w:r w:rsidR="00E132BC" w:rsidRPr="005C2CEC">
        <w:t xml:space="preserve"> </w:t>
      </w:r>
      <w:r w:rsidR="00E132BC">
        <w:t xml:space="preserve">na </w:t>
      </w:r>
      <w:r w:rsidR="00710B31">
        <w:t xml:space="preserve">uplatňovanie princípu hodnoty za peniaze, ako aj </w:t>
      </w:r>
      <w:r w:rsidR="00E132BC">
        <w:t>pravidlá uvedené</w:t>
      </w:r>
      <w:r w:rsidR="00710B31">
        <w:t xml:space="preserve"> v</w:t>
      </w:r>
      <w:r w:rsidR="00B608EA">
        <w:t> tejto metodike</w:t>
      </w:r>
      <w:r w:rsidR="00710B31">
        <w:t>.</w:t>
      </w:r>
      <w:r w:rsidR="00983BC0" w:rsidRPr="00983BC0">
        <w:t xml:space="preserve"> </w:t>
      </w:r>
      <w:r w:rsidR="00983BC0">
        <w:t xml:space="preserve">Ekonomické </w:t>
      </w:r>
      <w:r w:rsidR="00983BC0">
        <w:lastRenderedPageBreak/>
        <w:t>hodnotenie MF SR má pre investorov odporúčací charakter a negarantuje prostriedky z rozpočtu verejnej správy</w:t>
      </w:r>
      <w:r w:rsidR="00C02702">
        <w:t xml:space="preserve"> v hodnote investičného projektu</w:t>
      </w:r>
      <w:r w:rsidR="00983BC0">
        <w:t>.</w:t>
      </w:r>
      <w:r w:rsidR="00C02702">
        <w:t xml:space="preserve"> Rozhodnutie o realizácii projektu je v kompetencii jednotlivých </w:t>
      </w:r>
      <w:r w:rsidR="000B0B3F">
        <w:t>ministerstiev</w:t>
      </w:r>
      <w:r w:rsidR="00C02702">
        <w:t>.</w:t>
      </w:r>
      <w:r w:rsidR="00983BC0" w:rsidRPr="005C2CEC">
        <w:t xml:space="preserve"> </w:t>
      </w:r>
    </w:p>
    <w:p w14:paraId="4ED8D4C6" w14:textId="6D1FC9DC" w:rsidR="005074A7" w:rsidRDefault="005074A7" w:rsidP="005074A7">
      <w:pPr>
        <w:pStyle w:val="Popis"/>
      </w:pPr>
      <w:r>
        <w:t xml:space="preserve">Box </w:t>
      </w:r>
      <w:r w:rsidR="00491CAD">
        <w:rPr>
          <w:noProof/>
        </w:rPr>
        <w:fldChar w:fldCharType="begin"/>
      </w:r>
      <w:r w:rsidR="00491CAD">
        <w:rPr>
          <w:noProof/>
        </w:rPr>
        <w:instrText xml:space="preserve"> SEQ Box \* ARABIC </w:instrText>
      </w:r>
      <w:r w:rsidR="00491CAD">
        <w:rPr>
          <w:noProof/>
        </w:rPr>
        <w:fldChar w:fldCharType="separate"/>
      </w:r>
      <w:r w:rsidR="000D2AF7">
        <w:rPr>
          <w:noProof/>
        </w:rPr>
        <w:t>1</w:t>
      </w:r>
      <w:r w:rsidR="00491CAD">
        <w:rPr>
          <w:noProof/>
        </w:rPr>
        <w:fldChar w:fldCharType="end"/>
      </w:r>
      <w:r>
        <w:t>:</w:t>
      </w:r>
      <w:r w:rsidRPr="005074A7">
        <w:t xml:space="preserve"> </w:t>
      </w:r>
      <w:r w:rsidRPr="005C2CEC">
        <w:t>Verejné investície</w:t>
      </w:r>
      <w:r w:rsidRPr="005C2CEC">
        <w:rPr>
          <w:szCs w:val="22"/>
        </w:rPr>
        <w:t xml:space="preserve"> v štátnom rozpočte</w:t>
      </w:r>
      <w:r w:rsidRPr="005C2CEC">
        <w:t xml:space="preserve"> od začiatku prípravy</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Look w:val="04A0" w:firstRow="1" w:lastRow="0" w:firstColumn="1" w:lastColumn="0" w:noHBand="0" w:noVBand="1"/>
      </w:tblPr>
      <w:tblGrid>
        <w:gridCol w:w="9062"/>
      </w:tblGrid>
      <w:tr w:rsidR="00EC3476" w:rsidRPr="005C2CEC" w14:paraId="4C1407F3" w14:textId="77777777" w:rsidTr="006430B8">
        <w:tc>
          <w:tcPr>
            <w:tcW w:w="9062" w:type="dxa"/>
            <w:shd w:val="clear" w:color="auto" w:fill="DEEAF6" w:themeFill="accent1" w:themeFillTint="33"/>
          </w:tcPr>
          <w:p w14:paraId="42AA347B" w14:textId="17BA4B4F" w:rsidR="00EC3476" w:rsidRPr="005C2CEC" w:rsidRDefault="00EC3476" w:rsidP="006430B8">
            <w:pPr>
              <w:rPr>
                <w:szCs w:val="28"/>
              </w:rPr>
            </w:pPr>
            <w:r w:rsidRPr="005C2CEC">
              <w:t>Rozpočet verejnej správy by mal poskytovať k</w:t>
            </w:r>
            <w:r w:rsidRPr="005C2CEC">
              <w:rPr>
                <w:szCs w:val="28"/>
              </w:rPr>
              <w:t>omplexné a systematické informácie o projektoch verejných investícií financovaných z</w:t>
            </w:r>
            <w:r w:rsidR="002757FB">
              <w:rPr>
                <w:szCs w:val="28"/>
              </w:rPr>
              <w:t> prostriedkov štátneho rozpočtu, zdrojov EÚ, a iných prostriedkov zo zahraničia</w:t>
            </w:r>
            <w:r w:rsidRPr="005C2CEC">
              <w:rPr>
                <w:szCs w:val="28"/>
              </w:rPr>
              <w:t xml:space="preserve">. </w:t>
            </w:r>
            <w:r w:rsidRPr="005C2CEC">
              <w:t>Medzinárodný menový fond (MMF) v rámci projektu Public Investment Management Assessments (PIMA) odporúča zvýšiť transparentnosť a vypovedaciu hodnotu rozpočtu verejných investícií. Rozpočtové dokumenty by mali obsahovať viac informácií o veľkých kapitálových výdavkoch (</w:t>
            </w:r>
            <w:r w:rsidRPr="005C2CEC">
              <w:rPr>
                <w:szCs w:val="28"/>
              </w:rPr>
              <w:t>celkové stavebné náklady na projekty, rozpis týchto nákladov na obdobie trvania stavby, zdroj financovania a pod.) a analýzy dôvodov pre prenosy z jedného rozpočtového roka do nasledujúceho roka z hľadiska kapitálových aj opakovaných výdavkov.</w:t>
            </w:r>
          </w:p>
          <w:p w14:paraId="16AC1CDE" w14:textId="45461246" w:rsidR="00EC3476" w:rsidRPr="005C2CEC" w:rsidRDefault="00EC3476" w:rsidP="006430B8">
            <w:pPr>
              <w:pStyle w:val="Popis"/>
            </w:pPr>
            <w:bookmarkStart w:id="81" w:name="_Toc83651106"/>
            <w:r w:rsidRPr="005C2CEC">
              <w:t xml:space="preserve">Tabuľka </w:t>
            </w:r>
            <w:r w:rsidRPr="005C2CEC">
              <w:rPr>
                <w:noProof/>
              </w:rPr>
              <w:fldChar w:fldCharType="begin"/>
            </w:r>
            <w:r w:rsidRPr="005C2CEC">
              <w:rPr>
                <w:noProof/>
              </w:rPr>
              <w:instrText xml:space="preserve"> SEQ Tabuľka \* ARABIC </w:instrText>
            </w:r>
            <w:r w:rsidRPr="005C2CEC">
              <w:rPr>
                <w:noProof/>
              </w:rPr>
              <w:fldChar w:fldCharType="separate"/>
            </w:r>
            <w:r w:rsidR="003B5091">
              <w:rPr>
                <w:noProof/>
              </w:rPr>
              <w:t>1</w:t>
            </w:r>
            <w:r w:rsidRPr="005C2CEC">
              <w:rPr>
                <w:noProof/>
              </w:rPr>
              <w:fldChar w:fldCharType="end"/>
            </w:r>
            <w:r w:rsidRPr="005C2CEC">
              <w:t xml:space="preserve"> Časť hodnotenie PIMA (MMF) ohľadom rozpočtového procesu verejných investícií*</w:t>
            </w:r>
            <w:bookmarkEnd w:id="81"/>
          </w:p>
          <w:tbl>
            <w:tblPr>
              <w:tblW w:w="5000" w:type="pct"/>
              <w:tblLook w:val="04A0" w:firstRow="1" w:lastRow="0" w:firstColumn="1" w:lastColumn="0" w:noHBand="0" w:noVBand="1"/>
            </w:tblPr>
            <w:tblGrid>
              <w:gridCol w:w="1267"/>
              <w:gridCol w:w="3174"/>
              <w:gridCol w:w="407"/>
              <w:gridCol w:w="3998"/>
            </w:tblGrid>
            <w:tr w:rsidR="00EC3476" w:rsidRPr="005C2CEC" w14:paraId="633EBDF9" w14:textId="77777777" w:rsidTr="006430B8">
              <w:trPr>
                <w:trHeight w:val="111"/>
              </w:trPr>
              <w:tc>
                <w:tcPr>
                  <w:tcW w:w="716" w:type="pct"/>
                  <w:tcBorders>
                    <w:top w:val="single" w:sz="4" w:space="0" w:color="auto"/>
                    <w:bottom w:val="single" w:sz="4" w:space="0" w:color="auto"/>
                  </w:tcBorders>
                  <w:shd w:val="clear" w:color="auto" w:fill="auto"/>
                </w:tcPr>
                <w:p w14:paraId="63DC1D61" w14:textId="77777777" w:rsidR="00EC3476" w:rsidRPr="005C2CEC" w:rsidRDefault="00EC3476" w:rsidP="006430B8">
                  <w:pPr>
                    <w:spacing w:after="0"/>
                    <w:jc w:val="center"/>
                    <w:rPr>
                      <w:rFonts w:cs="Segoe UI"/>
                      <w:b/>
                      <w:bCs/>
                      <w:color w:val="000000"/>
                      <w:kern w:val="24"/>
                      <w:sz w:val="18"/>
                      <w:szCs w:val="18"/>
                    </w:rPr>
                  </w:pPr>
                </w:p>
              </w:tc>
              <w:tc>
                <w:tcPr>
                  <w:tcW w:w="2024" w:type="pct"/>
                  <w:gridSpan w:val="2"/>
                  <w:tcBorders>
                    <w:top w:val="single" w:sz="4" w:space="0" w:color="auto"/>
                    <w:bottom w:val="single" w:sz="4" w:space="0" w:color="auto"/>
                  </w:tcBorders>
                  <w:shd w:val="clear" w:color="auto" w:fill="auto"/>
                  <w:vAlign w:val="center"/>
                </w:tcPr>
                <w:p w14:paraId="0E5FFCF1" w14:textId="77777777" w:rsidR="00EC3476" w:rsidRPr="005C2CEC" w:rsidRDefault="00EC3476" w:rsidP="006430B8">
                  <w:pPr>
                    <w:spacing w:after="0"/>
                    <w:jc w:val="center"/>
                    <w:rPr>
                      <w:rFonts w:cs="Segoe UI"/>
                      <w:b/>
                      <w:bCs/>
                      <w:color w:val="000000"/>
                      <w:kern w:val="24"/>
                    </w:rPr>
                  </w:pPr>
                  <w:r w:rsidRPr="005C2CEC">
                    <w:rPr>
                      <w:rFonts w:cs="Segoe UI"/>
                      <w:b/>
                      <w:bCs/>
                      <w:color w:val="000000"/>
                      <w:kern w:val="24"/>
                    </w:rPr>
                    <w:t>Inštitucionálny rámec (de jure)</w:t>
                  </w:r>
                </w:p>
              </w:tc>
              <w:tc>
                <w:tcPr>
                  <w:tcW w:w="2260" w:type="pct"/>
                  <w:tcBorders>
                    <w:top w:val="single" w:sz="4" w:space="0" w:color="auto"/>
                    <w:bottom w:val="single" w:sz="4" w:space="0" w:color="auto"/>
                  </w:tcBorders>
                  <w:shd w:val="clear" w:color="auto" w:fill="auto"/>
                  <w:vAlign w:val="center"/>
                </w:tcPr>
                <w:p w14:paraId="13774FD8" w14:textId="77777777" w:rsidR="00EC3476" w:rsidRPr="005C2CEC" w:rsidRDefault="00EC3476" w:rsidP="006430B8">
                  <w:pPr>
                    <w:spacing w:after="0"/>
                    <w:jc w:val="center"/>
                    <w:rPr>
                      <w:rFonts w:cs="Segoe UI"/>
                      <w:b/>
                    </w:rPr>
                  </w:pPr>
                  <w:r w:rsidRPr="005C2CEC">
                    <w:rPr>
                      <w:rFonts w:cs="Segoe UI"/>
                      <w:b/>
                    </w:rPr>
                    <w:t xml:space="preserve">Účinnosť / prax (de facto) </w:t>
                  </w:r>
                </w:p>
              </w:tc>
            </w:tr>
            <w:tr w:rsidR="00EC3476" w:rsidRPr="005C2CEC" w14:paraId="46A238F4" w14:textId="77777777" w:rsidTr="006430B8">
              <w:trPr>
                <w:cantSplit/>
                <w:trHeight w:val="580"/>
              </w:trPr>
              <w:tc>
                <w:tcPr>
                  <w:tcW w:w="716" w:type="pct"/>
                  <w:tcBorders>
                    <w:top w:val="single" w:sz="4" w:space="0" w:color="auto"/>
                    <w:bottom w:val="single" w:sz="4" w:space="0" w:color="auto"/>
                  </w:tcBorders>
                  <w:vAlign w:val="center"/>
                  <w:hideMark/>
                </w:tcPr>
                <w:p w14:paraId="790AF59C" w14:textId="77777777" w:rsidR="00EC3476" w:rsidRPr="005C2CEC" w:rsidRDefault="00EC3476" w:rsidP="006430B8">
                  <w:pPr>
                    <w:spacing w:after="0"/>
                    <w:rPr>
                      <w:rFonts w:cs="Segoe UI"/>
                      <w:b/>
                      <w:sz w:val="18"/>
                      <w:szCs w:val="18"/>
                    </w:rPr>
                  </w:pPr>
                  <w:r w:rsidRPr="005C2CEC">
                    <w:rPr>
                      <w:rFonts w:cs="Segoe UI"/>
                      <w:b/>
                      <w:sz w:val="18"/>
                      <w:szCs w:val="18"/>
                    </w:rPr>
                    <w:t>Viacročné rozpočtovanie</w:t>
                  </w:r>
                </w:p>
              </w:tc>
              <w:tc>
                <w:tcPr>
                  <w:tcW w:w="2024" w:type="pct"/>
                  <w:gridSpan w:val="2"/>
                  <w:tcBorders>
                    <w:top w:val="single" w:sz="4" w:space="0" w:color="auto"/>
                    <w:bottom w:val="single" w:sz="4" w:space="0" w:color="auto"/>
                  </w:tcBorders>
                  <w:shd w:val="clear" w:color="auto" w:fill="FFF2CC" w:themeFill="accent4" w:themeFillTint="33"/>
                </w:tcPr>
                <w:p w14:paraId="347D610D" w14:textId="77777777" w:rsidR="00EC3476" w:rsidRPr="005C2CEC" w:rsidRDefault="00EC3476" w:rsidP="006430B8">
                  <w:pPr>
                    <w:widowControl w:val="0"/>
                    <w:spacing w:after="0" w:line="240" w:lineRule="auto"/>
                    <w:rPr>
                      <w:rFonts w:eastAsia="Times New Roman" w:cs="Segoe UI"/>
                      <w:bCs/>
                      <w:color w:val="000000"/>
                      <w:sz w:val="18"/>
                      <w:szCs w:val="18"/>
                    </w:rPr>
                  </w:pPr>
                  <w:r w:rsidRPr="005C2CEC">
                    <w:rPr>
                      <w:rFonts w:eastAsia="Times New Roman" w:cs="Segoe UI"/>
                      <w:b/>
                      <w:bCs/>
                      <w:color w:val="000000"/>
                      <w:sz w:val="18"/>
                      <w:szCs w:val="18"/>
                    </w:rPr>
                    <w:t>Stredná (5)</w:t>
                  </w:r>
                  <w:r w:rsidRPr="005C2CEC">
                    <w:rPr>
                      <w:rFonts w:eastAsia="Times New Roman" w:cs="Segoe UI"/>
                      <w:color w:val="000000"/>
                      <w:sz w:val="18"/>
                      <w:szCs w:val="18"/>
                    </w:rPr>
                    <w:t>: Viacročný horizont existuje pre kapitálové výdavky členené podľa ministerstva. 3 - ročné obdobie pre výdavkové jednotky a programy, s orientačnými stropmi. Podrobné informácie o projekciách o nákladoch na projekty financované EÚ, ale nie na projekty financované z rozpočtu</w:t>
                  </w:r>
                </w:p>
              </w:tc>
              <w:tc>
                <w:tcPr>
                  <w:tcW w:w="2260" w:type="pct"/>
                  <w:tcBorders>
                    <w:top w:val="single" w:sz="4" w:space="0" w:color="auto"/>
                    <w:bottom w:val="single" w:sz="4" w:space="0" w:color="auto"/>
                  </w:tcBorders>
                  <w:shd w:val="clear" w:color="auto" w:fill="FFF2CC" w:themeFill="accent4" w:themeFillTint="33"/>
                </w:tcPr>
                <w:p w14:paraId="49010178" w14:textId="77777777" w:rsidR="00EC3476" w:rsidRPr="005C2CEC" w:rsidRDefault="00EC3476" w:rsidP="006430B8">
                  <w:pPr>
                    <w:widowControl w:val="0"/>
                    <w:spacing w:after="0" w:line="240" w:lineRule="auto"/>
                    <w:rPr>
                      <w:rFonts w:eastAsia="Times New Roman" w:cs="Segoe UI"/>
                      <w:bCs/>
                      <w:sz w:val="18"/>
                      <w:szCs w:val="18"/>
                    </w:rPr>
                  </w:pPr>
                  <w:r w:rsidRPr="005C2CEC">
                    <w:rPr>
                      <w:rFonts w:eastAsia="Times New Roman" w:cs="Segoe UI"/>
                      <w:b/>
                      <w:bCs/>
                      <w:sz w:val="18"/>
                      <w:szCs w:val="18"/>
                    </w:rPr>
                    <w:t xml:space="preserve">Stredná (3,3): </w:t>
                  </w:r>
                  <w:r w:rsidRPr="005C2CEC">
                    <w:rPr>
                      <w:rFonts w:eastAsia="Times New Roman" w:cs="Segoe UI"/>
                      <w:sz w:val="18"/>
                      <w:szCs w:val="18"/>
                    </w:rPr>
                    <w:t>Stropy sa v posledných rokoch podstatne zmenili. Investície financované z EÚ sa v priebehu roka menia vzhľadom na informácie o konkrétnych projektoch a potrebu spolufinancovania. Zverejnené údaje o nákladoch na projekt sú obmedzené</w:t>
                  </w:r>
                </w:p>
              </w:tc>
            </w:tr>
            <w:tr w:rsidR="00EC3476" w:rsidRPr="005C2CEC" w14:paraId="3B13556C" w14:textId="77777777" w:rsidTr="006430B8">
              <w:trPr>
                <w:cantSplit/>
                <w:trHeight w:val="736"/>
              </w:trPr>
              <w:tc>
                <w:tcPr>
                  <w:tcW w:w="716" w:type="pct"/>
                  <w:tcBorders>
                    <w:top w:val="single" w:sz="4" w:space="0" w:color="auto"/>
                    <w:bottom w:val="single" w:sz="4" w:space="0" w:color="auto"/>
                  </w:tcBorders>
                  <w:vAlign w:val="center"/>
                  <w:hideMark/>
                </w:tcPr>
                <w:p w14:paraId="586FB2BE" w14:textId="77777777" w:rsidR="00EC3476" w:rsidRPr="005C2CEC" w:rsidRDefault="00EC3476" w:rsidP="006430B8">
                  <w:pPr>
                    <w:spacing w:after="0"/>
                    <w:rPr>
                      <w:rFonts w:cs="Segoe UI"/>
                      <w:b/>
                      <w:sz w:val="18"/>
                      <w:szCs w:val="18"/>
                    </w:rPr>
                  </w:pPr>
                  <w:r w:rsidRPr="005C2CEC">
                    <w:rPr>
                      <w:rFonts w:cs="Segoe UI"/>
                      <w:b/>
                      <w:sz w:val="18"/>
                      <w:szCs w:val="18"/>
                    </w:rPr>
                    <w:t xml:space="preserve">Rozpočtová komplexnosť </w:t>
                  </w:r>
                </w:p>
              </w:tc>
              <w:tc>
                <w:tcPr>
                  <w:tcW w:w="2024" w:type="pct"/>
                  <w:gridSpan w:val="2"/>
                  <w:tcBorders>
                    <w:top w:val="single" w:sz="4" w:space="0" w:color="auto"/>
                    <w:bottom w:val="single" w:sz="4" w:space="0" w:color="auto"/>
                  </w:tcBorders>
                  <w:shd w:val="clear" w:color="auto" w:fill="FFF2CC" w:themeFill="accent4" w:themeFillTint="33"/>
                </w:tcPr>
                <w:p w14:paraId="50291583" w14:textId="77777777" w:rsidR="00EC3476" w:rsidRPr="005C2CEC" w:rsidRDefault="00EC3476" w:rsidP="006430B8">
                  <w:pPr>
                    <w:widowControl w:val="0"/>
                    <w:spacing w:after="0" w:line="240" w:lineRule="auto"/>
                    <w:rPr>
                      <w:rFonts w:eastAsia="Times New Roman" w:cs="Segoe UI"/>
                      <w:color w:val="000000"/>
                      <w:sz w:val="18"/>
                      <w:szCs w:val="18"/>
                    </w:rPr>
                  </w:pPr>
                  <w:r w:rsidRPr="005C2CEC">
                    <w:rPr>
                      <w:rFonts w:eastAsia="Times New Roman" w:cs="Segoe UI"/>
                      <w:b/>
                      <w:color w:val="000000"/>
                      <w:sz w:val="18"/>
                      <w:szCs w:val="18"/>
                    </w:rPr>
                    <w:t xml:space="preserve">Stredná (3,3): </w:t>
                  </w:r>
                  <w:r w:rsidRPr="005C2CEC">
                    <w:rPr>
                      <w:rFonts w:eastAsia="Times New Roman" w:cs="Segoe UI"/>
                      <w:bCs/>
                      <w:color w:val="000000"/>
                      <w:sz w:val="18"/>
                      <w:szCs w:val="18"/>
                    </w:rPr>
                    <w:t>Významné výdavky, ktoré vynaložili štátne podniky a fondy sociálneho zabezpečenia. Rozpočet kapitálových a bežných výdavkov sa pripravuje spoločne.</w:t>
                  </w:r>
                </w:p>
              </w:tc>
              <w:tc>
                <w:tcPr>
                  <w:tcW w:w="2260" w:type="pct"/>
                  <w:tcBorders>
                    <w:top w:val="single" w:sz="4" w:space="0" w:color="auto"/>
                    <w:bottom w:val="single" w:sz="4" w:space="0" w:color="auto"/>
                  </w:tcBorders>
                  <w:shd w:val="clear" w:color="auto" w:fill="FFF2CC" w:themeFill="accent4" w:themeFillTint="33"/>
                </w:tcPr>
                <w:p w14:paraId="532B3168" w14:textId="77777777" w:rsidR="00EC3476" w:rsidRPr="005C2CEC" w:rsidRDefault="00EC3476" w:rsidP="006430B8">
                  <w:pPr>
                    <w:widowControl w:val="0"/>
                    <w:spacing w:after="0" w:line="240" w:lineRule="auto"/>
                    <w:rPr>
                      <w:rFonts w:eastAsia="Times New Roman" w:cs="Segoe UI"/>
                      <w:color w:val="000000"/>
                      <w:sz w:val="18"/>
                      <w:szCs w:val="18"/>
                    </w:rPr>
                  </w:pPr>
                  <w:r w:rsidRPr="005C2CEC">
                    <w:rPr>
                      <w:rFonts w:eastAsia="Times New Roman" w:cs="Segoe UI"/>
                      <w:b/>
                      <w:color w:val="000000"/>
                      <w:sz w:val="18"/>
                      <w:szCs w:val="18"/>
                    </w:rPr>
                    <w:t xml:space="preserve">Stredná (3,3): </w:t>
                  </w:r>
                  <w:r w:rsidRPr="005C2CEC">
                    <w:rPr>
                      <w:rFonts w:eastAsia="Times New Roman" w:cs="Segoe UI"/>
                      <w:bCs/>
                      <w:color w:val="000000"/>
                      <w:sz w:val="18"/>
                      <w:szCs w:val="18"/>
                    </w:rPr>
                    <w:t>Nedostatok podrobných informácií v rozpočtových dokumentoch na úrovni projektu.</w:t>
                  </w:r>
                </w:p>
              </w:tc>
            </w:tr>
            <w:tr w:rsidR="00EC3476" w:rsidRPr="005C2CEC" w14:paraId="75C33CA4" w14:textId="77777777" w:rsidTr="006430B8">
              <w:trPr>
                <w:cantSplit/>
                <w:trHeight w:val="580"/>
              </w:trPr>
              <w:tc>
                <w:tcPr>
                  <w:tcW w:w="716" w:type="pct"/>
                  <w:tcBorders>
                    <w:top w:val="single" w:sz="4" w:space="0" w:color="auto"/>
                    <w:bottom w:val="single" w:sz="4" w:space="0" w:color="auto"/>
                  </w:tcBorders>
                  <w:vAlign w:val="center"/>
                  <w:hideMark/>
                </w:tcPr>
                <w:p w14:paraId="6FC0E6A0" w14:textId="77777777" w:rsidR="00EC3476" w:rsidRPr="005C2CEC" w:rsidRDefault="00EC3476" w:rsidP="006430B8">
                  <w:pPr>
                    <w:spacing w:after="0"/>
                    <w:rPr>
                      <w:rFonts w:cs="Segoe UI"/>
                      <w:b/>
                      <w:sz w:val="18"/>
                      <w:szCs w:val="18"/>
                    </w:rPr>
                  </w:pPr>
                  <w:r w:rsidRPr="005C2CEC">
                    <w:rPr>
                      <w:rFonts w:cs="Segoe UI"/>
                      <w:b/>
                      <w:sz w:val="18"/>
                      <w:szCs w:val="18"/>
                    </w:rPr>
                    <w:t>Rozpočtovanie investícií</w:t>
                  </w:r>
                </w:p>
              </w:tc>
              <w:tc>
                <w:tcPr>
                  <w:tcW w:w="2024" w:type="pct"/>
                  <w:gridSpan w:val="2"/>
                  <w:tcBorders>
                    <w:top w:val="single" w:sz="4" w:space="0" w:color="auto"/>
                    <w:bottom w:val="single" w:sz="4" w:space="0" w:color="auto"/>
                  </w:tcBorders>
                  <w:shd w:val="clear" w:color="auto" w:fill="FFF2CC" w:themeFill="accent4" w:themeFillTint="33"/>
                </w:tcPr>
                <w:p w14:paraId="565C7286" w14:textId="77777777" w:rsidR="00EC3476" w:rsidRPr="005C2CEC" w:rsidRDefault="00EC3476" w:rsidP="006430B8">
                  <w:pPr>
                    <w:widowControl w:val="0"/>
                    <w:spacing w:after="0" w:line="240" w:lineRule="auto"/>
                    <w:rPr>
                      <w:rFonts w:eastAsia="Times New Roman" w:cs="Segoe UI"/>
                      <w:color w:val="000000"/>
                      <w:sz w:val="18"/>
                      <w:szCs w:val="18"/>
                    </w:rPr>
                  </w:pPr>
                  <w:r w:rsidRPr="005C2CEC">
                    <w:rPr>
                      <w:rFonts w:eastAsia="Times New Roman" w:cs="Segoe UI"/>
                      <w:b/>
                      <w:color w:val="000000"/>
                      <w:sz w:val="18"/>
                      <w:szCs w:val="18"/>
                    </w:rPr>
                    <w:t xml:space="preserve">Stredná (3,3): </w:t>
                  </w:r>
                  <w:r w:rsidRPr="005C2CEC">
                    <w:rPr>
                      <w:rFonts w:eastAsia="Times New Roman" w:cs="Segoe UI"/>
                      <w:bCs/>
                      <w:color w:val="000000"/>
                      <w:sz w:val="18"/>
                      <w:szCs w:val="18"/>
                    </w:rPr>
                    <w:t>Výdavky povolené ročne. MF vykonáva zásadné zmeny rozpočtu v roku bez legislatívneho schválenia.</w:t>
                  </w:r>
                </w:p>
              </w:tc>
              <w:tc>
                <w:tcPr>
                  <w:tcW w:w="2260" w:type="pct"/>
                  <w:tcBorders>
                    <w:top w:val="single" w:sz="4" w:space="0" w:color="auto"/>
                    <w:bottom w:val="single" w:sz="4" w:space="0" w:color="auto"/>
                  </w:tcBorders>
                  <w:shd w:val="clear" w:color="auto" w:fill="FF0000"/>
                </w:tcPr>
                <w:p w14:paraId="33A255D3" w14:textId="77777777" w:rsidR="00EC3476" w:rsidRPr="005C2CEC" w:rsidRDefault="00EC3476" w:rsidP="006430B8">
                  <w:pPr>
                    <w:widowControl w:val="0"/>
                    <w:spacing w:after="0" w:line="240" w:lineRule="auto"/>
                    <w:rPr>
                      <w:rFonts w:eastAsia="Times New Roman" w:cs="Segoe UI"/>
                      <w:color w:val="000000"/>
                      <w:sz w:val="18"/>
                      <w:szCs w:val="18"/>
                    </w:rPr>
                  </w:pPr>
                  <w:r w:rsidRPr="005C2CEC">
                    <w:rPr>
                      <w:rFonts w:eastAsia="Times New Roman" w:cs="Segoe UI"/>
                      <w:b/>
                      <w:color w:val="000000"/>
                      <w:sz w:val="18"/>
                      <w:szCs w:val="18"/>
                    </w:rPr>
                    <w:t xml:space="preserve">Nízka (1,7): </w:t>
                  </w:r>
                  <w:r w:rsidRPr="005C2CEC">
                    <w:rPr>
                      <w:rFonts w:eastAsia="Times New Roman" w:cs="Segoe UI"/>
                      <w:bCs/>
                      <w:color w:val="000000"/>
                      <w:sz w:val="18"/>
                      <w:szCs w:val="18"/>
                    </w:rPr>
                    <w:t>Plnenie rozpočtu je voľné a nadmerné využívanie prenosov, ktoré nie sú transparentne vykazované. Veľké odchýlky medzi odhadmi a výsledkami rozpočtov (priemerne 40 percent pri kapitálových výdavkoch nad 5 rokov).</w:t>
                  </w:r>
                </w:p>
              </w:tc>
            </w:tr>
            <w:tr w:rsidR="00EC3476" w:rsidRPr="005C2CEC" w14:paraId="7600ACDD" w14:textId="77777777" w:rsidTr="006430B8">
              <w:trPr>
                <w:cantSplit/>
                <w:trHeight w:val="86"/>
              </w:trPr>
              <w:tc>
                <w:tcPr>
                  <w:tcW w:w="2510" w:type="pct"/>
                  <w:gridSpan w:val="2"/>
                  <w:tcBorders>
                    <w:top w:val="single" w:sz="4" w:space="0" w:color="auto"/>
                  </w:tcBorders>
                  <w:vAlign w:val="center"/>
                </w:tcPr>
                <w:p w14:paraId="5DFA5A3C" w14:textId="77777777" w:rsidR="00EC3476" w:rsidRPr="005C2CEC" w:rsidRDefault="00EC3476" w:rsidP="006430B8">
                  <w:pPr>
                    <w:widowControl w:val="0"/>
                    <w:spacing w:after="0" w:line="240" w:lineRule="auto"/>
                    <w:jc w:val="left"/>
                    <w:rPr>
                      <w:rFonts w:eastAsia="Times New Roman" w:cs="Segoe UI"/>
                      <w:bCs/>
                      <w:i/>
                      <w:iCs/>
                      <w:color w:val="000000"/>
                      <w:sz w:val="16"/>
                      <w:szCs w:val="16"/>
                    </w:rPr>
                  </w:pPr>
                  <w:r w:rsidRPr="005C2CEC">
                    <w:rPr>
                      <w:rFonts w:eastAsia="Times New Roman" w:cs="Segoe UI"/>
                      <w:bCs/>
                      <w:i/>
                      <w:iCs/>
                      <w:color w:val="000000"/>
                      <w:sz w:val="16"/>
                      <w:szCs w:val="16"/>
                    </w:rPr>
                    <w:t>* hodnotiace skóre MMF 10 bodov (najlepšie) až 0 bodov (najhoršie)</w:t>
                  </w:r>
                </w:p>
              </w:tc>
              <w:tc>
                <w:tcPr>
                  <w:tcW w:w="2490" w:type="pct"/>
                  <w:gridSpan w:val="2"/>
                  <w:tcBorders>
                    <w:top w:val="single" w:sz="4" w:space="0" w:color="auto"/>
                  </w:tcBorders>
                  <w:vAlign w:val="center"/>
                </w:tcPr>
                <w:p w14:paraId="686496F9" w14:textId="77777777" w:rsidR="00EC3476" w:rsidRPr="005C2CEC" w:rsidRDefault="00EC3476" w:rsidP="006430B8">
                  <w:pPr>
                    <w:widowControl w:val="0"/>
                    <w:spacing w:after="0" w:line="240" w:lineRule="auto"/>
                    <w:jc w:val="right"/>
                    <w:rPr>
                      <w:rFonts w:eastAsia="Times New Roman" w:cs="Segoe UI"/>
                      <w:bCs/>
                      <w:i/>
                      <w:iCs/>
                      <w:color w:val="000000"/>
                      <w:sz w:val="16"/>
                      <w:szCs w:val="16"/>
                    </w:rPr>
                  </w:pPr>
                  <w:r w:rsidRPr="005C2CEC">
                    <w:rPr>
                      <w:rFonts w:eastAsia="Times New Roman" w:cs="Segoe UI"/>
                      <w:bCs/>
                      <w:i/>
                      <w:iCs/>
                      <w:color w:val="000000"/>
                      <w:sz w:val="16"/>
                      <w:szCs w:val="16"/>
                    </w:rPr>
                    <w:t>Zdroj: MMF, PIMA report 2019</w:t>
                  </w:r>
                </w:p>
              </w:tc>
            </w:tr>
          </w:tbl>
          <w:p w14:paraId="12F49565" w14:textId="77777777" w:rsidR="00EC3476" w:rsidRPr="005C2CEC" w:rsidRDefault="00EC3476" w:rsidP="006430B8"/>
        </w:tc>
      </w:tr>
    </w:tbl>
    <w:p w14:paraId="1FD1D8A8" w14:textId="2A14E59A" w:rsidR="004976DB" w:rsidRPr="005C2CEC" w:rsidRDefault="004976DB" w:rsidP="009B34AE">
      <w:pPr>
        <w:pStyle w:val="Nadpis2"/>
        <w:spacing w:before="120"/>
        <w:ind w:left="578" w:hanging="578"/>
      </w:pPr>
      <w:bookmarkStart w:id="82" w:name="_Toc62580547"/>
      <w:bookmarkStart w:id="83" w:name="_Toc62653808"/>
      <w:bookmarkStart w:id="84" w:name="_Toc83651074"/>
      <w:bookmarkEnd w:id="82"/>
      <w:bookmarkEnd w:id="83"/>
      <w:r w:rsidRPr="005C2CEC">
        <w:t>Záväznosť dokumentu</w:t>
      </w:r>
      <w:bookmarkEnd w:id="84"/>
    </w:p>
    <w:p w14:paraId="30A661C2" w14:textId="61236CCC" w:rsidR="00A13E31" w:rsidRDefault="00EA187F" w:rsidP="00375C98">
      <w:r w:rsidRPr="005C2CEC">
        <w:t xml:space="preserve">Tento dokument je záväzný pre všetky </w:t>
      </w:r>
      <w:r w:rsidR="003D1546">
        <w:t xml:space="preserve">kapitoly štátneho rozpočtu, rozpočtové a príspevkové organizácie kapitol a ostatné </w:t>
      </w:r>
      <w:r w:rsidRPr="005C2CEC">
        <w:t xml:space="preserve">subjekty </w:t>
      </w:r>
      <w:r w:rsidR="00F661AC" w:rsidRPr="005C2CEC">
        <w:t xml:space="preserve">verejnej </w:t>
      </w:r>
      <w:r w:rsidRPr="005C2CEC">
        <w:t>správy</w:t>
      </w:r>
      <w:r w:rsidR="003D1546">
        <w:t xml:space="preserve"> v riadiacej pôsobnosti kapitol</w:t>
      </w:r>
      <w:r w:rsidRPr="005C2CEC">
        <w:t xml:space="preserve">, ktoré pripravujú </w:t>
      </w:r>
      <w:r w:rsidR="006C37B8">
        <w:t xml:space="preserve">investície, projekty investičného charakteru </w:t>
      </w:r>
      <w:r w:rsidR="006129F8" w:rsidRPr="005C2CEC">
        <w:t>alebo koncesie</w:t>
      </w:r>
      <w:r w:rsidRPr="005C2CEC">
        <w:t xml:space="preserve"> s použitím </w:t>
      </w:r>
      <w:r w:rsidR="00983211" w:rsidRPr="005C2CEC">
        <w:t>verejných prostriedkov</w:t>
      </w:r>
      <w:r w:rsidRPr="005C2CEC">
        <w:t xml:space="preserve">. </w:t>
      </w:r>
      <w:r w:rsidR="0023624F">
        <w:t xml:space="preserve">Na koncesie sa materiál vzťahuje len v častiach, kde je to vyslovene uvedené. </w:t>
      </w:r>
      <w:r w:rsidR="00276AA1" w:rsidRPr="005C2CEC">
        <w:t xml:space="preserve">V prípade koncesií je </w:t>
      </w:r>
      <w:r w:rsidR="00B608EA">
        <w:t>Metodika záväzná</w:t>
      </w:r>
      <w:r w:rsidR="00276AA1" w:rsidRPr="005C2CEC">
        <w:t xml:space="preserve"> aj pre štátne podniky a </w:t>
      </w:r>
      <w:r w:rsidR="00400F87">
        <w:t>obchodné</w:t>
      </w:r>
      <w:r w:rsidR="00400F87" w:rsidRPr="005C2CEC">
        <w:t xml:space="preserve"> </w:t>
      </w:r>
      <w:r w:rsidR="00276AA1" w:rsidRPr="005C2CEC">
        <w:t>spoločnosti</w:t>
      </w:r>
      <w:r w:rsidR="00400F87">
        <w:t>, ako aj ich dcérske podniky, až do úrovne</w:t>
      </w:r>
      <w:r w:rsidR="00CA5068">
        <w:t>,</w:t>
      </w:r>
      <w:r w:rsidR="00400F87">
        <w:t xml:space="preserve"> kde</w:t>
      </w:r>
      <w:r w:rsidR="00276AA1" w:rsidRPr="005C2CEC">
        <w:t xml:space="preserve"> štát vykonáva </w:t>
      </w:r>
      <w:r w:rsidR="003D1546">
        <w:t xml:space="preserve">100 </w:t>
      </w:r>
      <w:r w:rsidR="003D1546">
        <w:rPr>
          <w:lang w:val="en-GB"/>
        </w:rPr>
        <w:t>%</w:t>
      </w:r>
      <w:r w:rsidR="003D1546" w:rsidRPr="005C2CEC">
        <w:t xml:space="preserve"> </w:t>
      </w:r>
      <w:r w:rsidR="00276AA1" w:rsidRPr="005C2CEC">
        <w:t>hlasovacích práv.</w:t>
      </w:r>
      <w:r w:rsidR="00487501">
        <w:t xml:space="preserve"> </w:t>
      </w:r>
      <w:r w:rsidR="000B0127">
        <w:t>Dokument sa ne</w:t>
      </w:r>
      <w:r w:rsidR="004D6966">
        <w:t>vzťahuje na investičné projekty</w:t>
      </w:r>
      <w:r w:rsidR="00DC1B41">
        <w:t xml:space="preserve"> </w:t>
      </w:r>
      <w:r w:rsidR="000B0127" w:rsidRPr="003D1546">
        <w:t>súvisiace s plnením úloh Slovenskej informačnej služby, Vojenského spravodajstva a Policajného zboru na úseku kriminálneho spravodajstva podľa osobitných predpisov</w:t>
      </w:r>
      <w:r w:rsidR="000B0127">
        <w:rPr>
          <w:rStyle w:val="Odkaznapoznmkupodiarou"/>
        </w:rPr>
        <w:footnoteReference w:id="1"/>
      </w:r>
      <w:r w:rsidR="000B0127">
        <w:t xml:space="preserve">. </w:t>
      </w:r>
      <w:r w:rsidR="00487501" w:rsidRPr="00487501">
        <w:t xml:space="preserve">Dokument sa </w:t>
      </w:r>
      <w:r w:rsidR="000B0127">
        <w:t xml:space="preserve">zároveň </w:t>
      </w:r>
      <w:r w:rsidR="00487501" w:rsidRPr="00487501">
        <w:t>nevzťahuje na investičné projekty pripravované orgánom vykonávajúcim finančné nástroje podľa osobitného predpisu</w:t>
      </w:r>
      <w:r w:rsidR="00487501">
        <w:rPr>
          <w:rStyle w:val="Odkaznapoznmkupodiarou"/>
        </w:rPr>
        <w:footnoteReference w:id="2"/>
      </w:r>
      <w:r w:rsidR="00487501" w:rsidRPr="00487501">
        <w:t>, ktorých hodnota je pod ustanovenou hranicou</w:t>
      </w:r>
      <w:r w:rsidR="00487501">
        <w:t>.</w:t>
      </w:r>
      <w:r w:rsidR="00DC1B41">
        <w:t xml:space="preserve"> </w:t>
      </w:r>
      <w:r w:rsidR="00DC1B41">
        <w:rPr>
          <w:iCs/>
        </w:rPr>
        <w:t>Materiál sa nevzťahuje na kapitálové transfery</w:t>
      </w:r>
      <w:r w:rsidR="00BC14ED">
        <w:rPr>
          <w:iCs/>
        </w:rPr>
        <w:t xml:space="preserve"> kapitol štátneho rozpočtu</w:t>
      </w:r>
      <w:r w:rsidR="00DC1B41">
        <w:rPr>
          <w:iCs/>
        </w:rPr>
        <w:t>. Povinnosti opísané v materiáli sa stále vzťahujú na prijímateľov, ak ide o subjekty verejnej správy, ktoré sú v priamej riadiacej pôsobnosti ministerstva, bez ohľadu na zdroj financovania</w:t>
      </w:r>
      <w:r w:rsidR="00DC1B41" w:rsidRPr="00D0541F">
        <w:rPr>
          <w:iCs/>
        </w:rPr>
        <w:t>.</w:t>
      </w:r>
    </w:p>
    <w:p w14:paraId="3D5C99AB" w14:textId="053E8096" w:rsidR="006129F8" w:rsidRDefault="0011025A" w:rsidP="00375C98">
      <w:r>
        <w:t xml:space="preserve">Pri investičných projektoch, ktoré pripravujú obce, vyššie územné celky alebo nimi zriadené rozpočtové a príspevkové organizácie, a pri ktorých je </w:t>
      </w:r>
      <w:r w:rsidR="00C47365">
        <w:t xml:space="preserve">zároveň </w:t>
      </w:r>
      <w:r>
        <w:t xml:space="preserve">najmenej polovica výdavkov financovaná z finančných prostriedkov štátneho rozpočtu, podmieni príslušná kapitola štátneho rozpočtu poskytnutie týchto finančných </w:t>
      </w:r>
      <w:r>
        <w:lastRenderedPageBreak/>
        <w:t xml:space="preserve">prostriedkov splnením záväzkov podľa </w:t>
      </w:r>
      <w:r w:rsidRPr="005C2CEC">
        <w:t>§ 19a</w:t>
      </w:r>
      <w:r>
        <w:t xml:space="preserve"> ods. 10</w:t>
      </w:r>
      <w:r w:rsidRPr="005C2CEC">
        <w:t xml:space="preserve"> zákona</w:t>
      </w:r>
      <w:r>
        <w:t xml:space="preserve"> č.</w:t>
      </w:r>
      <w:r w:rsidRPr="005C2CEC">
        <w:t xml:space="preserve"> 523/2004 Z. z.</w:t>
      </w:r>
      <w:r w:rsidR="00C47365">
        <w:t xml:space="preserve"> </w:t>
      </w:r>
      <w:r w:rsidR="00956756">
        <w:t>Subjekty verejnej správy môžu uplatňovať postupy uvedené v tomto dokumente aj nad rámec jeho záväznosti</w:t>
      </w:r>
      <w:r w:rsidR="0001795E">
        <w:t xml:space="preserve"> (napr. pre investičné projekty s hodnotou nižšou ako 1 mil. eur)</w:t>
      </w:r>
      <w:r w:rsidR="00956756">
        <w:t>.</w:t>
      </w:r>
    </w:p>
    <w:p w14:paraId="7245C9EB" w14:textId="700E3AD0" w:rsidR="00E85795" w:rsidRPr="005C2CEC" w:rsidRDefault="00E85795" w:rsidP="00375C98">
      <w:r>
        <w:t>Dokument</w:t>
      </w:r>
      <w:r w:rsidRPr="00E85795">
        <w:t xml:space="preserve"> </w:t>
      </w:r>
      <w:r>
        <w:t>vstupuje do platnosti dňom</w:t>
      </w:r>
      <w:r w:rsidRPr="00E85795">
        <w:t xml:space="preserve"> schválenia </w:t>
      </w:r>
      <w:r w:rsidR="00B5359C">
        <w:t xml:space="preserve">príslušného uznesenia vlády SR. Povinnosť vypracovať metodiku pre určovanie investičných priorít, vypracovať </w:t>
      </w:r>
      <w:r w:rsidR="001439F1">
        <w:t>priorizovaný zoznam investičných projektov, zverejniť priorizovaný investičný plán, ako aj povinnosť</w:t>
      </w:r>
      <w:r w:rsidR="00B5359C">
        <w:t xml:space="preserve"> predkladať investičné projekty s hodnotou vyššou ako 1 mil. eur na ekonomické hodnotenie MF SR vyplýva z uznesenia vlády č. 649/2020, ktoré bolo schválené 14.10.2020. Pri investičných projektoch</w:t>
      </w:r>
      <w:r w:rsidRPr="00E85795">
        <w:t xml:space="preserve"> s hodnotou nad ustanovenou hranicou platia podmienky vyplývajúce z §</w:t>
      </w:r>
      <w:r w:rsidR="00EF4E5A">
        <w:t xml:space="preserve"> </w:t>
      </w:r>
      <w:r w:rsidRPr="00E85795">
        <w:t>19a zákona č. 523/2004 v znení účinnom od 1.1.2021.</w:t>
      </w:r>
    </w:p>
    <w:p w14:paraId="7BF6A5DD" w14:textId="2354C59B" w:rsidR="00566881" w:rsidRPr="005C2CEC" w:rsidRDefault="00F65B44" w:rsidP="00566881">
      <w:pPr>
        <w:pStyle w:val="Nadpis2"/>
      </w:pPr>
      <w:bookmarkStart w:id="85" w:name="_Toc48648871"/>
      <w:bookmarkStart w:id="86" w:name="_Toc83651075"/>
      <w:bookmarkEnd w:id="85"/>
      <w:r w:rsidRPr="005C2CEC">
        <w:t>Nadväznosť na iné dokumenty</w:t>
      </w:r>
      <w:bookmarkEnd w:id="86"/>
    </w:p>
    <w:p w14:paraId="20663A2A" w14:textId="686A0F91" w:rsidR="00F65B44" w:rsidRPr="005C2CEC" w:rsidRDefault="00B608EA" w:rsidP="00F65B44">
      <w:r w:rsidRPr="00B608EA">
        <w:t xml:space="preserve">Metodika </w:t>
      </w:r>
      <w:r w:rsidR="008D0D64">
        <w:t>prípravy a hodnotenia</w:t>
      </w:r>
      <w:r w:rsidRPr="00B608EA">
        <w:t xml:space="preserve"> investičných projektov </w:t>
      </w:r>
      <w:r w:rsidR="00084ABA" w:rsidRPr="005C2CEC">
        <w:t xml:space="preserve">rozpracováva a nadväzuje na riadiaci proces opísaný v Rámci na hodnotenie verejných investičných projektov v SR schválený vládou v roku 2017. Vzhľadom na nové povinnosti zadefinované v § 19a zákona </w:t>
      </w:r>
      <w:r w:rsidR="00707D31">
        <w:t xml:space="preserve">č. </w:t>
      </w:r>
      <w:r w:rsidR="00084ABA" w:rsidRPr="005C2CEC">
        <w:t xml:space="preserve">523/2004 Z. z., ciele schválené v Programovom vyhlásení vlády na roky 2020 – 2024, ako aj poznatky z aplikačnej praxe je potrebné rozpracovať </w:t>
      </w:r>
      <w:r w:rsidR="00707D31">
        <w:t xml:space="preserve">v </w:t>
      </w:r>
      <w:r w:rsidR="00084ABA" w:rsidRPr="005C2CEC">
        <w:t>metodick</w:t>
      </w:r>
      <w:r w:rsidR="00707D31">
        <w:t>om</w:t>
      </w:r>
      <w:r w:rsidR="00084ABA" w:rsidRPr="005C2CEC">
        <w:t xml:space="preserve"> dokument</w:t>
      </w:r>
      <w:r w:rsidR="00707D31">
        <w:t>e</w:t>
      </w:r>
      <w:r w:rsidR="00084ABA" w:rsidRPr="005C2CEC">
        <w:t>, ktorý zosumarizuje, špecifikuje a </w:t>
      </w:r>
      <w:r w:rsidR="00707D31">
        <w:t>s</w:t>
      </w:r>
      <w:r w:rsidR="00084ABA" w:rsidRPr="005C2CEC">
        <w:t>presní povinnosti pri príprave investičných projektov. Tento dokument zohľadňuje a</w:t>
      </w:r>
      <w:r w:rsidR="00F65B44" w:rsidRPr="005C2CEC">
        <w:t xml:space="preserve"> nadväzuje na:</w:t>
      </w:r>
    </w:p>
    <w:p w14:paraId="27D0D943" w14:textId="4003AB57" w:rsidR="00481F31" w:rsidRPr="00B220F7" w:rsidRDefault="009573AC" w:rsidP="00481F31">
      <w:pPr>
        <w:pStyle w:val="Odsekzoznamu"/>
        <w:numPr>
          <w:ilvl w:val="0"/>
          <w:numId w:val="9"/>
        </w:numPr>
      </w:pPr>
      <w:hyperlink r:id="rId9" w:history="1">
        <w:r w:rsidR="00481F31" w:rsidRPr="008D0D64">
          <w:rPr>
            <w:rStyle w:val="Hypertextovprepojenie"/>
          </w:rPr>
          <w:t>Metodické usmernenie Ministerstva financií SR č. MF/020541/2019-2974 o postupe pri príprave investícií a koncesií podliehajúcich hodnoteniu Ministerstva financií SR</w:t>
        </w:r>
      </w:hyperlink>
      <w:r w:rsidR="009B34AE" w:rsidRPr="00B220F7">
        <w:t>,</w:t>
      </w:r>
    </w:p>
    <w:p w14:paraId="11D16E89" w14:textId="67D10C09" w:rsidR="00481F31" w:rsidRPr="00B220F7" w:rsidRDefault="009573AC" w:rsidP="00481F31">
      <w:pPr>
        <w:pStyle w:val="Odsekzoznamu"/>
        <w:numPr>
          <w:ilvl w:val="0"/>
          <w:numId w:val="9"/>
        </w:numPr>
      </w:pPr>
      <w:hyperlink r:id="rId10" w:history="1">
        <w:r w:rsidR="00481F31" w:rsidRPr="008D0D64">
          <w:rPr>
            <w:rStyle w:val="Hypertextovprepojenie"/>
          </w:rPr>
          <w:t>Metodický dokument pre PPP projekty Obsah a požiadavky na štúdiu uskutočniteľnosti a komparátor verejného sektora</w:t>
        </w:r>
      </w:hyperlink>
      <w:r w:rsidR="009B34AE" w:rsidRPr="00B220F7">
        <w:t>,</w:t>
      </w:r>
    </w:p>
    <w:p w14:paraId="2A4344D5" w14:textId="59C79088" w:rsidR="00481F31" w:rsidRPr="00B220F7" w:rsidRDefault="009573AC" w:rsidP="003234AE">
      <w:pPr>
        <w:pStyle w:val="Odsekzoznamu"/>
        <w:numPr>
          <w:ilvl w:val="0"/>
          <w:numId w:val="9"/>
        </w:numPr>
      </w:pPr>
      <w:hyperlink r:id="rId11" w:history="1">
        <w:r w:rsidR="003234AE" w:rsidRPr="008D0D64">
          <w:rPr>
            <w:rStyle w:val="Hypertextovprepojenie"/>
          </w:rPr>
          <w:t>Metodický pokyn k spracovaniu biznis case a cost benefit analýzy informačných technológií verejnej správy</w:t>
        </w:r>
      </w:hyperlink>
      <w:r w:rsidR="00481F31" w:rsidRPr="00B220F7">
        <w:rPr>
          <w:i/>
        </w:rPr>
        <w:t>,</w:t>
      </w:r>
    </w:p>
    <w:p w14:paraId="51377C44" w14:textId="58009463" w:rsidR="00481F31" w:rsidRPr="00B220F7" w:rsidRDefault="009573AC" w:rsidP="00481F31">
      <w:pPr>
        <w:pStyle w:val="Odsekzoznamu"/>
        <w:numPr>
          <w:ilvl w:val="0"/>
          <w:numId w:val="9"/>
        </w:numPr>
      </w:pPr>
      <w:hyperlink r:id="rId12" w:history="1">
        <w:r w:rsidR="00481F31" w:rsidRPr="008D0D64">
          <w:rPr>
            <w:rStyle w:val="Hypertextovprepojenie"/>
          </w:rPr>
          <w:t>Metodický pokyn Úradu podpredsedu vlády SR pre investície a informatizáciu č. 3425/2019/oPK-1 na rozpočtovanie nákupu IT v rámci medzirezortného programu 0EK Informačné technológie financované zo štátneho rozpočtu</w:t>
        </w:r>
      </w:hyperlink>
      <w:r w:rsidR="00481F31" w:rsidRPr="00B220F7">
        <w:t>,</w:t>
      </w:r>
    </w:p>
    <w:p w14:paraId="7046CF55" w14:textId="294971C8" w:rsidR="00481F31" w:rsidRPr="00B220F7" w:rsidRDefault="009573AC" w:rsidP="00481F31">
      <w:pPr>
        <w:pStyle w:val="Odsekzoznamu"/>
        <w:numPr>
          <w:ilvl w:val="0"/>
          <w:numId w:val="9"/>
        </w:numPr>
      </w:pPr>
      <w:hyperlink r:id="rId13" w:history="1">
        <w:r w:rsidR="00481F31" w:rsidRPr="008D0D64">
          <w:rPr>
            <w:rStyle w:val="Hypertextovprepojenie"/>
          </w:rPr>
          <w:t>Metodický rámec pre vypracovanie Štúdie uskutočniteľnosti</w:t>
        </w:r>
      </w:hyperlink>
      <w:r w:rsidR="00481F31" w:rsidRPr="00B220F7">
        <w:t>,</w:t>
      </w:r>
    </w:p>
    <w:p w14:paraId="333AA29F" w14:textId="019EDB01" w:rsidR="00F65B44" w:rsidRPr="00B220F7" w:rsidRDefault="009573AC" w:rsidP="00414ACD">
      <w:pPr>
        <w:pStyle w:val="Odsekzoznamu"/>
        <w:numPr>
          <w:ilvl w:val="0"/>
          <w:numId w:val="9"/>
        </w:numPr>
      </w:pPr>
      <w:hyperlink r:id="rId14" w:history="1">
        <w:r w:rsidR="00F65B44" w:rsidRPr="008D0D64">
          <w:rPr>
            <w:rStyle w:val="Hypertextovprepojenie"/>
          </w:rPr>
          <w:t>Nariadenie vlády</w:t>
        </w:r>
        <w:r w:rsidR="00707D31" w:rsidRPr="008D0D64">
          <w:rPr>
            <w:rStyle w:val="Hypertextovprepojenie"/>
          </w:rPr>
          <w:t xml:space="preserve"> SR č.</w:t>
        </w:r>
        <w:r w:rsidR="00F65B44" w:rsidRPr="008D0D64">
          <w:rPr>
            <w:rStyle w:val="Hypertextovprepojenie"/>
          </w:rPr>
          <w:t xml:space="preserve"> 174/2019 Z. z. o podmienkach vypracovania štúdie uskutočniteľnosti investície a štúdie uskutočniteľnosti koncesie</w:t>
        </w:r>
      </w:hyperlink>
      <w:r w:rsidR="009B34AE" w:rsidRPr="00B220F7">
        <w:t>,</w:t>
      </w:r>
    </w:p>
    <w:p w14:paraId="382DF4C8" w14:textId="46446491" w:rsidR="00481F31" w:rsidRPr="00B220F7" w:rsidRDefault="009573AC" w:rsidP="00481F31">
      <w:pPr>
        <w:pStyle w:val="Odsekzoznamu"/>
        <w:numPr>
          <w:ilvl w:val="0"/>
          <w:numId w:val="9"/>
        </w:numPr>
      </w:pPr>
      <w:hyperlink r:id="rId15" w:history="1">
        <w:r w:rsidR="00481F31" w:rsidRPr="008D0D64">
          <w:rPr>
            <w:rStyle w:val="Hypertextovprepojenie"/>
          </w:rPr>
          <w:t>Príručku k analýze nákladov a prínosov environmentálnych projektov</w:t>
        </w:r>
      </w:hyperlink>
      <w:r w:rsidR="00481F31" w:rsidRPr="00B220F7">
        <w:rPr>
          <w:i/>
        </w:rPr>
        <w:t>,</w:t>
      </w:r>
    </w:p>
    <w:p w14:paraId="16FFC264" w14:textId="48D2F926" w:rsidR="00D545A4" w:rsidRPr="00B220F7" w:rsidRDefault="009573AC" w:rsidP="00414ACD">
      <w:pPr>
        <w:pStyle w:val="Odsekzoznamu"/>
        <w:numPr>
          <w:ilvl w:val="0"/>
          <w:numId w:val="9"/>
        </w:numPr>
      </w:pPr>
      <w:hyperlink r:id="rId16" w:history="1">
        <w:r w:rsidR="00D545A4" w:rsidRPr="008D0D64">
          <w:rPr>
            <w:rStyle w:val="Hypertextovprepojenie"/>
          </w:rPr>
          <w:t>Metodiky budovania analytických kapacít v štátnej správe</w:t>
        </w:r>
      </w:hyperlink>
      <w:r w:rsidR="00D545A4" w:rsidRPr="00B220F7">
        <w:t>,</w:t>
      </w:r>
    </w:p>
    <w:p w14:paraId="1777B04A" w14:textId="60AD1061" w:rsidR="00F65B44" w:rsidRPr="00B220F7" w:rsidRDefault="009573AC" w:rsidP="00414ACD">
      <w:pPr>
        <w:pStyle w:val="Odsekzoznamu"/>
        <w:numPr>
          <w:ilvl w:val="0"/>
          <w:numId w:val="9"/>
        </w:numPr>
      </w:pPr>
      <w:hyperlink r:id="rId17" w:history="1">
        <w:r w:rsidR="002B6207" w:rsidRPr="008D0D64">
          <w:rPr>
            <w:rStyle w:val="Hypertextovprepojenie"/>
          </w:rPr>
          <w:t xml:space="preserve">Rámec </w:t>
        </w:r>
        <w:r w:rsidR="00F65B44" w:rsidRPr="008D0D64">
          <w:rPr>
            <w:rStyle w:val="Hypertextovprepojenie"/>
          </w:rPr>
          <w:t>na hodnotenie verejných investičných projektov v SR</w:t>
        </w:r>
      </w:hyperlink>
      <w:r w:rsidR="009B34AE" w:rsidRPr="00B220F7">
        <w:t>,</w:t>
      </w:r>
    </w:p>
    <w:p w14:paraId="10CAC88E" w14:textId="6A5A3074" w:rsidR="00481F31" w:rsidRPr="00B220F7" w:rsidRDefault="009573AC" w:rsidP="00481F31">
      <w:pPr>
        <w:pStyle w:val="Odsekzoznamu"/>
        <w:numPr>
          <w:ilvl w:val="0"/>
          <w:numId w:val="9"/>
        </w:numPr>
      </w:pPr>
      <w:hyperlink r:id="rId18" w:history="1">
        <w:r w:rsidR="00481F31" w:rsidRPr="008D0D64">
          <w:rPr>
            <w:rStyle w:val="Hypertextovprepojenie"/>
          </w:rPr>
          <w:t>Uznesenie vlády SR č. 649/2020 zo 14. októbra 2020 k návrhu rozpočtu verejnej správy na roky 2021 až 2023</w:t>
        </w:r>
      </w:hyperlink>
      <w:r w:rsidR="00481F31" w:rsidRPr="00B220F7">
        <w:t>,</w:t>
      </w:r>
    </w:p>
    <w:p w14:paraId="3F8C3854" w14:textId="2101BC77" w:rsidR="00481F31" w:rsidRPr="00B220F7" w:rsidRDefault="009573AC" w:rsidP="00481F31">
      <w:pPr>
        <w:pStyle w:val="Odsekzoznamu"/>
        <w:numPr>
          <w:ilvl w:val="0"/>
          <w:numId w:val="9"/>
        </w:numPr>
      </w:pPr>
      <w:hyperlink r:id="rId19" w:history="1">
        <w:r w:rsidR="00481F31" w:rsidRPr="008D0D64">
          <w:rPr>
            <w:rStyle w:val="Hypertextovprepojenie"/>
          </w:rPr>
          <w:t>Vyhlášku Úradu podpredsedu vlády SR pre investície a informatizáciu č. 85/2020 Z. z. o riadení projektov</w:t>
        </w:r>
      </w:hyperlink>
      <w:r w:rsidR="009B34AE" w:rsidRPr="00B220F7">
        <w:t>,</w:t>
      </w:r>
    </w:p>
    <w:p w14:paraId="40E84AA1" w14:textId="5AA7F167" w:rsidR="00481F31" w:rsidRPr="00B220F7" w:rsidRDefault="009573AC" w:rsidP="00481F31">
      <w:pPr>
        <w:pStyle w:val="Odsekzoznamu"/>
        <w:numPr>
          <w:ilvl w:val="0"/>
          <w:numId w:val="9"/>
        </w:numPr>
      </w:pPr>
      <w:hyperlink r:id="rId20" w:history="1">
        <w:r w:rsidR="00481F31" w:rsidRPr="008D0D64">
          <w:rPr>
            <w:rStyle w:val="Hypertextovprepojenie"/>
          </w:rPr>
          <w:t>Zákon č. 523/2004 Z. z. o rozpočtových pravidlách verejnej správy v znení neskorších predpisov</w:t>
        </w:r>
      </w:hyperlink>
      <w:r w:rsidR="00481F31" w:rsidRPr="00B220F7">
        <w:t xml:space="preserve"> v znení od 1.1.2021</w:t>
      </w:r>
      <w:r w:rsidR="009B34AE" w:rsidRPr="00B220F7">
        <w:t>.</w:t>
      </w:r>
    </w:p>
    <w:p w14:paraId="66DE1C85" w14:textId="7B5FA3D7" w:rsidR="0076415C" w:rsidRPr="005C2CEC" w:rsidRDefault="002B6207" w:rsidP="0076415C">
      <w:pPr>
        <w:pStyle w:val="Nadpis1"/>
      </w:pPr>
      <w:bookmarkStart w:id="87" w:name="_Toc62580550"/>
      <w:bookmarkStart w:id="88" w:name="_Toc62653811"/>
      <w:bookmarkStart w:id="89" w:name="_Toc83651076"/>
      <w:bookmarkEnd w:id="87"/>
      <w:bookmarkEnd w:id="88"/>
      <w:r w:rsidRPr="005C2CEC">
        <w:t xml:space="preserve">Proces </w:t>
      </w:r>
      <w:r w:rsidR="00890D85" w:rsidRPr="005C2CEC">
        <w:t>riadenia verejných investícií</w:t>
      </w:r>
      <w:bookmarkEnd w:id="89"/>
    </w:p>
    <w:p w14:paraId="6F48F74E" w14:textId="284BD756" w:rsidR="009B34AE" w:rsidRDefault="00AC2608" w:rsidP="0076415C">
      <w:r w:rsidRPr="005C2CEC">
        <w:t xml:space="preserve">Efektívne </w:t>
      </w:r>
      <w:r w:rsidR="008F4C07" w:rsidRPr="005C2CEC">
        <w:t>riadenie</w:t>
      </w:r>
      <w:r w:rsidR="00ED6A61" w:rsidRPr="005C2CEC">
        <w:t xml:space="preserve"> verejných investícií vyžaduje </w:t>
      </w:r>
      <w:r w:rsidR="00990DE8" w:rsidRPr="005C2CEC">
        <w:t xml:space="preserve">zavedenie systematického prístupu pri výbere investičných </w:t>
      </w:r>
      <w:r w:rsidR="003772D9" w:rsidRPr="005C2CEC">
        <w:t>projektov</w:t>
      </w:r>
      <w:r w:rsidR="008F4C07" w:rsidRPr="005C2CEC">
        <w:t>, ako aj stanovenie kontrolných míľnikov počas investičného procesu</w:t>
      </w:r>
      <w:r w:rsidR="00990DE8" w:rsidRPr="005C2CEC">
        <w:t xml:space="preserve">. </w:t>
      </w:r>
      <w:r w:rsidR="00B95F3A" w:rsidRPr="005C2CEC">
        <w:t>Tento dokument rozdeľuje investičný proces na štyri základné časti: strategické plánovanie, príprava projektu, obstarávanie</w:t>
      </w:r>
      <w:r w:rsidR="00EC6821">
        <w:t xml:space="preserve"> projektu</w:t>
      </w:r>
      <w:r w:rsidR="00B95F3A" w:rsidRPr="005C2CEC">
        <w:t xml:space="preserve"> a</w:t>
      </w:r>
      <w:r w:rsidR="004734D3">
        <w:t> </w:t>
      </w:r>
      <w:r w:rsidR="00B95F3A" w:rsidRPr="005C2CEC">
        <w:t>realizácia</w:t>
      </w:r>
      <w:r w:rsidR="004734D3">
        <w:t xml:space="preserve"> projektu</w:t>
      </w:r>
      <w:r w:rsidR="00B95F3A" w:rsidRPr="005C2CEC">
        <w:t>. Každej časti je venovaná jedna kapitola.</w:t>
      </w:r>
    </w:p>
    <w:p w14:paraId="383A6CF9" w14:textId="338E38DB" w:rsidR="004734D3" w:rsidRPr="005C2CEC" w:rsidRDefault="004734D3" w:rsidP="0076415C">
      <w:r>
        <w:lastRenderedPageBreak/>
        <w:t xml:space="preserve">Proces je zároveň členený podľa hodnoty verejnej investície na investičné projekty </w:t>
      </w:r>
      <w:r w:rsidR="005074A7">
        <w:t>nad</w:t>
      </w:r>
      <w:r>
        <w:t xml:space="preserve"> ustanovenou hranicou a investičné projekty </w:t>
      </w:r>
      <w:r w:rsidR="005074A7">
        <w:t>pod</w:t>
      </w:r>
      <w:r>
        <w:t xml:space="preserve"> ustanovenou hranicou. Ustanovenou</w:t>
      </w:r>
      <w:r w:rsidRPr="005C2CEC">
        <w:t xml:space="preserve"> hranicou sa rozumie hodnota </w:t>
      </w:r>
      <w:r>
        <w:t>ustanovená</w:t>
      </w:r>
      <w:r w:rsidRPr="005C2CEC">
        <w:t xml:space="preserve"> nariadením vlády</w:t>
      </w:r>
      <w:r>
        <w:t xml:space="preserve"> SR č.</w:t>
      </w:r>
      <w:r w:rsidRPr="005C2CEC">
        <w:t xml:space="preserve"> 174/2019 Z. z. podľa § 19a </w:t>
      </w:r>
      <w:r>
        <w:t xml:space="preserve">ods. 8 </w:t>
      </w:r>
      <w:r w:rsidRPr="005C2CEC">
        <w:t>zákona</w:t>
      </w:r>
      <w:r>
        <w:t xml:space="preserve"> č.</w:t>
      </w:r>
      <w:r w:rsidRPr="005C2CEC">
        <w:t xml:space="preserve"> 523/2004 Z. z. (v čase schvaľovania dokumentu</w:t>
      </w:r>
      <w:r>
        <w:t xml:space="preserve"> je hranica ustanovená na</w:t>
      </w:r>
      <w:r w:rsidRPr="005C2CEC">
        <w:t xml:space="preserve"> 40 mil. eur</w:t>
      </w:r>
      <w:r>
        <w:t xml:space="preserve"> a</w:t>
      </w:r>
      <w:r w:rsidRPr="005C2CEC">
        <w:t xml:space="preserve"> 10 mil. eur pre </w:t>
      </w:r>
      <w:r w:rsidR="005074A7">
        <w:t xml:space="preserve">investičné </w:t>
      </w:r>
      <w:r w:rsidRPr="005C2CEC">
        <w:t>projekty v informatizácii).</w:t>
      </w:r>
      <w:r>
        <w:t xml:space="preserve"> </w:t>
      </w:r>
      <w:r w:rsidR="005074A7">
        <w:t>V</w:t>
      </w:r>
      <w:r w:rsidR="00B95F3A" w:rsidRPr="005C2CEC">
        <w:t xml:space="preserve"> kapitole </w:t>
      </w:r>
      <w:r w:rsidR="00643A8B" w:rsidRPr="005C2CEC">
        <w:fldChar w:fldCharType="begin"/>
      </w:r>
      <w:r w:rsidR="00643A8B" w:rsidRPr="005C2CEC">
        <w:instrText xml:space="preserve"> REF _Ref47967456 \r \h </w:instrText>
      </w:r>
      <w:r w:rsidR="005C2CEC">
        <w:instrText xml:space="preserve"> \* MERGEFORMAT </w:instrText>
      </w:r>
      <w:r w:rsidR="00643A8B" w:rsidRPr="005C2CEC">
        <w:fldChar w:fldCharType="separate"/>
      </w:r>
      <w:r w:rsidR="000D2AF7">
        <w:t>6</w:t>
      </w:r>
      <w:r w:rsidR="00643A8B" w:rsidRPr="005C2CEC">
        <w:fldChar w:fldCharType="end"/>
      </w:r>
      <w:r w:rsidR="00B95F3A" w:rsidRPr="005C2CEC">
        <w:t xml:space="preserve"> </w:t>
      </w:r>
      <w:r w:rsidR="005074A7">
        <w:t xml:space="preserve">je </w:t>
      </w:r>
      <w:r w:rsidR="00B95F3A" w:rsidRPr="005C2CEC">
        <w:t>op</w:t>
      </w:r>
      <w:r w:rsidR="005074A7">
        <w:t>ísané</w:t>
      </w:r>
      <w:r w:rsidR="00B95F3A" w:rsidRPr="005C2CEC">
        <w:t xml:space="preserve"> prepojenie celého procesu s rozpočtom verejnej správy. </w:t>
      </w:r>
    </w:p>
    <w:p w14:paraId="4C6C08DC" w14:textId="7296CD12" w:rsidR="00B309A9" w:rsidRPr="005C2CEC" w:rsidRDefault="00E52689" w:rsidP="00E52689">
      <w:pPr>
        <w:pStyle w:val="Popis"/>
      </w:pPr>
      <w:bookmarkStart w:id="90" w:name="_Toc83651097"/>
      <w:r w:rsidRPr="005C2CEC">
        <w:t xml:space="preserve">Schéma </w:t>
      </w:r>
      <w:r w:rsidR="00E516AE">
        <w:fldChar w:fldCharType="begin"/>
      </w:r>
      <w:r w:rsidR="00E516AE">
        <w:instrText xml:space="preserve"> SEQ Schéma \* ARABIC </w:instrText>
      </w:r>
      <w:r w:rsidR="00E516AE">
        <w:fldChar w:fldCharType="separate"/>
      </w:r>
      <w:r w:rsidR="000D2AF7">
        <w:rPr>
          <w:noProof/>
        </w:rPr>
        <w:t>1</w:t>
      </w:r>
      <w:r w:rsidR="00E516AE">
        <w:rPr>
          <w:noProof/>
        </w:rPr>
        <w:fldChar w:fldCharType="end"/>
      </w:r>
      <w:r w:rsidRPr="005C2CEC">
        <w:t>: Proces riadenia verejných investícií</w:t>
      </w:r>
      <w:r w:rsidR="00022D35" w:rsidRPr="005C2CEC">
        <w:t xml:space="preserve"> pre projekty nad </w:t>
      </w:r>
      <w:r w:rsidR="00013339">
        <w:t>ustanovenou</w:t>
      </w:r>
      <w:r w:rsidR="00013339" w:rsidRPr="005C2CEC">
        <w:t xml:space="preserve"> </w:t>
      </w:r>
      <w:r w:rsidR="00022D35" w:rsidRPr="005C2CEC">
        <w:t>hranicou</w:t>
      </w:r>
      <w:bookmarkEnd w:id="90"/>
    </w:p>
    <w:p w14:paraId="14E2EBDF" w14:textId="646E2598" w:rsidR="00BE0D70" w:rsidRPr="005C2CEC" w:rsidRDefault="00672B61" w:rsidP="00B220F7">
      <w:pPr>
        <w:pStyle w:val="Popis"/>
        <w:spacing w:after="0"/>
      </w:pPr>
      <w:r>
        <w:rPr>
          <w:noProof/>
          <w:lang w:eastAsia="sk-SK"/>
        </w:rPr>
        <w:drawing>
          <wp:inline distT="0" distB="0" distL="0" distR="0" wp14:anchorId="458A1A78" wp14:editId="1A7EE343">
            <wp:extent cx="5766534" cy="2412566"/>
            <wp:effectExtent l="0" t="0" r="5715" b="6985"/>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93524" cy="2423858"/>
                    </a:xfrm>
                    <a:prstGeom prst="rect">
                      <a:avLst/>
                    </a:prstGeom>
                    <a:noFill/>
                  </pic:spPr>
                </pic:pic>
              </a:graphicData>
            </a:graphic>
          </wp:inline>
        </w:drawing>
      </w:r>
    </w:p>
    <w:p w14:paraId="55001925" w14:textId="456C1E01" w:rsidR="00F661AC" w:rsidRPr="005C2CEC" w:rsidRDefault="007E3686" w:rsidP="005A27B6">
      <w:pPr>
        <w:spacing w:after="0"/>
        <w:rPr>
          <w:i/>
          <w:sz w:val="20"/>
        </w:rPr>
      </w:pPr>
      <w:r w:rsidRPr="005C2CEC">
        <w:rPr>
          <w:i/>
          <w:sz w:val="20"/>
        </w:rPr>
        <w:t xml:space="preserve">* v prípade záujmu realizovať investičný projekt formou koncesie (PPP) podlieha </w:t>
      </w:r>
      <w:r w:rsidR="00375C98" w:rsidRPr="005C2CEC">
        <w:rPr>
          <w:i/>
          <w:sz w:val="20"/>
        </w:rPr>
        <w:t>vyhlásenie koncesie</w:t>
      </w:r>
      <w:r w:rsidRPr="005C2CEC">
        <w:rPr>
          <w:i/>
          <w:sz w:val="20"/>
        </w:rPr>
        <w:t xml:space="preserve"> </w:t>
      </w:r>
      <w:r w:rsidR="005A27B6" w:rsidRPr="005C2CEC">
        <w:rPr>
          <w:i/>
          <w:sz w:val="20"/>
        </w:rPr>
        <w:t>rozhodnutiu</w:t>
      </w:r>
      <w:r w:rsidRPr="005C2CEC">
        <w:rPr>
          <w:i/>
          <w:sz w:val="20"/>
        </w:rPr>
        <w:t xml:space="preserve"> vl</w:t>
      </w:r>
      <w:r w:rsidR="005A27B6" w:rsidRPr="005C2CEC">
        <w:rPr>
          <w:i/>
          <w:sz w:val="20"/>
        </w:rPr>
        <w:t>ády</w:t>
      </w:r>
      <w:r w:rsidRPr="005C2CEC">
        <w:rPr>
          <w:i/>
          <w:sz w:val="20"/>
        </w:rPr>
        <w:t xml:space="preserve"> SR</w:t>
      </w:r>
    </w:p>
    <w:p w14:paraId="62888892" w14:textId="128E9B7E" w:rsidR="00AA1649" w:rsidRPr="005C2CEC" w:rsidRDefault="00AA1649" w:rsidP="00CC6958">
      <w:pPr>
        <w:spacing w:before="200"/>
      </w:pPr>
      <w:r w:rsidRPr="005C2CEC">
        <w:t xml:space="preserve">Postup pri príprave </w:t>
      </w:r>
      <w:r w:rsidR="005074A7">
        <w:t>investičných projektov</w:t>
      </w:r>
      <w:r w:rsidR="005074A7" w:rsidRPr="005C2CEC">
        <w:t xml:space="preserve"> </w:t>
      </w:r>
      <w:r w:rsidR="0062040E" w:rsidRPr="005C2CEC">
        <w:t xml:space="preserve">s </w:t>
      </w:r>
      <w:r w:rsidRPr="005C2CEC">
        <w:t xml:space="preserve">hodnotou rovnou alebo vyššou ako jeden milión eur, avšak pod </w:t>
      </w:r>
      <w:r w:rsidR="006077A0">
        <w:t>ustanovenou</w:t>
      </w:r>
      <w:r w:rsidR="006077A0" w:rsidRPr="005C2CEC">
        <w:t xml:space="preserve"> </w:t>
      </w:r>
      <w:r w:rsidRPr="005C2CEC">
        <w:t xml:space="preserve">hranicou, je výrazne zjednodušený. </w:t>
      </w:r>
      <w:r w:rsidR="005074A7">
        <w:t>Vyžaduje nižší</w:t>
      </w:r>
      <w:r w:rsidR="00022D35" w:rsidRPr="005C2CEC">
        <w:t xml:space="preserve"> rozsah povinných dokumentov a počet kontrolných bodov. </w:t>
      </w:r>
      <w:r w:rsidR="002331A6">
        <w:t>Potreba ekonomického hodnotenia investičných projektov s hodnotou pod ustanovenou hranicou vyplýva z uznesenia vlády</w:t>
      </w:r>
      <w:r w:rsidR="00EC6821">
        <w:t xml:space="preserve"> SR</w:t>
      </w:r>
      <w:r w:rsidR="002331A6">
        <w:t xml:space="preserve"> č. 649/2020. Za účelom hodnotenia subjekty nie sú </w:t>
      </w:r>
      <w:r w:rsidR="00022D35" w:rsidRPr="005C2CEC">
        <w:t>povinn</w:t>
      </w:r>
      <w:r w:rsidR="002331A6">
        <w:t>é predložiť</w:t>
      </w:r>
      <w:r w:rsidR="00022D35" w:rsidRPr="005C2CEC">
        <w:t xml:space="preserve"> štúdi</w:t>
      </w:r>
      <w:r w:rsidR="002331A6">
        <w:t>u</w:t>
      </w:r>
      <w:r w:rsidR="00022D35" w:rsidRPr="005C2CEC">
        <w:t xml:space="preserve"> uskutočniteľnosti, s výnimkou </w:t>
      </w:r>
      <w:r w:rsidR="00C6652A" w:rsidRPr="005C2CEC">
        <w:t>projektov, pri ktorých je vypracovanie štúdie uskutočniteľnosti špecificky vyžadované (napr. pri financovaní zo zdrojov EÚ</w:t>
      </w:r>
      <w:r w:rsidR="00C6652A">
        <w:t>, investíciách v informatizácii podľa pravidiel vyhlášky č. 85/2020 Z. z.</w:t>
      </w:r>
      <w:r w:rsidR="00894E51">
        <w:rPr>
          <w:rStyle w:val="Odkaznapoznmkupodiarou"/>
        </w:rPr>
        <w:footnoteReference w:id="3"/>
      </w:r>
      <w:r w:rsidR="00C6652A">
        <w:t>, koncesiách s hodnotou podľa osobitného predpisu</w:t>
      </w:r>
      <w:r w:rsidR="00481F31">
        <w:rPr>
          <w:rStyle w:val="Odkaznapoznmkupodiarou"/>
        </w:rPr>
        <w:footnoteReference w:id="4"/>
      </w:r>
      <w:r w:rsidR="00C6652A">
        <w:t>, a pod.</w:t>
      </w:r>
      <w:r w:rsidR="00C6652A" w:rsidRPr="005C2CEC">
        <w:t>).</w:t>
      </w:r>
      <w:r w:rsidR="00022D35" w:rsidRPr="005C2CEC">
        <w:t xml:space="preserve"> </w:t>
      </w:r>
      <w:r w:rsidR="009B34AE">
        <w:t>P</w:t>
      </w:r>
      <w:r w:rsidR="00022D35" w:rsidRPr="005C2CEC">
        <w:t>roces strategického plánovania</w:t>
      </w:r>
      <w:r w:rsidR="009B34AE">
        <w:t xml:space="preserve"> zostáva v oboch prípadoch</w:t>
      </w:r>
      <w:r w:rsidR="009B34AE" w:rsidRPr="009B34AE">
        <w:t xml:space="preserve"> </w:t>
      </w:r>
      <w:r w:rsidR="009B34AE">
        <w:t>rovnaký</w:t>
      </w:r>
      <w:r w:rsidR="00022D35" w:rsidRPr="005C2CEC">
        <w:t xml:space="preserve">. </w:t>
      </w:r>
    </w:p>
    <w:p w14:paraId="5D9F0BB8" w14:textId="697B7152" w:rsidR="0062040E" w:rsidRPr="005C2CEC" w:rsidRDefault="0062040E" w:rsidP="0062040E">
      <w:pPr>
        <w:pStyle w:val="Popis"/>
      </w:pPr>
      <w:bookmarkStart w:id="91" w:name="_Toc83651098"/>
      <w:r w:rsidRPr="005C2CEC">
        <w:t xml:space="preserve">Schéma </w:t>
      </w:r>
      <w:r w:rsidR="00E516AE">
        <w:fldChar w:fldCharType="begin"/>
      </w:r>
      <w:r w:rsidR="00E516AE">
        <w:instrText xml:space="preserve"> SEQ Schéma \* ARABIC </w:instrText>
      </w:r>
      <w:r w:rsidR="00E516AE">
        <w:fldChar w:fldCharType="separate"/>
      </w:r>
      <w:r w:rsidR="000D2AF7">
        <w:rPr>
          <w:noProof/>
        </w:rPr>
        <w:t>2</w:t>
      </w:r>
      <w:r w:rsidR="00E516AE">
        <w:rPr>
          <w:noProof/>
        </w:rPr>
        <w:fldChar w:fldCharType="end"/>
      </w:r>
      <w:r w:rsidRPr="005C2CEC">
        <w:t xml:space="preserve">: Proces riadenia verejných investícií </w:t>
      </w:r>
      <w:r w:rsidR="00EE05BC">
        <w:t> pre projekty</w:t>
      </w:r>
      <w:r w:rsidRPr="005C2CEC">
        <w:t xml:space="preserve"> pod </w:t>
      </w:r>
      <w:r w:rsidR="006077A0">
        <w:t>ustanovenou</w:t>
      </w:r>
      <w:r w:rsidR="006077A0" w:rsidRPr="005C2CEC">
        <w:t xml:space="preserve"> </w:t>
      </w:r>
      <w:r w:rsidRPr="005C2CEC">
        <w:t>hranicou</w:t>
      </w:r>
      <w:bookmarkEnd w:id="91"/>
    </w:p>
    <w:p w14:paraId="3741A154" w14:textId="7A310D77" w:rsidR="00AA1649" w:rsidRPr="005C2CEC" w:rsidRDefault="00326F7E" w:rsidP="00B220F7">
      <w:pPr>
        <w:spacing w:before="200" w:after="0"/>
      </w:pPr>
      <w:r>
        <w:rPr>
          <w:noProof/>
          <w:lang w:eastAsia="sk-SK"/>
        </w:rPr>
        <w:drawing>
          <wp:inline distT="0" distB="0" distL="0" distR="0" wp14:anchorId="70365720" wp14:editId="079BF3BB">
            <wp:extent cx="5766435" cy="2426127"/>
            <wp:effectExtent l="0" t="0" r="5715"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835170" cy="2455046"/>
                    </a:xfrm>
                    <a:prstGeom prst="rect">
                      <a:avLst/>
                    </a:prstGeom>
                    <a:noFill/>
                  </pic:spPr>
                </pic:pic>
              </a:graphicData>
            </a:graphic>
          </wp:inline>
        </w:drawing>
      </w:r>
    </w:p>
    <w:p w14:paraId="3B0BA12F" w14:textId="468EF47B" w:rsidR="00481F31" w:rsidRDefault="00481F31" w:rsidP="00481F31">
      <w:pPr>
        <w:spacing w:after="0"/>
        <w:rPr>
          <w:i/>
          <w:sz w:val="20"/>
        </w:rPr>
      </w:pPr>
      <w:r w:rsidRPr="005C2CEC">
        <w:rPr>
          <w:i/>
          <w:sz w:val="20"/>
        </w:rPr>
        <w:lastRenderedPageBreak/>
        <w:t>* v prípade záujmu realizovať investičný projekt formou koncesie (PPP) podlieha vyhlásenie koncesie rozhodnutiu vlády SR</w:t>
      </w:r>
    </w:p>
    <w:p w14:paraId="7545F6A3" w14:textId="7DFEAC93" w:rsidR="009E14E8" w:rsidRPr="005C2CEC" w:rsidRDefault="009E14E8" w:rsidP="00481F31">
      <w:pPr>
        <w:spacing w:after="0"/>
        <w:rPr>
          <w:i/>
          <w:sz w:val="20"/>
        </w:rPr>
      </w:pPr>
      <w:r>
        <w:rPr>
          <w:i/>
          <w:sz w:val="20"/>
        </w:rPr>
        <w:t>**</w:t>
      </w:r>
      <w:r w:rsidRPr="009E14E8">
        <w:rPr>
          <w:i/>
          <w:sz w:val="20"/>
        </w:rPr>
        <w:t xml:space="preserve"> v prípade financovania investičného projektu pod ustanovenou hranicou z fondov EÚ alebo iných zahraničných zdrojov, predloží Investor projekt na ekonomické hodnotenie MF SR najneskôr 30 dní pred </w:t>
      </w:r>
      <w:r w:rsidR="00A4715A">
        <w:rPr>
          <w:i/>
          <w:sz w:val="20"/>
        </w:rPr>
        <w:t xml:space="preserve">podaním žiadosti </w:t>
      </w:r>
      <w:r w:rsidRPr="009E14E8">
        <w:rPr>
          <w:i/>
          <w:sz w:val="20"/>
        </w:rPr>
        <w:t>o</w:t>
      </w:r>
      <w:r w:rsidR="00A4715A">
        <w:rPr>
          <w:i/>
          <w:sz w:val="20"/>
        </w:rPr>
        <w:t> poskytnutie</w:t>
      </w:r>
      <w:r w:rsidRPr="009E14E8">
        <w:rPr>
          <w:i/>
          <w:sz w:val="20"/>
        </w:rPr>
        <w:t xml:space="preserve"> NFP</w:t>
      </w:r>
    </w:p>
    <w:p w14:paraId="5B2F69A3" w14:textId="792EA0B0" w:rsidR="00A03EFB" w:rsidRPr="005C2CEC" w:rsidRDefault="002246BC" w:rsidP="00CC6958">
      <w:pPr>
        <w:spacing w:before="200"/>
      </w:pPr>
      <w:r w:rsidRPr="005C2CEC">
        <w:t>S cieľom zvýšenia efektívnosti využitia verejných zdrojov</w:t>
      </w:r>
      <w:r w:rsidR="00A03EFB" w:rsidRPr="005C2CEC">
        <w:t xml:space="preserve"> s</w:t>
      </w:r>
      <w:r w:rsidR="00F929D3" w:rsidRPr="005C2CEC">
        <w:t>ú do</w:t>
      </w:r>
      <w:r w:rsidR="00A03EFB" w:rsidRPr="005C2CEC">
        <w:t> </w:t>
      </w:r>
      <w:r w:rsidR="00F929D3" w:rsidRPr="005C2CEC">
        <w:t>procesu</w:t>
      </w:r>
      <w:r w:rsidR="00A03EFB" w:rsidRPr="005C2CEC">
        <w:t xml:space="preserve"> riadenia verejných investícií zavedené dva kľúčové schvaľovacie míľniky. Prvým míľnikom je schválenie </w:t>
      </w:r>
      <w:r w:rsidR="006B5FD1" w:rsidRPr="005C2CEC">
        <w:t>sektorových i</w:t>
      </w:r>
      <w:r w:rsidR="00983211" w:rsidRPr="005C2CEC">
        <w:t>nvestičn</w:t>
      </w:r>
      <w:r w:rsidR="006B5FD1" w:rsidRPr="005C2CEC">
        <w:t>ých</w:t>
      </w:r>
      <w:r w:rsidR="00983211" w:rsidRPr="005C2CEC">
        <w:t xml:space="preserve"> stratégi</w:t>
      </w:r>
      <w:r w:rsidR="006B5FD1" w:rsidRPr="005C2CEC">
        <w:t>í</w:t>
      </w:r>
      <w:r w:rsidR="00983211" w:rsidRPr="005C2CEC">
        <w:t xml:space="preserve"> </w:t>
      </w:r>
      <w:r w:rsidR="006B5FD1" w:rsidRPr="005C2CEC">
        <w:t xml:space="preserve">príslušnými </w:t>
      </w:r>
      <w:r w:rsidR="00983211" w:rsidRPr="005C2CEC">
        <w:t>minist</w:t>
      </w:r>
      <w:r w:rsidR="00626305" w:rsidRPr="005C2CEC">
        <w:t>erstv</w:t>
      </w:r>
      <w:r w:rsidR="00983211" w:rsidRPr="005C2CEC">
        <w:t>a</w:t>
      </w:r>
      <w:r w:rsidR="006B5FD1" w:rsidRPr="005C2CEC">
        <w:t>mi po ich pripomienkovaní zo strany MF SR</w:t>
      </w:r>
      <w:r w:rsidR="00A03EFB" w:rsidRPr="005C2CEC">
        <w:t>. Druhým míľnikom je schválenie investičn</w:t>
      </w:r>
      <w:r w:rsidR="006B5FD1" w:rsidRPr="005C2CEC">
        <w:t xml:space="preserve">ých </w:t>
      </w:r>
      <w:r w:rsidR="00A03EFB" w:rsidRPr="005C2CEC">
        <w:t>projekt</w:t>
      </w:r>
      <w:r w:rsidR="006B5FD1" w:rsidRPr="005C2CEC">
        <w:t>ov</w:t>
      </w:r>
      <w:r w:rsidR="00EA187F" w:rsidRPr="005C2CEC">
        <w:t xml:space="preserve"> príslušným</w:t>
      </w:r>
      <w:r w:rsidR="006B5FD1" w:rsidRPr="005C2CEC">
        <w:t>i</w:t>
      </w:r>
      <w:r w:rsidR="00A03EFB" w:rsidRPr="005C2CEC">
        <w:t xml:space="preserve"> minist</w:t>
      </w:r>
      <w:r w:rsidR="005168E6" w:rsidRPr="005C2CEC">
        <w:t>e</w:t>
      </w:r>
      <w:r w:rsidR="00A03EFB" w:rsidRPr="005C2CEC">
        <w:t>r</w:t>
      </w:r>
      <w:r w:rsidR="005168E6" w:rsidRPr="005C2CEC">
        <w:t>stv</w:t>
      </w:r>
      <w:r w:rsidR="006B5FD1" w:rsidRPr="005C2CEC">
        <w:t>ami</w:t>
      </w:r>
      <w:r w:rsidR="00A03EFB" w:rsidRPr="005C2CEC">
        <w:t xml:space="preserve"> </w:t>
      </w:r>
      <w:r w:rsidR="00DF4D6D">
        <w:t xml:space="preserve">(resp. schválenie koncesie vládou SR) </w:t>
      </w:r>
      <w:r w:rsidR="00A03EFB" w:rsidRPr="005C2CEC">
        <w:t xml:space="preserve">po </w:t>
      </w:r>
      <w:r w:rsidR="008F6453" w:rsidRPr="005C2CEC">
        <w:t>ekonomick</w:t>
      </w:r>
      <w:r w:rsidR="002506A8" w:rsidRPr="005C2CEC">
        <w:t>om</w:t>
      </w:r>
      <w:r w:rsidR="008F6453" w:rsidRPr="005C2CEC">
        <w:t xml:space="preserve"> </w:t>
      </w:r>
      <w:r w:rsidR="00A03EFB" w:rsidRPr="005C2CEC">
        <w:t>hodnoten</w:t>
      </w:r>
      <w:r w:rsidR="002506A8" w:rsidRPr="005C2CEC">
        <w:t>í</w:t>
      </w:r>
      <w:r w:rsidR="00A03EFB" w:rsidRPr="005C2CEC">
        <w:t xml:space="preserve"> zo strany MF SR.</w:t>
      </w:r>
      <w:r w:rsidR="00F929D3" w:rsidRPr="005C2CEC">
        <w:t xml:space="preserve"> </w:t>
      </w:r>
      <w:r w:rsidR="002B00E7" w:rsidRPr="005C2CEC">
        <w:t>Riadenie</w:t>
      </w:r>
      <w:r w:rsidR="00F929D3" w:rsidRPr="005C2CEC">
        <w:t xml:space="preserve"> </w:t>
      </w:r>
      <w:r w:rsidR="00721C02" w:rsidRPr="005C2CEC">
        <w:t>investičných projektov</w:t>
      </w:r>
      <w:r w:rsidR="00F929D3" w:rsidRPr="005C2CEC">
        <w:t xml:space="preserve"> môžu </w:t>
      </w:r>
      <w:r w:rsidR="00AD79B4" w:rsidRPr="005C2CEC">
        <w:t xml:space="preserve">jednotlivé </w:t>
      </w:r>
      <w:r w:rsidR="00F929D3" w:rsidRPr="005C2CEC">
        <w:t xml:space="preserve">ministerstvá </w:t>
      </w:r>
      <w:r w:rsidR="00216A74">
        <w:t>prispôsobiť vlastným špecifikám v sektorovej investičnej stratégii</w:t>
      </w:r>
      <w:r w:rsidR="00F929D3" w:rsidRPr="005C2CEC">
        <w:t>.</w:t>
      </w:r>
      <w:r w:rsidR="0080768A" w:rsidRPr="005C2CEC">
        <w:t xml:space="preserve"> </w:t>
      </w:r>
    </w:p>
    <w:p w14:paraId="23743859" w14:textId="23DAEB05" w:rsidR="00F929D3" w:rsidRPr="005C2CEC" w:rsidRDefault="006B5FD1" w:rsidP="00DF5A3B">
      <w:r w:rsidRPr="005C2CEC">
        <w:t xml:space="preserve">Za prípravu investičného projektu je zodpovedný </w:t>
      </w:r>
      <w:r w:rsidR="000954C4" w:rsidRPr="005C2CEC">
        <w:t>Investor</w:t>
      </w:r>
      <w:r w:rsidR="0080768A" w:rsidRPr="005C2CEC">
        <w:t>. Investor</w:t>
      </w:r>
      <w:r w:rsidR="000954C4" w:rsidRPr="005C2CEC">
        <w:t xml:space="preserve"> </w:t>
      </w:r>
      <w:r w:rsidR="00DE1346" w:rsidRPr="005C2CEC">
        <w:t xml:space="preserve">zasiela </w:t>
      </w:r>
      <w:r w:rsidR="00D60188" w:rsidRPr="005C2CEC">
        <w:t>z jednotlivých fáz</w:t>
      </w:r>
      <w:r w:rsidR="000954C4" w:rsidRPr="005C2CEC">
        <w:t xml:space="preserve"> prípravy investičného projektu podklady </w:t>
      </w:r>
      <w:r w:rsidR="00D60188" w:rsidRPr="005C2CEC">
        <w:t>MF SR, ktoré môže na základe týchto informácií aktualizovať</w:t>
      </w:r>
      <w:r w:rsidR="00C213EF" w:rsidRPr="005C2CEC">
        <w:t xml:space="preserve"> ekonomické hodnotenie</w:t>
      </w:r>
      <w:r w:rsidR="00D60188" w:rsidRPr="005C2CEC">
        <w:t>.</w:t>
      </w:r>
      <w:r w:rsidR="000954C4" w:rsidRPr="005C2CEC">
        <w:t xml:space="preserve"> </w:t>
      </w:r>
      <w:r w:rsidR="00DB14DC" w:rsidRPr="005C2CEC">
        <w:t>Minister</w:t>
      </w:r>
      <w:r w:rsidR="00C06A4B" w:rsidRPr="005C2CEC">
        <w:t>stvo</w:t>
      </w:r>
      <w:r w:rsidR="003664A4" w:rsidRPr="005C2CEC">
        <w:t xml:space="preserve">, do ktorého </w:t>
      </w:r>
      <w:r w:rsidR="0080768A" w:rsidRPr="005C2CEC">
        <w:t xml:space="preserve">riadiacej </w:t>
      </w:r>
      <w:r w:rsidR="003664A4" w:rsidRPr="005C2CEC">
        <w:t>pôsobnosti investičný projekt</w:t>
      </w:r>
      <w:r w:rsidR="00BB5B6C" w:rsidRPr="005C2CEC">
        <w:t xml:space="preserve"> spadá</w:t>
      </w:r>
      <w:r w:rsidR="00D60188" w:rsidRPr="005C2CEC">
        <w:t>,</w:t>
      </w:r>
      <w:r w:rsidR="003664A4" w:rsidRPr="005C2CEC">
        <w:t xml:space="preserve"> </w:t>
      </w:r>
      <w:r w:rsidR="00AA1649" w:rsidRPr="005C2CEC">
        <w:t>rozhoduje o</w:t>
      </w:r>
      <w:r w:rsidR="00414A3F">
        <w:t> </w:t>
      </w:r>
      <w:r w:rsidR="00F929D3" w:rsidRPr="005C2CEC">
        <w:t>príprav</w:t>
      </w:r>
      <w:r w:rsidR="00AA1649" w:rsidRPr="005C2CEC">
        <w:t>e</w:t>
      </w:r>
      <w:r w:rsidR="00414A3F">
        <w:t>, realizácii</w:t>
      </w:r>
      <w:r w:rsidR="00AA1649" w:rsidRPr="005C2CEC">
        <w:t xml:space="preserve"> a financovaní investičného projektu. Riadi sa pri tom </w:t>
      </w:r>
      <w:r w:rsidR="00D45A37">
        <w:t>rozpočtom verejnej správy</w:t>
      </w:r>
      <w:r w:rsidR="00D45A37" w:rsidRPr="00D45A37">
        <w:t>, priorizovaným investičným pl</w:t>
      </w:r>
      <w:r w:rsidR="00D45A37">
        <w:t>á</w:t>
      </w:r>
      <w:r w:rsidR="00D45A37" w:rsidRPr="00D45A37">
        <w:t>nom</w:t>
      </w:r>
      <w:r w:rsidR="00D45A37">
        <w:t xml:space="preserve">, </w:t>
      </w:r>
      <w:r w:rsidR="00F929D3" w:rsidRPr="005C2CEC">
        <w:t>strategický</w:t>
      </w:r>
      <w:r w:rsidR="00AA1649" w:rsidRPr="005C2CEC">
        <w:t>mi</w:t>
      </w:r>
      <w:r w:rsidR="00F929D3" w:rsidRPr="005C2CEC">
        <w:t>, ekonomický</w:t>
      </w:r>
      <w:r w:rsidR="00AA1649" w:rsidRPr="005C2CEC">
        <w:t>mi</w:t>
      </w:r>
      <w:r w:rsidR="00F929D3" w:rsidRPr="005C2CEC">
        <w:t xml:space="preserve"> alebo spoločenský</w:t>
      </w:r>
      <w:r w:rsidR="00AA1649" w:rsidRPr="005C2CEC">
        <w:t>mi</w:t>
      </w:r>
      <w:r w:rsidR="00F929D3" w:rsidRPr="005C2CEC">
        <w:t xml:space="preserve"> </w:t>
      </w:r>
      <w:r w:rsidR="00AA1649" w:rsidRPr="005C2CEC">
        <w:t>prioritami Slovenskej republiky a prioritami vlastného rezortu.</w:t>
      </w:r>
      <w:r w:rsidR="00956756">
        <w:t xml:space="preserve"> V prípade investičných projektov s hodnotou nižšou ako 1 mil. eur je odporúčané, aby ministerstvá usmernili kontrolu a stanovenie predpokladanej hodnoty zákazky týchto projektov internými pravidlami.</w:t>
      </w:r>
    </w:p>
    <w:p w14:paraId="62E5E6A4" w14:textId="2CAB9083" w:rsidR="0079487E" w:rsidRPr="005C2CEC" w:rsidRDefault="0079487E" w:rsidP="0079487E">
      <w:pPr>
        <w:pStyle w:val="Popis"/>
      </w:pPr>
      <w:bookmarkStart w:id="92" w:name="_Toc83651107"/>
      <w:r w:rsidRPr="005C2CEC">
        <w:t xml:space="preserve">Tabuľka </w:t>
      </w:r>
      <w:r w:rsidR="000E6C82" w:rsidRPr="005C2CEC">
        <w:rPr>
          <w:noProof/>
        </w:rPr>
        <w:fldChar w:fldCharType="begin"/>
      </w:r>
      <w:r w:rsidR="000E6C82" w:rsidRPr="005C2CEC">
        <w:rPr>
          <w:noProof/>
        </w:rPr>
        <w:instrText xml:space="preserve"> SEQ Tabuľka \* ARABIC </w:instrText>
      </w:r>
      <w:r w:rsidR="000E6C82" w:rsidRPr="005C2CEC">
        <w:rPr>
          <w:noProof/>
        </w:rPr>
        <w:fldChar w:fldCharType="separate"/>
      </w:r>
      <w:r w:rsidR="003B5091">
        <w:rPr>
          <w:noProof/>
        </w:rPr>
        <w:t>2</w:t>
      </w:r>
      <w:r w:rsidR="000E6C82" w:rsidRPr="005C2CEC">
        <w:rPr>
          <w:noProof/>
        </w:rPr>
        <w:fldChar w:fldCharType="end"/>
      </w:r>
      <w:r w:rsidRPr="005C2CEC">
        <w:t>: Prehľad úkonov</w:t>
      </w:r>
      <w:r w:rsidR="001861A3" w:rsidRPr="005C2CEC">
        <w:t xml:space="preserve"> a zodpovedností</w:t>
      </w:r>
      <w:r w:rsidRPr="005C2CEC">
        <w:t xml:space="preserve"> v procese riadenia </w:t>
      </w:r>
      <w:r w:rsidR="00DB14DC" w:rsidRPr="005C2CEC">
        <w:t>verejných investícií</w:t>
      </w:r>
      <w:bookmarkEnd w:id="92"/>
    </w:p>
    <w:tbl>
      <w:tblPr>
        <w:tblW w:w="5205" w:type="pct"/>
        <w:tblInd w:w="-142" w:type="dxa"/>
        <w:tblLayout w:type="fixed"/>
        <w:tblCellMar>
          <w:left w:w="70" w:type="dxa"/>
          <w:right w:w="70" w:type="dxa"/>
        </w:tblCellMar>
        <w:tblLook w:val="04A0" w:firstRow="1" w:lastRow="0" w:firstColumn="1" w:lastColumn="0" w:noHBand="0" w:noVBand="1"/>
      </w:tblPr>
      <w:tblGrid>
        <w:gridCol w:w="426"/>
        <w:gridCol w:w="142"/>
        <w:gridCol w:w="850"/>
        <w:gridCol w:w="142"/>
        <w:gridCol w:w="283"/>
        <w:gridCol w:w="2406"/>
        <w:gridCol w:w="21"/>
        <w:gridCol w:w="2248"/>
        <w:gridCol w:w="21"/>
        <w:gridCol w:w="1256"/>
        <w:gridCol w:w="21"/>
        <w:gridCol w:w="1609"/>
        <w:gridCol w:w="19"/>
      </w:tblGrid>
      <w:tr w:rsidR="00B738C0" w:rsidRPr="005C2CEC" w14:paraId="253B262A" w14:textId="77777777" w:rsidTr="00721C02">
        <w:trPr>
          <w:gridAfter w:val="1"/>
          <w:wAfter w:w="10" w:type="pct"/>
          <w:trHeight w:val="89"/>
          <w:tblHeader/>
        </w:trPr>
        <w:tc>
          <w:tcPr>
            <w:tcW w:w="976" w:type="pct"/>
            <w:gridSpan w:val="5"/>
            <w:tcBorders>
              <w:top w:val="single" w:sz="4" w:space="0" w:color="auto"/>
              <w:left w:val="nil"/>
              <w:bottom w:val="single" w:sz="4" w:space="0" w:color="auto"/>
              <w:right w:val="single" w:sz="4" w:space="0" w:color="000000"/>
            </w:tcBorders>
            <w:shd w:val="clear" w:color="auto" w:fill="auto"/>
            <w:noWrap/>
            <w:vAlign w:val="center"/>
            <w:hideMark/>
          </w:tcPr>
          <w:p w14:paraId="5834BE72" w14:textId="77777777" w:rsidR="005C4CE7" w:rsidRPr="005C2CEC" w:rsidRDefault="005C4CE7" w:rsidP="00721C02">
            <w:pPr>
              <w:keepLines/>
              <w:spacing w:afterLines="60" w:after="144" w:line="240" w:lineRule="auto"/>
              <w:jc w:val="center"/>
              <w:rPr>
                <w:rFonts w:eastAsia="Times New Roman" w:cs="Times New Roman"/>
                <w:b/>
                <w:bCs/>
                <w:color w:val="000000"/>
                <w:sz w:val="18"/>
                <w:szCs w:val="20"/>
                <w:lang w:eastAsia="sk-SK"/>
              </w:rPr>
            </w:pPr>
            <w:r w:rsidRPr="005C2CEC">
              <w:rPr>
                <w:rFonts w:eastAsia="Times New Roman" w:cs="Times New Roman"/>
                <w:b/>
                <w:bCs/>
                <w:color w:val="000000"/>
                <w:sz w:val="18"/>
                <w:szCs w:val="20"/>
                <w:lang w:eastAsia="sk-SK"/>
              </w:rPr>
              <w:t>Fáza</w:t>
            </w:r>
          </w:p>
        </w:tc>
        <w:tc>
          <w:tcPr>
            <w:tcW w:w="1274" w:type="pct"/>
            <w:tcBorders>
              <w:top w:val="single" w:sz="4" w:space="0" w:color="auto"/>
              <w:left w:val="nil"/>
              <w:bottom w:val="single" w:sz="4" w:space="0" w:color="auto"/>
              <w:right w:val="nil"/>
            </w:tcBorders>
            <w:shd w:val="clear" w:color="auto" w:fill="auto"/>
            <w:noWrap/>
            <w:vAlign w:val="center"/>
            <w:hideMark/>
          </w:tcPr>
          <w:p w14:paraId="7A7AFFE4" w14:textId="6603A643" w:rsidR="005C4CE7" w:rsidRPr="005C2CEC" w:rsidRDefault="00530908" w:rsidP="00721C02">
            <w:pPr>
              <w:keepLines/>
              <w:spacing w:afterLines="60" w:after="144" w:line="240" w:lineRule="auto"/>
              <w:jc w:val="center"/>
              <w:rPr>
                <w:rFonts w:eastAsia="Times New Roman" w:cs="Times New Roman"/>
                <w:b/>
                <w:bCs/>
                <w:color w:val="000000"/>
                <w:sz w:val="18"/>
                <w:szCs w:val="20"/>
                <w:lang w:eastAsia="sk-SK"/>
              </w:rPr>
            </w:pPr>
            <w:r w:rsidRPr="005C2CEC">
              <w:rPr>
                <w:rFonts w:eastAsia="Times New Roman" w:cs="Times New Roman"/>
                <w:b/>
                <w:bCs/>
                <w:color w:val="000000"/>
                <w:sz w:val="18"/>
                <w:szCs w:val="20"/>
                <w:lang w:eastAsia="sk-SK"/>
              </w:rPr>
              <w:t>Úloha</w:t>
            </w:r>
          </w:p>
        </w:tc>
        <w:tc>
          <w:tcPr>
            <w:tcW w:w="1201" w:type="pct"/>
            <w:gridSpan w:val="2"/>
            <w:tcBorders>
              <w:top w:val="single" w:sz="4" w:space="0" w:color="auto"/>
              <w:left w:val="nil"/>
              <w:bottom w:val="single" w:sz="4" w:space="0" w:color="auto"/>
              <w:right w:val="nil"/>
            </w:tcBorders>
            <w:shd w:val="clear" w:color="auto" w:fill="auto"/>
            <w:noWrap/>
            <w:vAlign w:val="center"/>
            <w:hideMark/>
          </w:tcPr>
          <w:p w14:paraId="5BB7BDEB" w14:textId="77B7C760" w:rsidR="005C4CE7" w:rsidRPr="005C2CEC" w:rsidRDefault="00251154" w:rsidP="00721C02">
            <w:pPr>
              <w:keepLines/>
              <w:spacing w:afterLines="60" w:after="144" w:line="240" w:lineRule="auto"/>
              <w:jc w:val="center"/>
              <w:rPr>
                <w:rFonts w:eastAsia="Times New Roman" w:cs="Times New Roman"/>
                <w:b/>
                <w:bCs/>
                <w:color w:val="000000"/>
                <w:sz w:val="18"/>
                <w:szCs w:val="20"/>
                <w:lang w:eastAsia="sk-SK"/>
              </w:rPr>
            </w:pPr>
            <w:r w:rsidRPr="005C2CEC">
              <w:rPr>
                <w:rFonts w:eastAsia="Times New Roman" w:cs="Times New Roman"/>
                <w:b/>
                <w:bCs/>
                <w:color w:val="000000"/>
                <w:sz w:val="18"/>
                <w:szCs w:val="20"/>
                <w:lang w:eastAsia="sk-SK"/>
              </w:rPr>
              <w:t>Lehota</w:t>
            </w:r>
          </w:p>
        </w:tc>
        <w:tc>
          <w:tcPr>
            <w:tcW w:w="676" w:type="pct"/>
            <w:gridSpan w:val="2"/>
            <w:tcBorders>
              <w:top w:val="single" w:sz="4" w:space="0" w:color="auto"/>
              <w:left w:val="nil"/>
              <w:bottom w:val="single" w:sz="4" w:space="0" w:color="auto"/>
              <w:right w:val="nil"/>
            </w:tcBorders>
            <w:shd w:val="clear" w:color="auto" w:fill="auto"/>
            <w:noWrap/>
            <w:vAlign w:val="center"/>
            <w:hideMark/>
          </w:tcPr>
          <w:p w14:paraId="32FDD662" w14:textId="0795E9CD" w:rsidR="005C4CE7" w:rsidRPr="005C2CEC" w:rsidRDefault="00251154" w:rsidP="00721C02">
            <w:pPr>
              <w:keepLines/>
              <w:spacing w:afterLines="60" w:after="144" w:line="240" w:lineRule="auto"/>
              <w:jc w:val="center"/>
              <w:rPr>
                <w:rFonts w:eastAsia="Times New Roman" w:cs="Times New Roman"/>
                <w:b/>
                <w:bCs/>
                <w:color w:val="000000"/>
                <w:sz w:val="18"/>
                <w:szCs w:val="20"/>
                <w:lang w:eastAsia="sk-SK"/>
              </w:rPr>
            </w:pPr>
            <w:r w:rsidRPr="005C2CEC">
              <w:rPr>
                <w:rFonts w:eastAsia="Times New Roman" w:cs="Times New Roman"/>
                <w:b/>
                <w:bCs/>
                <w:color w:val="000000"/>
                <w:sz w:val="18"/>
                <w:szCs w:val="20"/>
                <w:lang w:eastAsia="sk-SK"/>
              </w:rPr>
              <w:t>Zodpovednosť</w:t>
            </w:r>
          </w:p>
        </w:tc>
        <w:tc>
          <w:tcPr>
            <w:tcW w:w="863" w:type="pct"/>
            <w:gridSpan w:val="2"/>
            <w:tcBorders>
              <w:top w:val="single" w:sz="4" w:space="0" w:color="auto"/>
              <w:left w:val="nil"/>
              <w:bottom w:val="single" w:sz="4" w:space="0" w:color="auto"/>
              <w:right w:val="nil"/>
            </w:tcBorders>
            <w:shd w:val="clear" w:color="auto" w:fill="auto"/>
            <w:noWrap/>
            <w:vAlign w:val="center"/>
            <w:hideMark/>
          </w:tcPr>
          <w:p w14:paraId="4F164AA9" w14:textId="3B091841" w:rsidR="005C4CE7" w:rsidRPr="005C2CEC" w:rsidRDefault="00251154" w:rsidP="00721C02">
            <w:pPr>
              <w:keepLines/>
              <w:spacing w:afterLines="60" w:after="144" w:line="240" w:lineRule="auto"/>
              <w:jc w:val="center"/>
              <w:rPr>
                <w:rFonts w:eastAsia="Times New Roman" w:cs="Times New Roman"/>
                <w:b/>
                <w:bCs/>
                <w:color w:val="000000"/>
                <w:sz w:val="18"/>
                <w:szCs w:val="20"/>
                <w:lang w:eastAsia="sk-SK"/>
              </w:rPr>
            </w:pPr>
            <w:r w:rsidRPr="005C2CEC">
              <w:rPr>
                <w:rFonts w:eastAsia="Times New Roman" w:cs="Times New Roman"/>
                <w:b/>
                <w:bCs/>
                <w:color w:val="000000"/>
                <w:sz w:val="18"/>
                <w:szCs w:val="20"/>
                <w:lang w:eastAsia="sk-SK"/>
              </w:rPr>
              <w:t>Výstup</w:t>
            </w:r>
          </w:p>
        </w:tc>
      </w:tr>
      <w:tr w:rsidR="00721C02" w:rsidRPr="005C2CEC" w14:paraId="23F1F45F" w14:textId="77777777" w:rsidTr="00BF1DCA">
        <w:trPr>
          <w:trHeight w:val="89"/>
        </w:trPr>
        <w:tc>
          <w:tcPr>
            <w:tcW w:w="226" w:type="pct"/>
            <w:vMerge w:val="restart"/>
            <w:tcBorders>
              <w:top w:val="single" w:sz="4" w:space="0" w:color="auto"/>
              <w:left w:val="nil"/>
              <w:bottom w:val="single" w:sz="4" w:space="0" w:color="000000"/>
              <w:right w:val="dashed" w:sz="4" w:space="0" w:color="BFBFBF" w:themeColor="background1" w:themeShade="BF"/>
            </w:tcBorders>
            <w:shd w:val="clear" w:color="auto" w:fill="auto"/>
            <w:noWrap/>
            <w:textDirection w:val="btLr"/>
            <w:vAlign w:val="center"/>
          </w:tcPr>
          <w:p w14:paraId="24A76729" w14:textId="0990623E" w:rsidR="00251154" w:rsidRPr="005C2CEC" w:rsidRDefault="00251154" w:rsidP="00721C02">
            <w:pPr>
              <w:keepLines/>
              <w:spacing w:afterLines="60" w:after="144" w:line="240" w:lineRule="auto"/>
              <w:ind w:left="113" w:right="113"/>
              <w:jc w:val="center"/>
              <w:rPr>
                <w:rFonts w:eastAsia="Times New Roman" w:cs="Times New Roman"/>
                <w:bCs/>
                <w:color w:val="000000"/>
                <w:sz w:val="18"/>
                <w:szCs w:val="20"/>
                <w:lang w:eastAsia="sk-SK"/>
              </w:rPr>
            </w:pPr>
            <w:r w:rsidRPr="005C2CEC">
              <w:rPr>
                <w:rFonts w:eastAsia="Times New Roman" w:cs="Times New Roman"/>
                <w:bCs/>
                <w:color w:val="000000"/>
                <w:sz w:val="18"/>
                <w:szCs w:val="20"/>
                <w:lang w:eastAsia="sk-SK"/>
              </w:rPr>
              <w:t>Strategické plánovanie</w:t>
            </w:r>
            <w:r w:rsidR="00AB5B1A">
              <w:rPr>
                <w:rFonts w:eastAsia="Times New Roman" w:cs="Times New Roman"/>
                <w:bCs/>
                <w:color w:val="000000"/>
                <w:sz w:val="18"/>
                <w:szCs w:val="20"/>
                <w:lang w:eastAsia="sk-SK"/>
              </w:rPr>
              <w:t xml:space="preserve"> investícií</w:t>
            </w:r>
          </w:p>
        </w:tc>
        <w:tc>
          <w:tcPr>
            <w:tcW w:w="750" w:type="pct"/>
            <w:gridSpan w:val="4"/>
            <w:tcBorders>
              <w:top w:val="single" w:sz="4" w:space="0" w:color="auto"/>
              <w:left w:val="dashed" w:sz="4" w:space="0" w:color="BFBFBF" w:themeColor="background1" w:themeShade="BF"/>
              <w:bottom w:val="dashed" w:sz="4" w:space="0" w:color="BFBFBF" w:themeColor="background1" w:themeShade="BF"/>
              <w:right w:val="single" w:sz="4" w:space="0" w:color="000000"/>
            </w:tcBorders>
            <w:shd w:val="clear" w:color="auto" w:fill="auto"/>
            <w:vAlign w:val="center"/>
          </w:tcPr>
          <w:p w14:paraId="0371A115" w14:textId="65316424" w:rsidR="00251154" w:rsidRPr="005C2CEC" w:rsidRDefault="009E7CA3" w:rsidP="00FC6390">
            <w:pPr>
              <w:keepLines/>
              <w:spacing w:afterLines="30" w:after="72" w:line="240" w:lineRule="auto"/>
              <w:jc w:val="left"/>
              <w:rPr>
                <w:rFonts w:eastAsia="Times New Roman" w:cs="Times New Roman"/>
                <w:bCs/>
                <w:color w:val="000000"/>
                <w:sz w:val="18"/>
                <w:szCs w:val="20"/>
                <w:lang w:eastAsia="sk-SK"/>
              </w:rPr>
            </w:pPr>
            <w:r w:rsidRPr="005C2CEC">
              <w:rPr>
                <w:rFonts w:eastAsia="Times New Roman" w:cs="Times New Roman"/>
                <w:bCs/>
                <w:color w:val="000000"/>
                <w:sz w:val="18"/>
                <w:szCs w:val="20"/>
                <w:lang w:eastAsia="sk-SK"/>
              </w:rPr>
              <w:t>Národná investičná stratégia</w:t>
            </w:r>
          </w:p>
          <w:p w14:paraId="6933DAE5" w14:textId="31CCAC60" w:rsidR="003B2F29" w:rsidRPr="005C2CEC" w:rsidRDefault="003B2F29" w:rsidP="00FC6390">
            <w:pPr>
              <w:keepLines/>
              <w:spacing w:afterLines="30" w:after="72" w:line="240" w:lineRule="auto"/>
              <w:jc w:val="left"/>
              <w:rPr>
                <w:rFonts w:eastAsia="Times New Roman" w:cs="Times New Roman"/>
                <w:bCs/>
                <w:i/>
                <w:color w:val="000000"/>
                <w:sz w:val="18"/>
                <w:szCs w:val="20"/>
                <w:lang w:eastAsia="sk-SK"/>
              </w:rPr>
            </w:pPr>
            <w:r w:rsidRPr="005C2CEC">
              <w:rPr>
                <w:rFonts w:eastAsia="Times New Roman" w:cs="Times New Roman"/>
                <w:bCs/>
                <w:i/>
                <w:color w:val="000000"/>
                <w:sz w:val="18"/>
                <w:szCs w:val="20"/>
                <w:lang w:eastAsia="sk-SK"/>
              </w:rPr>
              <w:t xml:space="preserve">(kapitola </w:t>
            </w:r>
            <w:r w:rsidR="008916CB" w:rsidRPr="005C2CEC">
              <w:rPr>
                <w:rFonts w:eastAsia="Times New Roman" w:cs="Times New Roman"/>
                <w:bCs/>
                <w:i/>
                <w:color w:val="000000"/>
                <w:sz w:val="18"/>
                <w:szCs w:val="20"/>
                <w:lang w:eastAsia="sk-SK"/>
              </w:rPr>
              <w:fldChar w:fldCharType="begin"/>
            </w:r>
            <w:r w:rsidR="008916CB" w:rsidRPr="005C2CEC">
              <w:rPr>
                <w:rFonts w:eastAsia="Times New Roman" w:cs="Times New Roman"/>
                <w:bCs/>
                <w:i/>
                <w:color w:val="000000"/>
                <w:sz w:val="18"/>
                <w:szCs w:val="20"/>
                <w:lang w:eastAsia="sk-SK"/>
              </w:rPr>
              <w:instrText xml:space="preserve"> REF _Ref45287852 \r \h </w:instrText>
            </w:r>
            <w:r w:rsidR="006C21C9" w:rsidRPr="005C2CEC">
              <w:rPr>
                <w:rFonts w:eastAsia="Times New Roman" w:cs="Times New Roman"/>
                <w:bCs/>
                <w:i/>
                <w:color w:val="000000"/>
                <w:sz w:val="18"/>
                <w:szCs w:val="20"/>
                <w:lang w:eastAsia="sk-SK"/>
              </w:rPr>
              <w:instrText xml:space="preserve"> \* MERGEFORMAT </w:instrText>
            </w:r>
            <w:r w:rsidR="008916CB" w:rsidRPr="005C2CEC">
              <w:rPr>
                <w:rFonts w:eastAsia="Times New Roman" w:cs="Times New Roman"/>
                <w:bCs/>
                <w:i/>
                <w:color w:val="000000"/>
                <w:sz w:val="18"/>
                <w:szCs w:val="20"/>
                <w:lang w:eastAsia="sk-SK"/>
              </w:rPr>
            </w:r>
            <w:r w:rsidR="008916CB" w:rsidRPr="005C2CEC">
              <w:rPr>
                <w:rFonts w:eastAsia="Times New Roman" w:cs="Times New Roman"/>
                <w:bCs/>
                <w:i/>
                <w:color w:val="000000"/>
                <w:sz w:val="18"/>
                <w:szCs w:val="20"/>
                <w:lang w:eastAsia="sk-SK"/>
              </w:rPr>
              <w:fldChar w:fldCharType="separate"/>
            </w:r>
            <w:r w:rsidR="000D2AF7">
              <w:rPr>
                <w:rFonts w:eastAsia="Times New Roman" w:cs="Times New Roman"/>
                <w:bCs/>
                <w:i/>
                <w:color w:val="000000"/>
                <w:sz w:val="18"/>
                <w:szCs w:val="20"/>
                <w:lang w:eastAsia="sk-SK"/>
              </w:rPr>
              <w:t>3.1</w:t>
            </w:r>
            <w:r w:rsidR="008916CB" w:rsidRPr="005C2CEC">
              <w:rPr>
                <w:rFonts w:eastAsia="Times New Roman" w:cs="Times New Roman"/>
                <w:bCs/>
                <w:i/>
                <w:color w:val="000000"/>
                <w:sz w:val="18"/>
                <w:szCs w:val="20"/>
                <w:lang w:eastAsia="sk-SK"/>
              </w:rPr>
              <w:fldChar w:fldCharType="end"/>
            </w:r>
            <w:r w:rsidRPr="005C2CEC">
              <w:rPr>
                <w:rFonts w:eastAsia="Times New Roman" w:cs="Times New Roman"/>
                <w:bCs/>
                <w:i/>
                <w:color w:val="000000"/>
                <w:sz w:val="18"/>
                <w:szCs w:val="20"/>
                <w:lang w:eastAsia="sk-SK"/>
              </w:rPr>
              <w:t>)</w:t>
            </w:r>
          </w:p>
        </w:tc>
        <w:tc>
          <w:tcPr>
            <w:tcW w:w="1285" w:type="pct"/>
            <w:gridSpan w:val="2"/>
            <w:tcBorders>
              <w:top w:val="single" w:sz="4" w:space="0" w:color="auto"/>
              <w:left w:val="nil"/>
              <w:bottom w:val="dashed" w:sz="4" w:space="0" w:color="BFBFBF" w:themeColor="background1" w:themeShade="BF"/>
              <w:right w:val="nil"/>
            </w:tcBorders>
            <w:shd w:val="clear" w:color="auto" w:fill="auto"/>
            <w:noWrap/>
            <w:vAlign w:val="center"/>
          </w:tcPr>
          <w:p w14:paraId="7D24EB53" w14:textId="464D9AB7" w:rsidR="00DF0CF2" w:rsidRDefault="00DF0CF2" w:rsidP="004207F0">
            <w:pPr>
              <w:keepLines/>
              <w:spacing w:afterLines="60" w:after="144" w:line="240" w:lineRule="auto"/>
              <w:jc w:val="center"/>
              <w:rPr>
                <w:rFonts w:eastAsia="Times New Roman" w:cs="Times New Roman"/>
                <w:bCs/>
                <w:color w:val="000000"/>
                <w:sz w:val="18"/>
                <w:szCs w:val="20"/>
                <w:lang w:eastAsia="sk-SK"/>
              </w:rPr>
            </w:pPr>
            <w:r>
              <w:rPr>
                <w:rFonts w:eastAsia="Times New Roman" w:cs="Times New Roman"/>
                <w:bCs/>
                <w:color w:val="000000"/>
                <w:sz w:val="18"/>
                <w:szCs w:val="20"/>
                <w:lang w:eastAsia="sk-SK"/>
              </w:rPr>
              <w:t>MIRRI SR pripraví národnú investičnú stratégiu v spolupráci s MF SR</w:t>
            </w:r>
          </w:p>
          <w:p w14:paraId="05616188" w14:textId="3E06C774" w:rsidR="00251154" w:rsidRPr="005C2CEC" w:rsidRDefault="003B2F29" w:rsidP="004207F0">
            <w:pPr>
              <w:keepLines/>
              <w:spacing w:afterLines="60" w:after="144" w:line="240" w:lineRule="auto"/>
              <w:jc w:val="center"/>
              <w:rPr>
                <w:rFonts w:eastAsia="Times New Roman" w:cs="Times New Roman"/>
                <w:bCs/>
                <w:color w:val="000000"/>
                <w:sz w:val="18"/>
                <w:szCs w:val="20"/>
                <w:lang w:eastAsia="sk-SK"/>
              </w:rPr>
            </w:pPr>
            <w:r w:rsidRPr="005C2CEC">
              <w:rPr>
                <w:rFonts w:eastAsia="Times New Roman" w:cs="Times New Roman"/>
                <w:bCs/>
                <w:color w:val="000000"/>
                <w:sz w:val="18"/>
                <w:szCs w:val="20"/>
                <w:lang w:eastAsia="sk-SK"/>
              </w:rPr>
              <w:t xml:space="preserve">Vláda schváli </w:t>
            </w:r>
            <w:r w:rsidR="00DF0CF2">
              <w:rPr>
                <w:rFonts w:eastAsia="Times New Roman" w:cs="Times New Roman"/>
                <w:bCs/>
                <w:color w:val="000000"/>
                <w:sz w:val="18"/>
                <w:szCs w:val="20"/>
                <w:lang w:eastAsia="sk-SK"/>
              </w:rPr>
              <w:t xml:space="preserve">národnú investičnú stratégiu s </w:t>
            </w:r>
            <w:r w:rsidR="009E7CA3" w:rsidRPr="005C2CEC">
              <w:rPr>
                <w:rFonts w:eastAsia="Times New Roman" w:cs="Times New Roman"/>
                <w:bCs/>
                <w:color w:val="000000"/>
                <w:sz w:val="18"/>
                <w:szCs w:val="20"/>
                <w:lang w:eastAsia="sk-SK"/>
              </w:rPr>
              <w:t>celonárodn</w:t>
            </w:r>
            <w:r w:rsidR="00DF0CF2">
              <w:rPr>
                <w:rFonts w:eastAsia="Times New Roman" w:cs="Times New Roman"/>
                <w:bCs/>
                <w:color w:val="000000"/>
                <w:sz w:val="18"/>
                <w:szCs w:val="20"/>
                <w:lang w:eastAsia="sk-SK"/>
              </w:rPr>
              <w:t>ými</w:t>
            </w:r>
            <w:r w:rsidR="009E7CA3" w:rsidRPr="005C2CEC">
              <w:rPr>
                <w:rFonts w:eastAsia="Times New Roman" w:cs="Times New Roman"/>
                <w:bCs/>
                <w:color w:val="000000"/>
                <w:sz w:val="18"/>
                <w:szCs w:val="20"/>
                <w:lang w:eastAsia="sk-SK"/>
              </w:rPr>
              <w:t xml:space="preserve"> investičn</w:t>
            </w:r>
            <w:r w:rsidR="00DF0CF2">
              <w:rPr>
                <w:rFonts w:eastAsia="Times New Roman" w:cs="Times New Roman"/>
                <w:bCs/>
                <w:color w:val="000000"/>
                <w:sz w:val="18"/>
                <w:szCs w:val="20"/>
                <w:lang w:eastAsia="sk-SK"/>
              </w:rPr>
              <w:t>ými</w:t>
            </w:r>
            <w:r w:rsidR="009E7CA3" w:rsidRPr="005C2CEC">
              <w:rPr>
                <w:rFonts w:eastAsia="Times New Roman" w:cs="Times New Roman"/>
                <w:bCs/>
                <w:color w:val="000000"/>
                <w:sz w:val="18"/>
                <w:szCs w:val="20"/>
                <w:lang w:eastAsia="sk-SK"/>
              </w:rPr>
              <w:t xml:space="preserve"> </w:t>
            </w:r>
            <w:r w:rsidR="00251154" w:rsidRPr="005C2CEC">
              <w:rPr>
                <w:rFonts w:eastAsia="Times New Roman" w:cs="Times New Roman"/>
                <w:bCs/>
                <w:color w:val="000000"/>
                <w:sz w:val="18"/>
                <w:szCs w:val="20"/>
                <w:lang w:eastAsia="sk-SK"/>
              </w:rPr>
              <w:t>cie</w:t>
            </w:r>
            <w:r w:rsidR="00DF0CF2">
              <w:rPr>
                <w:rFonts w:eastAsia="Times New Roman" w:cs="Times New Roman"/>
                <w:bCs/>
                <w:color w:val="000000"/>
                <w:sz w:val="18"/>
                <w:szCs w:val="20"/>
                <w:lang w:eastAsia="sk-SK"/>
              </w:rPr>
              <w:t>ľmi</w:t>
            </w:r>
            <w:r w:rsidR="00251154" w:rsidRPr="005C2CEC">
              <w:rPr>
                <w:rFonts w:eastAsia="Times New Roman" w:cs="Times New Roman"/>
                <w:bCs/>
                <w:color w:val="000000"/>
                <w:sz w:val="18"/>
                <w:szCs w:val="20"/>
                <w:lang w:eastAsia="sk-SK"/>
              </w:rPr>
              <w:t xml:space="preserve"> na </w:t>
            </w:r>
            <w:r w:rsidR="004207F0">
              <w:rPr>
                <w:rFonts w:eastAsia="Times New Roman" w:cs="Times New Roman"/>
                <w:bCs/>
                <w:color w:val="000000"/>
                <w:sz w:val="18"/>
                <w:szCs w:val="20"/>
                <w:lang w:eastAsia="sk-SK"/>
              </w:rPr>
              <w:t>1</w:t>
            </w:r>
            <w:r w:rsidR="004207F0" w:rsidRPr="005C2CEC">
              <w:rPr>
                <w:rFonts w:eastAsia="Times New Roman" w:cs="Times New Roman"/>
                <w:bCs/>
                <w:color w:val="000000"/>
                <w:sz w:val="18"/>
                <w:szCs w:val="20"/>
                <w:lang w:eastAsia="sk-SK"/>
              </w:rPr>
              <w:t>0</w:t>
            </w:r>
            <w:r w:rsidR="00251154" w:rsidRPr="005C2CEC">
              <w:rPr>
                <w:rFonts w:eastAsia="Times New Roman" w:cs="Times New Roman"/>
                <w:bCs/>
                <w:color w:val="000000"/>
                <w:sz w:val="18"/>
                <w:szCs w:val="20"/>
                <w:lang w:eastAsia="sk-SK"/>
              </w:rPr>
              <w:t>-30 rokov</w:t>
            </w:r>
          </w:p>
        </w:tc>
        <w:tc>
          <w:tcPr>
            <w:tcW w:w="1201" w:type="pct"/>
            <w:gridSpan w:val="2"/>
            <w:tcBorders>
              <w:top w:val="single" w:sz="4" w:space="0" w:color="auto"/>
              <w:left w:val="nil"/>
              <w:bottom w:val="dashed" w:sz="4" w:space="0" w:color="BFBFBF" w:themeColor="background1" w:themeShade="BF"/>
              <w:right w:val="nil"/>
            </w:tcBorders>
            <w:shd w:val="clear" w:color="auto" w:fill="auto"/>
            <w:noWrap/>
            <w:vAlign w:val="center"/>
          </w:tcPr>
          <w:p w14:paraId="03E745D3" w14:textId="60689A85" w:rsidR="00251154" w:rsidRPr="005C2CEC" w:rsidRDefault="00251154" w:rsidP="00721C02">
            <w:pPr>
              <w:keepLines/>
              <w:spacing w:afterLines="60" w:after="144" w:line="240" w:lineRule="auto"/>
              <w:jc w:val="center"/>
              <w:rPr>
                <w:rFonts w:eastAsia="Times New Roman" w:cs="Times New Roman"/>
                <w:bCs/>
                <w:color w:val="000000"/>
                <w:sz w:val="18"/>
                <w:szCs w:val="20"/>
                <w:lang w:eastAsia="sk-SK"/>
              </w:rPr>
            </w:pPr>
            <w:r w:rsidRPr="005C2CEC">
              <w:rPr>
                <w:rFonts w:eastAsia="Times New Roman" w:cs="Times New Roman"/>
                <w:bCs/>
                <w:color w:val="000000"/>
                <w:sz w:val="18"/>
                <w:szCs w:val="20"/>
                <w:lang w:eastAsia="sk-SK"/>
              </w:rPr>
              <w:t>-</w:t>
            </w:r>
          </w:p>
        </w:tc>
        <w:tc>
          <w:tcPr>
            <w:tcW w:w="676" w:type="pct"/>
            <w:gridSpan w:val="2"/>
            <w:tcBorders>
              <w:top w:val="single" w:sz="4" w:space="0" w:color="auto"/>
              <w:left w:val="nil"/>
              <w:bottom w:val="dashed" w:sz="4" w:space="0" w:color="BFBFBF" w:themeColor="background1" w:themeShade="BF"/>
              <w:right w:val="nil"/>
            </w:tcBorders>
            <w:shd w:val="clear" w:color="auto" w:fill="auto"/>
            <w:noWrap/>
            <w:vAlign w:val="center"/>
          </w:tcPr>
          <w:p w14:paraId="160E309E" w14:textId="541B1EC3" w:rsidR="001B4243" w:rsidRPr="005C2CEC" w:rsidRDefault="00480DA4" w:rsidP="00721C02">
            <w:pPr>
              <w:keepLines/>
              <w:spacing w:afterLines="60" w:after="144" w:line="240" w:lineRule="auto"/>
              <w:jc w:val="center"/>
              <w:rPr>
                <w:rFonts w:eastAsia="Times New Roman" w:cs="Times New Roman"/>
                <w:bCs/>
                <w:color w:val="000000"/>
                <w:sz w:val="18"/>
                <w:szCs w:val="20"/>
                <w:lang w:eastAsia="sk-SK"/>
              </w:rPr>
            </w:pPr>
            <w:r w:rsidRPr="005C2CEC">
              <w:rPr>
                <w:rFonts w:eastAsia="Times New Roman" w:cs="Times New Roman"/>
                <w:color w:val="000000"/>
                <w:sz w:val="18"/>
                <w:szCs w:val="20"/>
                <w:lang w:eastAsia="sk-SK"/>
              </w:rPr>
              <w:t xml:space="preserve">Pripraví </w:t>
            </w:r>
            <w:r w:rsidR="001B4243" w:rsidRPr="005C2CEC">
              <w:rPr>
                <w:rFonts w:eastAsia="Times New Roman" w:cs="Times New Roman"/>
                <w:bCs/>
                <w:color w:val="000000"/>
                <w:sz w:val="18"/>
                <w:szCs w:val="20"/>
                <w:lang w:eastAsia="sk-SK"/>
              </w:rPr>
              <w:t>MIRRI SR</w:t>
            </w:r>
            <w:r w:rsidR="00DF0CF2">
              <w:rPr>
                <w:rFonts w:eastAsia="Times New Roman" w:cs="Times New Roman"/>
                <w:bCs/>
                <w:color w:val="000000"/>
                <w:sz w:val="18"/>
                <w:szCs w:val="20"/>
                <w:lang w:eastAsia="sk-SK"/>
              </w:rPr>
              <w:t xml:space="preserve"> v spolupráci s MF SR</w:t>
            </w:r>
          </w:p>
          <w:p w14:paraId="5A6E5198" w14:textId="175C081E" w:rsidR="00251154" w:rsidRPr="005C2CEC" w:rsidRDefault="00251154" w:rsidP="00721C02">
            <w:pPr>
              <w:keepLines/>
              <w:spacing w:afterLines="60" w:after="144" w:line="240" w:lineRule="auto"/>
              <w:jc w:val="center"/>
              <w:rPr>
                <w:rFonts w:eastAsia="Times New Roman" w:cs="Times New Roman"/>
                <w:bCs/>
                <w:color w:val="000000"/>
                <w:sz w:val="18"/>
                <w:szCs w:val="20"/>
                <w:lang w:eastAsia="sk-SK"/>
              </w:rPr>
            </w:pPr>
            <w:r w:rsidRPr="005C2CEC">
              <w:rPr>
                <w:rFonts w:eastAsia="Times New Roman" w:cs="Times New Roman"/>
                <w:bCs/>
                <w:color w:val="000000"/>
                <w:sz w:val="18"/>
                <w:szCs w:val="20"/>
                <w:lang w:eastAsia="sk-SK"/>
              </w:rPr>
              <w:t>Schvaľuje</w:t>
            </w:r>
            <w:r w:rsidR="003B2F29" w:rsidRPr="005C2CEC">
              <w:rPr>
                <w:rFonts w:eastAsia="Times New Roman" w:cs="Times New Roman"/>
                <w:bCs/>
                <w:color w:val="000000"/>
                <w:sz w:val="18"/>
                <w:szCs w:val="20"/>
                <w:lang w:eastAsia="sk-SK"/>
              </w:rPr>
              <w:t xml:space="preserve"> </w:t>
            </w:r>
            <w:r w:rsidRPr="005C2CEC">
              <w:rPr>
                <w:rFonts w:eastAsia="Times New Roman" w:cs="Times New Roman"/>
                <w:bCs/>
                <w:color w:val="000000"/>
                <w:sz w:val="18"/>
                <w:szCs w:val="20"/>
                <w:lang w:eastAsia="sk-SK"/>
              </w:rPr>
              <w:t>vláda SR</w:t>
            </w:r>
          </w:p>
        </w:tc>
        <w:tc>
          <w:tcPr>
            <w:tcW w:w="862" w:type="pct"/>
            <w:gridSpan w:val="2"/>
            <w:tcBorders>
              <w:top w:val="single" w:sz="4" w:space="0" w:color="auto"/>
              <w:left w:val="nil"/>
              <w:bottom w:val="dashed" w:sz="4" w:space="0" w:color="BFBFBF" w:themeColor="background1" w:themeShade="BF"/>
              <w:right w:val="nil"/>
            </w:tcBorders>
            <w:shd w:val="clear" w:color="auto" w:fill="auto"/>
            <w:noWrap/>
            <w:vAlign w:val="center"/>
          </w:tcPr>
          <w:p w14:paraId="553D18EC" w14:textId="0B09DB99" w:rsidR="00251154" w:rsidRPr="005C2CEC" w:rsidRDefault="00DB14DC" w:rsidP="00721C02">
            <w:pPr>
              <w:keepLines/>
              <w:spacing w:afterLines="60" w:after="144" w:line="240" w:lineRule="auto"/>
              <w:jc w:val="center"/>
              <w:rPr>
                <w:rFonts w:eastAsia="Times New Roman" w:cs="Times New Roman"/>
                <w:bCs/>
                <w:color w:val="000000"/>
                <w:sz w:val="18"/>
                <w:szCs w:val="20"/>
                <w:lang w:eastAsia="sk-SK"/>
              </w:rPr>
            </w:pPr>
            <w:r w:rsidRPr="005C2CEC">
              <w:rPr>
                <w:rFonts w:eastAsia="Times New Roman" w:cs="Times New Roman"/>
                <w:bCs/>
                <w:color w:val="000000"/>
                <w:sz w:val="18"/>
                <w:szCs w:val="20"/>
                <w:lang w:eastAsia="sk-SK"/>
              </w:rPr>
              <w:t xml:space="preserve">Národná </w:t>
            </w:r>
            <w:r w:rsidR="009E7CA3" w:rsidRPr="005C2CEC">
              <w:rPr>
                <w:rFonts w:eastAsia="Times New Roman" w:cs="Times New Roman"/>
                <w:bCs/>
                <w:color w:val="000000"/>
                <w:sz w:val="18"/>
                <w:szCs w:val="20"/>
                <w:lang w:eastAsia="sk-SK"/>
              </w:rPr>
              <w:t xml:space="preserve">investičná </w:t>
            </w:r>
            <w:r w:rsidRPr="005C2CEC">
              <w:rPr>
                <w:rFonts w:eastAsia="Times New Roman" w:cs="Times New Roman"/>
                <w:bCs/>
                <w:color w:val="000000"/>
                <w:sz w:val="18"/>
                <w:szCs w:val="20"/>
                <w:lang w:eastAsia="sk-SK"/>
              </w:rPr>
              <w:t>stratégia</w:t>
            </w:r>
          </w:p>
        </w:tc>
      </w:tr>
      <w:tr w:rsidR="00721C02" w:rsidRPr="005C2CEC" w14:paraId="5DED1FAE" w14:textId="77777777" w:rsidTr="00BF1DCA">
        <w:trPr>
          <w:trHeight w:val="89"/>
        </w:trPr>
        <w:tc>
          <w:tcPr>
            <w:tcW w:w="226" w:type="pct"/>
            <w:vMerge/>
            <w:tcBorders>
              <w:top w:val="single" w:sz="4" w:space="0" w:color="auto"/>
              <w:left w:val="nil"/>
              <w:bottom w:val="single" w:sz="4" w:space="0" w:color="000000"/>
              <w:right w:val="dashed" w:sz="4" w:space="0" w:color="BFBFBF" w:themeColor="background1" w:themeShade="BF"/>
            </w:tcBorders>
            <w:shd w:val="clear" w:color="auto" w:fill="auto"/>
            <w:noWrap/>
            <w:textDirection w:val="btLr"/>
            <w:vAlign w:val="center"/>
          </w:tcPr>
          <w:p w14:paraId="43E167B9" w14:textId="77777777" w:rsidR="00251154" w:rsidRPr="005C2CEC" w:rsidRDefault="00251154" w:rsidP="00721C02">
            <w:pPr>
              <w:keepLines/>
              <w:spacing w:afterLines="60" w:after="144" w:line="240" w:lineRule="auto"/>
              <w:ind w:left="113" w:right="113"/>
              <w:jc w:val="left"/>
              <w:rPr>
                <w:rFonts w:eastAsia="Times New Roman" w:cs="Times New Roman"/>
                <w:bCs/>
                <w:color w:val="000000"/>
                <w:sz w:val="18"/>
                <w:szCs w:val="20"/>
                <w:lang w:eastAsia="sk-SK"/>
              </w:rPr>
            </w:pPr>
          </w:p>
        </w:tc>
        <w:tc>
          <w:tcPr>
            <w:tcW w:w="750" w:type="pct"/>
            <w:gridSpan w:val="4"/>
            <w:tcBorders>
              <w:top w:val="dashed" w:sz="4" w:space="0" w:color="BFBFBF" w:themeColor="background1" w:themeShade="BF"/>
              <w:left w:val="dashed" w:sz="4" w:space="0" w:color="BFBFBF" w:themeColor="background1" w:themeShade="BF"/>
              <w:bottom w:val="dashed" w:sz="4" w:space="0" w:color="BFBFBF" w:themeColor="background1" w:themeShade="BF"/>
              <w:right w:val="single" w:sz="4" w:space="0" w:color="000000"/>
            </w:tcBorders>
            <w:shd w:val="clear" w:color="auto" w:fill="auto"/>
            <w:vAlign w:val="center"/>
          </w:tcPr>
          <w:p w14:paraId="4379C490" w14:textId="4C1C387B" w:rsidR="00251154" w:rsidRPr="005C2CEC" w:rsidRDefault="00B7407C" w:rsidP="00FC6390">
            <w:pPr>
              <w:keepLines/>
              <w:spacing w:afterLines="30" w:after="72" w:line="240" w:lineRule="auto"/>
              <w:jc w:val="left"/>
              <w:rPr>
                <w:rFonts w:eastAsia="Times New Roman" w:cs="Times New Roman"/>
                <w:bCs/>
                <w:color w:val="000000"/>
                <w:sz w:val="18"/>
                <w:szCs w:val="20"/>
                <w:lang w:eastAsia="sk-SK"/>
              </w:rPr>
            </w:pPr>
            <w:r w:rsidRPr="005C2CEC">
              <w:rPr>
                <w:rFonts w:eastAsia="Times New Roman" w:cs="Times New Roman"/>
                <w:bCs/>
                <w:color w:val="000000"/>
                <w:sz w:val="18"/>
                <w:szCs w:val="20"/>
                <w:lang w:eastAsia="sk-SK"/>
              </w:rPr>
              <w:t>Pomenovanie</w:t>
            </w:r>
            <w:r w:rsidR="009E7CA3" w:rsidRPr="005C2CEC">
              <w:rPr>
                <w:rFonts w:eastAsia="Times New Roman" w:cs="Times New Roman"/>
                <w:bCs/>
                <w:color w:val="000000"/>
                <w:sz w:val="18"/>
                <w:szCs w:val="20"/>
                <w:lang w:eastAsia="sk-SK"/>
              </w:rPr>
              <w:t xml:space="preserve"> </w:t>
            </w:r>
            <w:r w:rsidR="00251154" w:rsidRPr="005C2CEC">
              <w:rPr>
                <w:rFonts w:eastAsia="Times New Roman" w:cs="Times New Roman"/>
                <w:bCs/>
                <w:color w:val="000000"/>
                <w:sz w:val="18"/>
                <w:szCs w:val="20"/>
                <w:lang w:eastAsia="sk-SK"/>
              </w:rPr>
              <w:t>cieľov</w:t>
            </w:r>
          </w:p>
          <w:p w14:paraId="3954F369" w14:textId="0776183A" w:rsidR="003B2F29" w:rsidRPr="005C2CEC" w:rsidRDefault="003B2F29" w:rsidP="00FC6390">
            <w:pPr>
              <w:keepLines/>
              <w:spacing w:afterLines="30" w:after="72" w:line="240" w:lineRule="auto"/>
              <w:jc w:val="left"/>
              <w:rPr>
                <w:rFonts w:eastAsia="Times New Roman" w:cs="Times New Roman"/>
                <w:bCs/>
                <w:i/>
                <w:color w:val="000000"/>
                <w:sz w:val="18"/>
                <w:szCs w:val="20"/>
                <w:lang w:eastAsia="sk-SK"/>
              </w:rPr>
            </w:pPr>
            <w:r w:rsidRPr="005C2CEC">
              <w:rPr>
                <w:rFonts w:eastAsia="Times New Roman" w:cs="Times New Roman"/>
                <w:bCs/>
                <w:i/>
                <w:color w:val="000000"/>
                <w:sz w:val="18"/>
                <w:szCs w:val="20"/>
                <w:lang w:eastAsia="sk-SK"/>
              </w:rPr>
              <w:t xml:space="preserve">(kapitola </w:t>
            </w:r>
            <w:r w:rsidR="00B7407C" w:rsidRPr="005C2CEC">
              <w:rPr>
                <w:rFonts w:eastAsia="Times New Roman" w:cs="Times New Roman"/>
                <w:bCs/>
                <w:i/>
                <w:color w:val="000000"/>
                <w:sz w:val="18"/>
                <w:szCs w:val="20"/>
                <w:lang w:eastAsia="sk-SK"/>
              </w:rPr>
              <w:fldChar w:fldCharType="begin"/>
            </w:r>
            <w:r w:rsidR="00B7407C" w:rsidRPr="005C2CEC">
              <w:rPr>
                <w:rFonts w:eastAsia="Times New Roman" w:cs="Times New Roman"/>
                <w:bCs/>
                <w:i/>
                <w:color w:val="000000"/>
                <w:sz w:val="18"/>
                <w:szCs w:val="20"/>
                <w:lang w:eastAsia="sk-SK"/>
              </w:rPr>
              <w:instrText xml:space="preserve"> REF _Ref54876107 \r \h  \* MERGEFORMAT </w:instrText>
            </w:r>
            <w:r w:rsidR="00B7407C" w:rsidRPr="005C2CEC">
              <w:rPr>
                <w:rFonts w:eastAsia="Times New Roman" w:cs="Times New Roman"/>
                <w:bCs/>
                <w:i/>
                <w:color w:val="000000"/>
                <w:sz w:val="18"/>
                <w:szCs w:val="20"/>
                <w:lang w:eastAsia="sk-SK"/>
              </w:rPr>
            </w:r>
            <w:r w:rsidR="00B7407C" w:rsidRPr="005C2CEC">
              <w:rPr>
                <w:rFonts w:eastAsia="Times New Roman" w:cs="Times New Roman"/>
                <w:bCs/>
                <w:i/>
                <w:color w:val="000000"/>
                <w:sz w:val="18"/>
                <w:szCs w:val="20"/>
                <w:lang w:eastAsia="sk-SK"/>
              </w:rPr>
              <w:fldChar w:fldCharType="separate"/>
            </w:r>
            <w:r w:rsidR="000D2AF7">
              <w:rPr>
                <w:rFonts w:eastAsia="Times New Roman" w:cs="Times New Roman"/>
                <w:bCs/>
                <w:i/>
                <w:color w:val="000000"/>
                <w:sz w:val="18"/>
                <w:szCs w:val="20"/>
                <w:lang w:eastAsia="sk-SK"/>
              </w:rPr>
              <w:t>3.2.1</w:t>
            </w:r>
            <w:r w:rsidR="00B7407C" w:rsidRPr="005C2CEC">
              <w:rPr>
                <w:rFonts w:eastAsia="Times New Roman" w:cs="Times New Roman"/>
                <w:bCs/>
                <w:i/>
                <w:color w:val="000000"/>
                <w:sz w:val="18"/>
                <w:szCs w:val="20"/>
                <w:lang w:eastAsia="sk-SK"/>
              </w:rPr>
              <w:fldChar w:fldCharType="end"/>
            </w:r>
            <w:r w:rsidRPr="005C2CEC">
              <w:rPr>
                <w:rFonts w:eastAsia="Times New Roman" w:cs="Times New Roman"/>
                <w:bCs/>
                <w:i/>
                <w:color w:val="000000"/>
                <w:sz w:val="18"/>
                <w:szCs w:val="20"/>
                <w:lang w:eastAsia="sk-SK"/>
              </w:rPr>
              <w:t>)</w:t>
            </w:r>
          </w:p>
        </w:tc>
        <w:tc>
          <w:tcPr>
            <w:tcW w:w="1285" w:type="pct"/>
            <w:gridSpan w:val="2"/>
            <w:tcBorders>
              <w:top w:val="dashed" w:sz="4" w:space="0" w:color="BFBFBF" w:themeColor="background1" w:themeShade="BF"/>
              <w:left w:val="nil"/>
              <w:bottom w:val="dashed" w:sz="4" w:space="0" w:color="BFBFBF" w:themeColor="background1" w:themeShade="BF"/>
              <w:right w:val="nil"/>
            </w:tcBorders>
            <w:shd w:val="clear" w:color="auto" w:fill="auto"/>
            <w:noWrap/>
            <w:vAlign w:val="center"/>
          </w:tcPr>
          <w:p w14:paraId="0B0ACD67" w14:textId="5B14B748" w:rsidR="00251154" w:rsidRPr="005C2CEC" w:rsidRDefault="00251154" w:rsidP="00676C48">
            <w:pPr>
              <w:keepLines/>
              <w:spacing w:afterLines="60" w:after="144" w:line="240" w:lineRule="auto"/>
              <w:jc w:val="center"/>
              <w:rPr>
                <w:rFonts w:eastAsia="Times New Roman" w:cs="Times New Roman"/>
                <w:bCs/>
                <w:color w:val="000000"/>
                <w:sz w:val="18"/>
                <w:szCs w:val="20"/>
                <w:lang w:eastAsia="sk-SK"/>
              </w:rPr>
            </w:pPr>
            <w:r w:rsidRPr="005C2CEC">
              <w:rPr>
                <w:rFonts w:eastAsia="Times New Roman" w:cs="Times New Roman"/>
                <w:bCs/>
                <w:color w:val="000000"/>
                <w:sz w:val="18"/>
                <w:szCs w:val="20"/>
                <w:lang w:eastAsia="sk-SK"/>
              </w:rPr>
              <w:t>Ministerstv</w:t>
            </w:r>
            <w:r w:rsidR="00676C48" w:rsidRPr="005C2CEC">
              <w:rPr>
                <w:rFonts w:eastAsia="Times New Roman" w:cs="Times New Roman"/>
                <w:bCs/>
                <w:color w:val="000000"/>
                <w:sz w:val="18"/>
                <w:szCs w:val="20"/>
                <w:lang w:eastAsia="sk-SK"/>
              </w:rPr>
              <w:t>á</w:t>
            </w:r>
            <w:r w:rsidRPr="005C2CEC">
              <w:rPr>
                <w:rFonts w:eastAsia="Times New Roman" w:cs="Times New Roman"/>
                <w:bCs/>
                <w:color w:val="000000"/>
                <w:sz w:val="18"/>
                <w:szCs w:val="20"/>
                <w:lang w:eastAsia="sk-SK"/>
              </w:rPr>
              <w:t xml:space="preserve"> </w:t>
            </w:r>
            <w:r w:rsidR="00F8065E" w:rsidRPr="005C2CEC">
              <w:rPr>
                <w:rFonts w:eastAsia="Times New Roman" w:cs="Times New Roman"/>
                <w:bCs/>
                <w:color w:val="000000"/>
                <w:sz w:val="18"/>
                <w:szCs w:val="20"/>
                <w:lang w:eastAsia="sk-SK"/>
              </w:rPr>
              <w:t>v </w:t>
            </w:r>
            <w:r w:rsidR="00676C48" w:rsidRPr="005C2CEC">
              <w:rPr>
                <w:rFonts w:eastAsia="Times New Roman" w:cs="Times New Roman"/>
                <w:bCs/>
                <w:color w:val="000000"/>
                <w:sz w:val="18"/>
                <w:szCs w:val="20"/>
                <w:lang w:eastAsia="sk-SK"/>
              </w:rPr>
              <w:t>sektorových</w:t>
            </w:r>
            <w:r w:rsidR="00B7407C" w:rsidRPr="005C2CEC">
              <w:rPr>
                <w:rFonts w:eastAsia="Times New Roman" w:cs="Times New Roman"/>
                <w:bCs/>
                <w:color w:val="000000"/>
                <w:sz w:val="18"/>
                <w:szCs w:val="20"/>
                <w:lang w:eastAsia="sk-SK"/>
              </w:rPr>
              <w:t xml:space="preserve"> </w:t>
            </w:r>
            <w:r w:rsidR="00676C48" w:rsidRPr="005C2CEC">
              <w:rPr>
                <w:rFonts w:eastAsia="Times New Roman" w:cs="Times New Roman"/>
                <w:bCs/>
                <w:color w:val="000000"/>
                <w:sz w:val="18"/>
                <w:szCs w:val="20"/>
                <w:lang w:eastAsia="sk-SK"/>
              </w:rPr>
              <w:t>investičných stratégiách</w:t>
            </w:r>
            <w:r w:rsidR="00B7407C" w:rsidRPr="005C2CEC">
              <w:rPr>
                <w:rFonts w:eastAsia="Times New Roman" w:cs="Times New Roman"/>
                <w:bCs/>
                <w:color w:val="000000"/>
                <w:sz w:val="18"/>
                <w:szCs w:val="20"/>
                <w:lang w:eastAsia="sk-SK"/>
              </w:rPr>
              <w:t xml:space="preserve"> </w:t>
            </w:r>
            <w:r w:rsidR="00676C48" w:rsidRPr="005C2CEC">
              <w:rPr>
                <w:rFonts w:eastAsia="Times New Roman" w:cs="Times New Roman"/>
                <w:bCs/>
                <w:color w:val="000000"/>
                <w:sz w:val="18"/>
                <w:szCs w:val="20"/>
                <w:lang w:eastAsia="sk-SK"/>
              </w:rPr>
              <w:t>pomenujú</w:t>
            </w:r>
            <w:r w:rsidR="009E7CA3" w:rsidRPr="005C2CEC">
              <w:rPr>
                <w:rFonts w:eastAsia="Times New Roman" w:cs="Times New Roman"/>
                <w:bCs/>
                <w:color w:val="000000"/>
                <w:sz w:val="18"/>
                <w:szCs w:val="20"/>
                <w:lang w:eastAsia="sk-SK"/>
              </w:rPr>
              <w:t xml:space="preserve"> </w:t>
            </w:r>
            <w:r w:rsidRPr="005C2CEC">
              <w:rPr>
                <w:rFonts w:eastAsia="Times New Roman" w:cs="Times New Roman"/>
                <w:bCs/>
                <w:color w:val="000000"/>
                <w:sz w:val="18"/>
                <w:szCs w:val="20"/>
                <w:lang w:eastAsia="sk-SK"/>
              </w:rPr>
              <w:t xml:space="preserve">konkrétne </w:t>
            </w:r>
            <w:r w:rsidR="009E7CA3" w:rsidRPr="005C2CEC">
              <w:rPr>
                <w:rFonts w:eastAsia="Times New Roman" w:cs="Times New Roman"/>
                <w:bCs/>
                <w:color w:val="000000"/>
                <w:sz w:val="18"/>
                <w:szCs w:val="20"/>
                <w:lang w:eastAsia="sk-SK"/>
              </w:rPr>
              <w:t xml:space="preserve">investičné </w:t>
            </w:r>
            <w:r w:rsidRPr="005C2CEC">
              <w:rPr>
                <w:rFonts w:eastAsia="Times New Roman" w:cs="Times New Roman"/>
                <w:bCs/>
                <w:color w:val="000000"/>
                <w:sz w:val="18"/>
                <w:szCs w:val="20"/>
                <w:lang w:eastAsia="sk-SK"/>
              </w:rPr>
              <w:t xml:space="preserve">ciele </w:t>
            </w:r>
            <w:r w:rsidR="00F52661">
              <w:rPr>
                <w:rFonts w:eastAsia="Times New Roman" w:cs="Times New Roman"/>
                <w:bCs/>
                <w:color w:val="000000"/>
                <w:sz w:val="18"/>
                <w:szCs w:val="20"/>
                <w:lang w:eastAsia="sk-SK"/>
              </w:rPr>
              <w:t>a</w:t>
            </w:r>
            <w:r w:rsidR="00676C48" w:rsidRPr="005C2CEC">
              <w:rPr>
                <w:rFonts w:eastAsia="Times New Roman" w:cs="Times New Roman"/>
                <w:color w:val="000000"/>
                <w:sz w:val="18"/>
                <w:szCs w:val="20"/>
                <w:lang w:eastAsia="sk-SK"/>
              </w:rPr>
              <w:t xml:space="preserve"> pripravia</w:t>
            </w:r>
            <w:r w:rsidR="000F118D" w:rsidRPr="005C2CEC">
              <w:rPr>
                <w:rFonts w:eastAsia="Times New Roman" w:cs="Times New Roman"/>
                <w:color w:val="000000"/>
                <w:sz w:val="18"/>
                <w:szCs w:val="20"/>
                <w:lang w:eastAsia="sk-SK"/>
              </w:rPr>
              <w:t xml:space="preserve"> </w:t>
            </w:r>
            <w:r w:rsidR="00676C48" w:rsidRPr="005C2CEC">
              <w:rPr>
                <w:rFonts w:eastAsia="Times New Roman" w:cs="Times New Roman"/>
                <w:color w:val="000000"/>
                <w:sz w:val="18"/>
                <w:szCs w:val="20"/>
                <w:lang w:eastAsia="sk-SK"/>
              </w:rPr>
              <w:t>úplné</w:t>
            </w:r>
            <w:r w:rsidR="004163B3" w:rsidRPr="005C2CEC">
              <w:rPr>
                <w:rFonts w:eastAsia="Times New Roman" w:cs="Times New Roman"/>
                <w:color w:val="000000"/>
                <w:sz w:val="18"/>
                <w:szCs w:val="20"/>
                <w:lang w:eastAsia="sk-SK"/>
              </w:rPr>
              <w:t xml:space="preserve"> zásobník</w:t>
            </w:r>
            <w:r w:rsidR="00676C48" w:rsidRPr="005C2CEC">
              <w:rPr>
                <w:rFonts w:eastAsia="Times New Roman" w:cs="Times New Roman"/>
                <w:color w:val="000000"/>
                <w:sz w:val="18"/>
                <w:szCs w:val="20"/>
                <w:lang w:eastAsia="sk-SK"/>
              </w:rPr>
              <w:t>y</w:t>
            </w:r>
            <w:r w:rsidR="004163B3" w:rsidRPr="005C2CEC">
              <w:rPr>
                <w:rFonts w:eastAsia="Times New Roman" w:cs="Times New Roman"/>
                <w:color w:val="000000"/>
                <w:sz w:val="18"/>
                <w:szCs w:val="20"/>
                <w:lang w:eastAsia="sk-SK"/>
              </w:rPr>
              <w:t xml:space="preserve"> známych </w:t>
            </w:r>
            <w:r w:rsidR="000F118D" w:rsidRPr="005C2CEC">
              <w:rPr>
                <w:rFonts w:eastAsia="Times New Roman" w:cs="Times New Roman"/>
                <w:color w:val="000000"/>
                <w:sz w:val="18"/>
                <w:szCs w:val="20"/>
                <w:lang w:eastAsia="sk-SK"/>
              </w:rPr>
              <w:t xml:space="preserve">investičných </w:t>
            </w:r>
            <w:r w:rsidR="004163B3" w:rsidRPr="005C2CEC">
              <w:rPr>
                <w:rFonts w:eastAsia="Times New Roman" w:cs="Times New Roman"/>
                <w:color w:val="000000"/>
                <w:sz w:val="18"/>
                <w:szCs w:val="20"/>
                <w:lang w:eastAsia="sk-SK"/>
              </w:rPr>
              <w:t xml:space="preserve">zámerov </w:t>
            </w:r>
            <w:r w:rsidR="000F118D" w:rsidRPr="005C2CEC">
              <w:rPr>
                <w:rFonts w:eastAsia="Times New Roman" w:cs="Times New Roman"/>
                <w:color w:val="000000"/>
                <w:sz w:val="18"/>
                <w:szCs w:val="20"/>
                <w:lang w:eastAsia="sk-SK"/>
              </w:rPr>
              <w:t>s hodnotou nad 1 mil. eur plánovaných v dlhodobom horizonte</w:t>
            </w:r>
          </w:p>
        </w:tc>
        <w:tc>
          <w:tcPr>
            <w:tcW w:w="1201" w:type="pct"/>
            <w:gridSpan w:val="2"/>
            <w:tcBorders>
              <w:top w:val="dashed" w:sz="4" w:space="0" w:color="BFBFBF" w:themeColor="background1" w:themeShade="BF"/>
              <w:left w:val="nil"/>
              <w:bottom w:val="dashed" w:sz="4" w:space="0" w:color="BFBFBF" w:themeColor="background1" w:themeShade="BF"/>
              <w:right w:val="nil"/>
            </w:tcBorders>
            <w:shd w:val="clear" w:color="auto" w:fill="auto"/>
            <w:noWrap/>
            <w:vAlign w:val="center"/>
          </w:tcPr>
          <w:p w14:paraId="38769C1F" w14:textId="27FCC8D8" w:rsidR="00251154" w:rsidRPr="005C2CEC" w:rsidRDefault="00251154" w:rsidP="00721C02">
            <w:pPr>
              <w:keepLines/>
              <w:spacing w:afterLines="60" w:after="144" w:line="240" w:lineRule="auto"/>
              <w:jc w:val="center"/>
              <w:rPr>
                <w:rFonts w:eastAsia="Times New Roman" w:cs="Times New Roman"/>
                <w:bCs/>
                <w:color w:val="000000"/>
                <w:sz w:val="18"/>
                <w:szCs w:val="20"/>
                <w:lang w:eastAsia="sk-SK"/>
              </w:rPr>
            </w:pPr>
            <w:r w:rsidRPr="005C2CEC">
              <w:rPr>
                <w:rFonts w:eastAsia="Times New Roman" w:cs="Times New Roman"/>
                <w:bCs/>
                <w:color w:val="000000"/>
                <w:sz w:val="18"/>
                <w:szCs w:val="20"/>
                <w:lang w:eastAsia="sk-SK"/>
              </w:rPr>
              <w:t>-</w:t>
            </w:r>
          </w:p>
        </w:tc>
        <w:tc>
          <w:tcPr>
            <w:tcW w:w="676" w:type="pct"/>
            <w:gridSpan w:val="2"/>
            <w:tcBorders>
              <w:top w:val="dashed" w:sz="4" w:space="0" w:color="BFBFBF" w:themeColor="background1" w:themeShade="BF"/>
              <w:left w:val="nil"/>
              <w:bottom w:val="dashed" w:sz="4" w:space="0" w:color="BFBFBF" w:themeColor="background1" w:themeShade="BF"/>
              <w:right w:val="nil"/>
            </w:tcBorders>
            <w:shd w:val="clear" w:color="auto" w:fill="auto"/>
            <w:noWrap/>
            <w:vAlign w:val="center"/>
          </w:tcPr>
          <w:p w14:paraId="40B0344D" w14:textId="71C8503C" w:rsidR="00F8065E" w:rsidRPr="005C2CEC" w:rsidRDefault="00480DA4" w:rsidP="004163B3">
            <w:pPr>
              <w:keepLines/>
              <w:spacing w:afterLines="60" w:after="144" w:line="240" w:lineRule="auto"/>
              <w:jc w:val="center"/>
              <w:rPr>
                <w:rFonts w:eastAsia="Times New Roman" w:cs="Times New Roman"/>
                <w:bCs/>
                <w:color w:val="000000"/>
                <w:sz w:val="18"/>
                <w:szCs w:val="20"/>
                <w:lang w:eastAsia="sk-SK"/>
              </w:rPr>
            </w:pPr>
            <w:r w:rsidRPr="005C2CEC">
              <w:rPr>
                <w:rFonts w:eastAsia="Times New Roman" w:cs="Times New Roman"/>
                <w:color w:val="000000"/>
                <w:sz w:val="18"/>
                <w:szCs w:val="20"/>
                <w:lang w:eastAsia="sk-SK"/>
              </w:rPr>
              <w:t>Priprav</w:t>
            </w:r>
            <w:r w:rsidR="00676C48" w:rsidRPr="005C2CEC">
              <w:rPr>
                <w:rFonts w:eastAsia="Times New Roman" w:cs="Times New Roman"/>
                <w:color w:val="000000"/>
                <w:sz w:val="18"/>
                <w:szCs w:val="20"/>
                <w:lang w:eastAsia="sk-SK"/>
              </w:rPr>
              <w:t>ia</w:t>
            </w:r>
            <w:r w:rsidRPr="005C2CEC">
              <w:rPr>
                <w:rFonts w:eastAsia="Times New Roman" w:cs="Times New Roman"/>
                <w:color w:val="000000"/>
                <w:sz w:val="18"/>
                <w:szCs w:val="20"/>
                <w:lang w:eastAsia="sk-SK"/>
              </w:rPr>
              <w:t xml:space="preserve"> </w:t>
            </w:r>
            <w:r w:rsidR="00251154" w:rsidRPr="005C2CEC">
              <w:rPr>
                <w:rFonts w:eastAsia="Times New Roman" w:cs="Times New Roman"/>
                <w:bCs/>
                <w:color w:val="000000"/>
                <w:sz w:val="18"/>
                <w:szCs w:val="20"/>
                <w:lang w:eastAsia="sk-SK"/>
              </w:rPr>
              <w:t>ministerstv</w:t>
            </w:r>
            <w:r w:rsidR="00676C48" w:rsidRPr="005C2CEC">
              <w:rPr>
                <w:rFonts w:eastAsia="Times New Roman" w:cs="Times New Roman"/>
                <w:bCs/>
                <w:color w:val="000000"/>
                <w:sz w:val="18"/>
                <w:szCs w:val="20"/>
                <w:lang w:eastAsia="sk-SK"/>
              </w:rPr>
              <w:t>á</w:t>
            </w:r>
          </w:p>
          <w:p w14:paraId="3950117A" w14:textId="3B0538B3" w:rsidR="00FD68F0" w:rsidRPr="005C2CEC" w:rsidRDefault="00676C48" w:rsidP="004163B3">
            <w:pPr>
              <w:keepLines/>
              <w:spacing w:afterLines="60" w:after="144" w:line="240" w:lineRule="auto"/>
              <w:jc w:val="center"/>
              <w:rPr>
                <w:rFonts w:eastAsia="Times New Roman" w:cs="Times New Roman"/>
                <w:bCs/>
                <w:color w:val="000000"/>
                <w:sz w:val="18"/>
                <w:szCs w:val="20"/>
                <w:lang w:eastAsia="sk-SK"/>
              </w:rPr>
            </w:pPr>
            <w:r w:rsidRPr="005C2CEC">
              <w:rPr>
                <w:rFonts w:eastAsia="Times New Roman" w:cs="Times New Roman"/>
                <w:bCs/>
                <w:color w:val="000000"/>
                <w:sz w:val="18"/>
                <w:szCs w:val="20"/>
                <w:lang w:eastAsia="sk-SK"/>
              </w:rPr>
              <w:t>Schvaľujú ministri</w:t>
            </w:r>
          </w:p>
        </w:tc>
        <w:tc>
          <w:tcPr>
            <w:tcW w:w="862" w:type="pct"/>
            <w:gridSpan w:val="2"/>
            <w:tcBorders>
              <w:top w:val="dashed" w:sz="4" w:space="0" w:color="BFBFBF" w:themeColor="background1" w:themeShade="BF"/>
              <w:left w:val="nil"/>
              <w:bottom w:val="dashed" w:sz="4" w:space="0" w:color="BFBFBF" w:themeColor="background1" w:themeShade="BF"/>
              <w:right w:val="nil"/>
            </w:tcBorders>
            <w:shd w:val="clear" w:color="auto" w:fill="auto"/>
            <w:noWrap/>
            <w:vAlign w:val="center"/>
          </w:tcPr>
          <w:p w14:paraId="1DD7D44A" w14:textId="2067E591" w:rsidR="00251154" w:rsidRPr="005C2CEC" w:rsidRDefault="00FC5E75" w:rsidP="000F118D">
            <w:pPr>
              <w:keepLines/>
              <w:spacing w:afterLines="60" w:after="144" w:line="240" w:lineRule="auto"/>
              <w:jc w:val="center"/>
              <w:rPr>
                <w:rFonts w:eastAsia="Times New Roman" w:cs="Times New Roman"/>
                <w:bCs/>
                <w:color w:val="000000"/>
                <w:sz w:val="18"/>
                <w:szCs w:val="20"/>
                <w:lang w:eastAsia="sk-SK"/>
              </w:rPr>
            </w:pPr>
            <w:r w:rsidRPr="005C2CEC">
              <w:rPr>
                <w:rFonts w:eastAsia="Times New Roman" w:cs="Times New Roman"/>
                <w:bCs/>
                <w:color w:val="000000"/>
                <w:sz w:val="18"/>
                <w:szCs w:val="20"/>
                <w:lang w:eastAsia="sk-SK"/>
              </w:rPr>
              <w:t>Sektorové</w:t>
            </w:r>
            <w:r w:rsidR="00676C48" w:rsidRPr="005C2CEC">
              <w:rPr>
                <w:rFonts w:eastAsia="Times New Roman" w:cs="Times New Roman"/>
                <w:bCs/>
                <w:color w:val="000000"/>
                <w:sz w:val="18"/>
                <w:szCs w:val="20"/>
                <w:lang w:eastAsia="sk-SK"/>
              </w:rPr>
              <w:t xml:space="preserve"> investičné stratégie</w:t>
            </w:r>
          </w:p>
          <w:p w14:paraId="4FBB4259" w14:textId="21C6D502" w:rsidR="000F118D" w:rsidRPr="005C2CEC" w:rsidRDefault="0080768A" w:rsidP="004163B3">
            <w:pPr>
              <w:keepLines/>
              <w:spacing w:afterLines="60" w:after="144" w:line="240" w:lineRule="auto"/>
              <w:jc w:val="center"/>
              <w:rPr>
                <w:rFonts w:eastAsia="Times New Roman" w:cs="Times New Roman"/>
                <w:bCs/>
                <w:color w:val="000000"/>
                <w:sz w:val="18"/>
                <w:szCs w:val="20"/>
                <w:lang w:eastAsia="sk-SK"/>
              </w:rPr>
            </w:pPr>
            <w:r w:rsidRPr="005C2CEC">
              <w:rPr>
                <w:rFonts w:eastAsia="Times New Roman" w:cs="Times New Roman"/>
                <w:bCs/>
                <w:color w:val="000000"/>
                <w:sz w:val="18"/>
                <w:szCs w:val="20"/>
                <w:lang w:eastAsia="sk-SK"/>
              </w:rPr>
              <w:t>Z</w:t>
            </w:r>
            <w:r w:rsidR="000F118D" w:rsidRPr="005C2CEC">
              <w:rPr>
                <w:rFonts w:eastAsia="Times New Roman" w:cs="Times New Roman"/>
                <w:bCs/>
                <w:color w:val="000000"/>
                <w:sz w:val="18"/>
                <w:szCs w:val="20"/>
                <w:lang w:eastAsia="sk-SK"/>
              </w:rPr>
              <w:t>ásobník</w:t>
            </w:r>
            <w:r w:rsidR="00676C48" w:rsidRPr="005C2CEC">
              <w:rPr>
                <w:rFonts w:eastAsia="Times New Roman" w:cs="Times New Roman"/>
                <w:bCs/>
                <w:color w:val="000000"/>
                <w:sz w:val="18"/>
                <w:szCs w:val="20"/>
                <w:lang w:eastAsia="sk-SK"/>
              </w:rPr>
              <w:t>y</w:t>
            </w:r>
            <w:r w:rsidR="000F118D" w:rsidRPr="005C2CEC">
              <w:rPr>
                <w:rFonts w:eastAsia="Times New Roman" w:cs="Times New Roman"/>
                <w:bCs/>
                <w:color w:val="000000"/>
                <w:sz w:val="18"/>
                <w:szCs w:val="20"/>
                <w:lang w:eastAsia="sk-SK"/>
              </w:rPr>
              <w:t xml:space="preserve"> investičných </w:t>
            </w:r>
            <w:r w:rsidR="004163B3" w:rsidRPr="005C2CEC">
              <w:rPr>
                <w:rFonts w:eastAsia="Times New Roman" w:cs="Times New Roman"/>
                <w:bCs/>
                <w:color w:val="000000"/>
                <w:sz w:val="18"/>
                <w:szCs w:val="20"/>
                <w:lang w:eastAsia="sk-SK"/>
              </w:rPr>
              <w:t>zámerov</w:t>
            </w:r>
          </w:p>
        </w:tc>
      </w:tr>
      <w:tr w:rsidR="00BB3956" w:rsidRPr="005C2CEC" w14:paraId="726986D4" w14:textId="77777777" w:rsidTr="00BF1DCA">
        <w:trPr>
          <w:trHeight w:val="89"/>
        </w:trPr>
        <w:tc>
          <w:tcPr>
            <w:tcW w:w="226" w:type="pct"/>
            <w:vMerge/>
            <w:tcBorders>
              <w:top w:val="single" w:sz="4" w:space="0" w:color="auto"/>
              <w:left w:val="nil"/>
              <w:bottom w:val="single" w:sz="4" w:space="0" w:color="000000"/>
              <w:right w:val="dashed" w:sz="4" w:space="0" w:color="BFBFBF" w:themeColor="background1" w:themeShade="BF"/>
            </w:tcBorders>
            <w:shd w:val="clear" w:color="auto" w:fill="auto"/>
            <w:noWrap/>
            <w:textDirection w:val="btLr"/>
            <w:vAlign w:val="center"/>
          </w:tcPr>
          <w:p w14:paraId="279D952B" w14:textId="77777777" w:rsidR="00BB3956" w:rsidRPr="005C2CEC" w:rsidRDefault="00BB3956" w:rsidP="00721C02">
            <w:pPr>
              <w:keepLines/>
              <w:spacing w:afterLines="60" w:after="144" w:line="240" w:lineRule="auto"/>
              <w:ind w:left="113" w:right="113"/>
              <w:jc w:val="left"/>
              <w:rPr>
                <w:rFonts w:eastAsia="Times New Roman" w:cs="Times New Roman"/>
                <w:bCs/>
                <w:color w:val="000000"/>
                <w:sz w:val="18"/>
                <w:szCs w:val="20"/>
                <w:lang w:eastAsia="sk-SK"/>
              </w:rPr>
            </w:pPr>
          </w:p>
        </w:tc>
        <w:tc>
          <w:tcPr>
            <w:tcW w:w="750" w:type="pct"/>
            <w:gridSpan w:val="4"/>
            <w:tcBorders>
              <w:top w:val="dashed" w:sz="4" w:space="0" w:color="BFBFBF" w:themeColor="background1" w:themeShade="BF"/>
              <w:left w:val="dashed" w:sz="4" w:space="0" w:color="BFBFBF" w:themeColor="background1" w:themeShade="BF"/>
              <w:bottom w:val="dashed" w:sz="4" w:space="0" w:color="BFBFBF" w:themeColor="background1" w:themeShade="BF"/>
              <w:right w:val="single" w:sz="4" w:space="0" w:color="000000"/>
            </w:tcBorders>
            <w:shd w:val="clear" w:color="auto" w:fill="auto"/>
            <w:vAlign w:val="center"/>
          </w:tcPr>
          <w:p w14:paraId="55665DCA" w14:textId="05067DAB" w:rsidR="00BB3956" w:rsidRPr="005C2CEC" w:rsidRDefault="00B7407C" w:rsidP="00FC6390">
            <w:pPr>
              <w:keepLines/>
              <w:spacing w:afterLines="30" w:after="72" w:line="240" w:lineRule="auto"/>
              <w:jc w:val="left"/>
              <w:rPr>
                <w:rFonts w:eastAsia="Times New Roman" w:cs="Times New Roman"/>
                <w:bCs/>
                <w:color w:val="000000"/>
                <w:sz w:val="18"/>
                <w:szCs w:val="20"/>
                <w:lang w:eastAsia="sk-SK"/>
              </w:rPr>
            </w:pPr>
            <w:r w:rsidRPr="005C2CEC">
              <w:rPr>
                <w:rFonts w:eastAsia="Times New Roman" w:cs="Times New Roman"/>
                <w:bCs/>
                <w:color w:val="000000"/>
                <w:sz w:val="18"/>
                <w:szCs w:val="20"/>
                <w:lang w:eastAsia="sk-SK"/>
              </w:rPr>
              <w:t>Metodika pre určovanie investičných priorít</w:t>
            </w:r>
          </w:p>
          <w:p w14:paraId="63705BF9" w14:textId="1080CBEF" w:rsidR="00BB3956" w:rsidRPr="005C2CEC" w:rsidDel="009E7CA3" w:rsidRDefault="00BB3956" w:rsidP="0080768A">
            <w:pPr>
              <w:keepLines/>
              <w:spacing w:afterLines="30" w:after="72" w:line="240" w:lineRule="auto"/>
              <w:jc w:val="left"/>
              <w:rPr>
                <w:rFonts w:eastAsia="Times New Roman" w:cs="Times New Roman"/>
                <w:bCs/>
                <w:i/>
                <w:color w:val="000000"/>
                <w:sz w:val="18"/>
                <w:szCs w:val="20"/>
                <w:lang w:eastAsia="sk-SK"/>
              </w:rPr>
            </w:pPr>
            <w:r w:rsidRPr="005C2CEC">
              <w:rPr>
                <w:rFonts w:eastAsia="Times New Roman" w:cs="Times New Roman"/>
                <w:bCs/>
                <w:i/>
                <w:color w:val="000000"/>
                <w:sz w:val="18"/>
                <w:szCs w:val="20"/>
                <w:lang w:eastAsia="sk-SK"/>
              </w:rPr>
              <w:t>(kapitola</w:t>
            </w:r>
            <w:r w:rsidR="0080768A" w:rsidRPr="005C2CEC">
              <w:rPr>
                <w:rFonts w:eastAsia="Times New Roman" w:cs="Times New Roman"/>
                <w:bCs/>
                <w:i/>
                <w:color w:val="000000"/>
                <w:sz w:val="18"/>
                <w:szCs w:val="20"/>
                <w:lang w:eastAsia="sk-SK"/>
              </w:rPr>
              <w:t xml:space="preserve"> </w:t>
            </w:r>
            <w:r w:rsidR="0080768A" w:rsidRPr="005C2CEC">
              <w:rPr>
                <w:rFonts w:eastAsia="Times New Roman" w:cs="Times New Roman"/>
                <w:bCs/>
                <w:i/>
                <w:color w:val="000000"/>
                <w:sz w:val="18"/>
                <w:szCs w:val="20"/>
                <w:lang w:eastAsia="sk-SK"/>
              </w:rPr>
              <w:fldChar w:fldCharType="begin"/>
            </w:r>
            <w:r w:rsidR="0080768A" w:rsidRPr="005C2CEC">
              <w:rPr>
                <w:rFonts w:eastAsia="Times New Roman" w:cs="Times New Roman"/>
                <w:bCs/>
                <w:i/>
                <w:color w:val="000000"/>
                <w:sz w:val="18"/>
                <w:szCs w:val="20"/>
                <w:lang w:eastAsia="sk-SK"/>
              </w:rPr>
              <w:instrText xml:space="preserve"> REF _Ref44921103 \r \h </w:instrText>
            </w:r>
            <w:r w:rsidR="005C2CEC">
              <w:rPr>
                <w:rFonts w:eastAsia="Times New Roman" w:cs="Times New Roman"/>
                <w:bCs/>
                <w:i/>
                <w:color w:val="000000"/>
                <w:sz w:val="18"/>
                <w:szCs w:val="20"/>
                <w:lang w:eastAsia="sk-SK"/>
              </w:rPr>
              <w:instrText xml:space="preserve"> \* MERGEFORMAT </w:instrText>
            </w:r>
            <w:r w:rsidR="0080768A" w:rsidRPr="005C2CEC">
              <w:rPr>
                <w:rFonts w:eastAsia="Times New Roman" w:cs="Times New Roman"/>
                <w:bCs/>
                <w:i/>
                <w:color w:val="000000"/>
                <w:sz w:val="18"/>
                <w:szCs w:val="20"/>
                <w:lang w:eastAsia="sk-SK"/>
              </w:rPr>
            </w:r>
            <w:r w:rsidR="0080768A" w:rsidRPr="005C2CEC">
              <w:rPr>
                <w:rFonts w:eastAsia="Times New Roman" w:cs="Times New Roman"/>
                <w:bCs/>
                <w:i/>
                <w:color w:val="000000"/>
                <w:sz w:val="18"/>
                <w:szCs w:val="20"/>
                <w:lang w:eastAsia="sk-SK"/>
              </w:rPr>
              <w:fldChar w:fldCharType="separate"/>
            </w:r>
            <w:r w:rsidR="000D2AF7">
              <w:rPr>
                <w:rFonts w:eastAsia="Times New Roman" w:cs="Times New Roman"/>
                <w:bCs/>
                <w:i/>
                <w:color w:val="000000"/>
                <w:sz w:val="18"/>
                <w:szCs w:val="20"/>
                <w:lang w:eastAsia="sk-SK"/>
              </w:rPr>
              <w:t>3.2.2</w:t>
            </w:r>
            <w:r w:rsidR="0080768A" w:rsidRPr="005C2CEC">
              <w:rPr>
                <w:rFonts w:eastAsia="Times New Roman" w:cs="Times New Roman"/>
                <w:bCs/>
                <w:i/>
                <w:color w:val="000000"/>
                <w:sz w:val="18"/>
                <w:szCs w:val="20"/>
                <w:lang w:eastAsia="sk-SK"/>
              </w:rPr>
              <w:fldChar w:fldCharType="end"/>
            </w:r>
            <w:r w:rsidR="00B7407C" w:rsidRPr="005C2CEC">
              <w:rPr>
                <w:rFonts w:eastAsia="Times New Roman" w:cs="Times New Roman"/>
                <w:bCs/>
                <w:i/>
                <w:color w:val="000000"/>
                <w:sz w:val="18"/>
                <w:szCs w:val="20"/>
                <w:lang w:eastAsia="sk-SK"/>
              </w:rPr>
              <w:t>)</w:t>
            </w:r>
          </w:p>
        </w:tc>
        <w:tc>
          <w:tcPr>
            <w:tcW w:w="1285" w:type="pct"/>
            <w:gridSpan w:val="2"/>
            <w:tcBorders>
              <w:top w:val="dashed" w:sz="4" w:space="0" w:color="BFBFBF" w:themeColor="background1" w:themeShade="BF"/>
              <w:left w:val="nil"/>
              <w:bottom w:val="dashed" w:sz="4" w:space="0" w:color="BFBFBF" w:themeColor="background1" w:themeShade="BF"/>
              <w:right w:val="nil"/>
            </w:tcBorders>
            <w:shd w:val="clear" w:color="auto" w:fill="auto"/>
            <w:noWrap/>
            <w:vAlign w:val="center"/>
          </w:tcPr>
          <w:p w14:paraId="688558FD" w14:textId="06E6674E" w:rsidR="00BB3956" w:rsidRPr="005C2CEC" w:rsidRDefault="0080768A" w:rsidP="0080768A">
            <w:pPr>
              <w:keepLines/>
              <w:spacing w:afterLines="60" w:after="144" w:line="240" w:lineRule="auto"/>
              <w:jc w:val="center"/>
              <w:rPr>
                <w:rFonts w:eastAsia="Times New Roman" w:cs="Times New Roman"/>
                <w:bCs/>
                <w:color w:val="000000"/>
                <w:sz w:val="18"/>
                <w:szCs w:val="20"/>
                <w:lang w:eastAsia="sk-SK"/>
              </w:rPr>
            </w:pPr>
            <w:r w:rsidRPr="005C2CEC">
              <w:rPr>
                <w:rFonts w:eastAsia="Times New Roman" w:cs="Times New Roman"/>
                <w:bCs/>
                <w:color w:val="000000"/>
                <w:sz w:val="18"/>
                <w:szCs w:val="20"/>
                <w:lang w:eastAsia="sk-SK"/>
              </w:rPr>
              <w:t>Ministerstvo v spolupráci s MF SR vypracuje analyticky podloženú metodiku pre určovanie investičných priorít, v ktorej definuje jasné pravidlá pre zoraďovanie investičných projektov podľa priorít</w:t>
            </w:r>
          </w:p>
        </w:tc>
        <w:tc>
          <w:tcPr>
            <w:tcW w:w="1201" w:type="pct"/>
            <w:gridSpan w:val="2"/>
            <w:tcBorders>
              <w:top w:val="dashed" w:sz="4" w:space="0" w:color="BFBFBF" w:themeColor="background1" w:themeShade="BF"/>
              <w:left w:val="nil"/>
              <w:bottom w:val="dashed" w:sz="4" w:space="0" w:color="BFBFBF" w:themeColor="background1" w:themeShade="BF"/>
              <w:right w:val="nil"/>
            </w:tcBorders>
            <w:shd w:val="clear" w:color="auto" w:fill="auto"/>
            <w:noWrap/>
            <w:vAlign w:val="center"/>
          </w:tcPr>
          <w:p w14:paraId="5EB3D393" w14:textId="4667AFA2" w:rsidR="00BB3956" w:rsidRPr="005C2CEC" w:rsidRDefault="00C0588C" w:rsidP="000B0B3F">
            <w:pPr>
              <w:keepLines/>
              <w:spacing w:afterLines="60" w:after="144" w:line="240" w:lineRule="auto"/>
              <w:jc w:val="center"/>
              <w:rPr>
                <w:rFonts w:eastAsia="Times New Roman" w:cs="Times New Roman"/>
                <w:bCs/>
                <w:color w:val="000000"/>
                <w:sz w:val="18"/>
                <w:szCs w:val="20"/>
                <w:lang w:eastAsia="sk-SK"/>
              </w:rPr>
            </w:pPr>
            <w:r>
              <w:rPr>
                <w:rFonts w:eastAsia="Times New Roman" w:cs="Times New Roman"/>
                <w:bCs/>
                <w:color w:val="000000"/>
                <w:sz w:val="18"/>
                <w:szCs w:val="20"/>
                <w:lang w:eastAsia="sk-SK"/>
              </w:rPr>
              <w:t>do 28.2.</w:t>
            </w:r>
          </w:p>
        </w:tc>
        <w:tc>
          <w:tcPr>
            <w:tcW w:w="676" w:type="pct"/>
            <w:gridSpan w:val="2"/>
            <w:tcBorders>
              <w:top w:val="dashed" w:sz="4" w:space="0" w:color="BFBFBF" w:themeColor="background1" w:themeShade="BF"/>
              <w:left w:val="nil"/>
              <w:bottom w:val="dashed" w:sz="4" w:space="0" w:color="BFBFBF" w:themeColor="background1" w:themeShade="BF"/>
              <w:right w:val="nil"/>
            </w:tcBorders>
            <w:shd w:val="clear" w:color="auto" w:fill="auto"/>
            <w:noWrap/>
            <w:vAlign w:val="center"/>
          </w:tcPr>
          <w:p w14:paraId="72B0340A" w14:textId="5B515A92" w:rsidR="0080768A" w:rsidRPr="005C2CEC" w:rsidRDefault="00480DA4" w:rsidP="0080768A">
            <w:pPr>
              <w:keepLines/>
              <w:spacing w:afterLines="60" w:after="144" w:line="240" w:lineRule="auto"/>
              <w:jc w:val="center"/>
              <w:rPr>
                <w:rFonts w:eastAsia="Times New Roman" w:cs="Times New Roman"/>
                <w:bCs/>
                <w:color w:val="000000"/>
                <w:sz w:val="18"/>
                <w:szCs w:val="20"/>
                <w:lang w:eastAsia="sk-SK"/>
              </w:rPr>
            </w:pPr>
            <w:r w:rsidRPr="005C2CEC">
              <w:rPr>
                <w:rFonts w:eastAsia="Times New Roman" w:cs="Times New Roman"/>
                <w:color w:val="000000"/>
                <w:sz w:val="18"/>
                <w:szCs w:val="20"/>
                <w:lang w:eastAsia="sk-SK"/>
              </w:rPr>
              <w:t xml:space="preserve">Pripraví </w:t>
            </w:r>
            <w:r w:rsidR="0080768A" w:rsidRPr="005C2CEC">
              <w:rPr>
                <w:rFonts w:eastAsia="Times New Roman" w:cs="Times New Roman"/>
                <w:bCs/>
                <w:color w:val="000000"/>
                <w:sz w:val="18"/>
                <w:szCs w:val="20"/>
                <w:lang w:eastAsia="sk-SK"/>
              </w:rPr>
              <w:t>ministerstvo v spolupráci s MF SR</w:t>
            </w:r>
          </w:p>
          <w:p w14:paraId="33C89D4C" w14:textId="61B67132" w:rsidR="00BB3956" w:rsidRPr="005C2CEC" w:rsidRDefault="0080768A" w:rsidP="0080768A">
            <w:pPr>
              <w:keepLines/>
              <w:spacing w:afterLines="60" w:after="144" w:line="240" w:lineRule="auto"/>
              <w:jc w:val="center"/>
              <w:rPr>
                <w:rFonts w:eastAsia="Times New Roman" w:cs="Times New Roman"/>
                <w:bCs/>
                <w:color w:val="000000"/>
                <w:sz w:val="18"/>
                <w:szCs w:val="20"/>
                <w:lang w:eastAsia="sk-SK"/>
              </w:rPr>
            </w:pPr>
            <w:r w:rsidRPr="005C2CEC">
              <w:rPr>
                <w:rFonts w:eastAsia="Times New Roman" w:cs="Times New Roman"/>
                <w:bCs/>
                <w:color w:val="000000"/>
                <w:sz w:val="18"/>
                <w:szCs w:val="20"/>
                <w:lang w:eastAsia="sk-SK"/>
              </w:rPr>
              <w:t>Pripomienkuje MF SR</w:t>
            </w:r>
          </w:p>
        </w:tc>
        <w:tc>
          <w:tcPr>
            <w:tcW w:w="862" w:type="pct"/>
            <w:gridSpan w:val="2"/>
            <w:tcBorders>
              <w:top w:val="dashed" w:sz="4" w:space="0" w:color="BFBFBF" w:themeColor="background1" w:themeShade="BF"/>
              <w:left w:val="nil"/>
              <w:bottom w:val="dashed" w:sz="4" w:space="0" w:color="BFBFBF" w:themeColor="background1" w:themeShade="BF"/>
              <w:right w:val="nil"/>
            </w:tcBorders>
            <w:shd w:val="clear" w:color="auto" w:fill="auto"/>
            <w:noWrap/>
            <w:vAlign w:val="center"/>
          </w:tcPr>
          <w:p w14:paraId="32473FDB" w14:textId="2341C793" w:rsidR="00BB3956" w:rsidRPr="005C2CEC" w:rsidRDefault="0080768A" w:rsidP="008D0D64">
            <w:pPr>
              <w:keepLines/>
              <w:spacing w:afterLines="60" w:after="144" w:line="240" w:lineRule="auto"/>
              <w:jc w:val="center"/>
              <w:rPr>
                <w:rFonts w:eastAsia="Times New Roman" w:cs="Times New Roman"/>
                <w:bCs/>
                <w:color w:val="000000"/>
                <w:sz w:val="18"/>
                <w:szCs w:val="20"/>
                <w:lang w:eastAsia="sk-SK"/>
              </w:rPr>
            </w:pPr>
            <w:r w:rsidRPr="005C2CEC">
              <w:rPr>
                <w:rFonts w:eastAsia="Times New Roman" w:cs="Times New Roman"/>
                <w:bCs/>
                <w:color w:val="000000"/>
                <w:sz w:val="18"/>
                <w:szCs w:val="20"/>
                <w:lang w:eastAsia="sk-SK"/>
              </w:rPr>
              <w:t xml:space="preserve">Metodika </w:t>
            </w:r>
            <w:r w:rsidR="008D0D64">
              <w:rPr>
                <w:rFonts w:eastAsia="Times New Roman" w:cs="Times New Roman"/>
                <w:bCs/>
                <w:color w:val="000000"/>
                <w:sz w:val="18"/>
                <w:szCs w:val="20"/>
                <w:lang w:eastAsia="sk-SK"/>
              </w:rPr>
              <w:t>n</w:t>
            </w:r>
            <w:r w:rsidRPr="005C2CEC">
              <w:rPr>
                <w:rFonts w:eastAsia="Times New Roman" w:cs="Times New Roman"/>
                <w:bCs/>
                <w:color w:val="000000"/>
                <w:sz w:val="18"/>
                <w:szCs w:val="20"/>
                <w:lang w:eastAsia="sk-SK"/>
              </w:rPr>
              <w:t xml:space="preserve"> určovanie investičných priorít</w:t>
            </w:r>
            <w:r w:rsidR="00B460A5" w:rsidRPr="005C2CEC">
              <w:rPr>
                <w:rFonts w:eastAsia="Times New Roman" w:cs="Times New Roman"/>
                <w:bCs/>
                <w:color w:val="000000"/>
                <w:sz w:val="18"/>
                <w:szCs w:val="20"/>
                <w:lang w:eastAsia="sk-SK"/>
              </w:rPr>
              <w:t xml:space="preserve"> (priorizácia)</w:t>
            </w:r>
          </w:p>
        </w:tc>
      </w:tr>
      <w:tr w:rsidR="00721C02" w:rsidRPr="005C2CEC" w14:paraId="013EDD70" w14:textId="77777777" w:rsidTr="00BF1DCA">
        <w:trPr>
          <w:trHeight w:val="277"/>
        </w:trPr>
        <w:tc>
          <w:tcPr>
            <w:tcW w:w="226" w:type="pct"/>
            <w:vMerge/>
            <w:tcBorders>
              <w:left w:val="nil"/>
              <w:bottom w:val="single" w:sz="4" w:space="0" w:color="000000"/>
              <w:right w:val="dashed" w:sz="4" w:space="0" w:color="BFBFBF" w:themeColor="background1" w:themeShade="BF"/>
            </w:tcBorders>
            <w:shd w:val="clear" w:color="auto" w:fill="auto"/>
            <w:textDirection w:val="btLr"/>
            <w:vAlign w:val="center"/>
          </w:tcPr>
          <w:p w14:paraId="089D1F8F" w14:textId="77777777" w:rsidR="00F6651B" w:rsidRPr="005C2CEC" w:rsidRDefault="00F6651B" w:rsidP="00721C02">
            <w:pPr>
              <w:keepLines/>
              <w:spacing w:afterLines="60" w:after="144" w:line="240" w:lineRule="auto"/>
              <w:jc w:val="left"/>
              <w:rPr>
                <w:rFonts w:eastAsia="Times New Roman" w:cs="Times New Roman"/>
                <w:color w:val="000000"/>
                <w:sz w:val="18"/>
                <w:szCs w:val="20"/>
                <w:lang w:eastAsia="sk-SK"/>
              </w:rPr>
            </w:pPr>
          </w:p>
        </w:tc>
        <w:tc>
          <w:tcPr>
            <w:tcW w:w="750" w:type="pct"/>
            <w:gridSpan w:val="4"/>
            <w:tcBorders>
              <w:top w:val="dashed" w:sz="4" w:space="0" w:color="D0CECE" w:themeColor="background2" w:themeShade="E6"/>
              <w:left w:val="dashed" w:sz="4" w:space="0" w:color="BFBFBF" w:themeColor="background1" w:themeShade="BF"/>
              <w:bottom w:val="dashed" w:sz="4" w:space="0" w:color="D0CECE" w:themeColor="background2" w:themeShade="E6"/>
              <w:right w:val="single" w:sz="4" w:space="0" w:color="auto"/>
            </w:tcBorders>
            <w:shd w:val="clear" w:color="auto" w:fill="auto"/>
            <w:vAlign w:val="center"/>
          </w:tcPr>
          <w:p w14:paraId="5DDCB87C" w14:textId="54BE740E" w:rsidR="00F6651B" w:rsidRPr="005C2CEC" w:rsidRDefault="00E01CC7" w:rsidP="00FC6390">
            <w:pPr>
              <w:keepLines/>
              <w:spacing w:afterLines="30" w:after="72" w:line="240" w:lineRule="auto"/>
              <w:jc w:val="left"/>
              <w:rPr>
                <w:rFonts w:eastAsia="Times New Roman" w:cs="Times New Roman"/>
                <w:color w:val="000000"/>
                <w:sz w:val="18"/>
                <w:szCs w:val="20"/>
                <w:lang w:eastAsia="sk-SK"/>
              </w:rPr>
            </w:pPr>
            <w:r w:rsidRPr="005C2CEC">
              <w:rPr>
                <w:rFonts w:eastAsia="Times New Roman" w:cs="Times New Roman"/>
                <w:color w:val="000000"/>
                <w:sz w:val="18"/>
                <w:szCs w:val="20"/>
                <w:lang w:eastAsia="sk-SK"/>
              </w:rPr>
              <w:t xml:space="preserve">Určenie </w:t>
            </w:r>
            <w:r w:rsidR="006C21C9" w:rsidRPr="005C2CEC">
              <w:rPr>
                <w:rFonts w:eastAsia="Times New Roman" w:cs="Times New Roman"/>
                <w:color w:val="000000"/>
                <w:sz w:val="18"/>
                <w:szCs w:val="20"/>
                <w:lang w:eastAsia="sk-SK"/>
              </w:rPr>
              <w:t xml:space="preserve">investičných </w:t>
            </w:r>
            <w:r w:rsidRPr="005C2CEC">
              <w:rPr>
                <w:rFonts w:eastAsia="Times New Roman" w:cs="Times New Roman"/>
                <w:color w:val="000000"/>
                <w:sz w:val="18"/>
                <w:szCs w:val="20"/>
                <w:lang w:eastAsia="sk-SK"/>
              </w:rPr>
              <w:t>priorít</w:t>
            </w:r>
          </w:p>
          <w:p w14:paraId="0ED05332" w14:textId="2FE42BEC" w:rsidR="008916CB" w:rsidRPr="005C2CEC" w:rsidRDefault="008916CB" w:rsidP="00591D2F">
            <w:pPr>
              <w:keepLines/>
              <w:spacing w:afterLines="30" w:after="72" w:line="240" w:lineRule="auto"/>
              <w:jc w:val="left"/>
              <w:rPr>
                <w:rFonts w:eastAsia="Times New Roman" w:cs="Times New Roman"/>
                <w:i/>
                <w:color w:val="000000"/>
                <w:sz w:val="18"/>
                <w:szCs w:val="20"/>
                <w:lang w:eastAsia="sk-SK"/>
              </w:rPr>
            </w:pPr>
            <w:r w:rsidRPr="005C2CEC">
              <w:rPr>
                <w:rFonts w:eastAsia="Times New Roman" w:cs="Times New Roman"/>
                <w:i/>
                <w:color w:val="000000"/>
                <w:sz w:val="18"/>
                <w:szCs w:val="20"/>
                <w:lang w:eastAsia="sk-SK"/>
              </w:rPr>
              <w:t xml:space="preserve">(kapitola </w:t>
            </w:r>
            <w:r w:rsidR="00591D2F" w:rsidRPr="005C2CEC">
              <w:rPr>
                <w:rFonts w:eastAsia="Times New Roman" w:cs="Times New Roman"/>
                <w:i/>
                <w:color w:val="000000"/>
                <w:sz w:val="18"/>
                <w:szCs w:val="20"/>
                <w:lang w:eastAsia="sk-SK"/>
              </w:rPr>
              <w:fldChar w:fldCharType="begin"/>
            </w:r>
            <w:r w:rsidR="00591D2F" w:rsidRPr="005C2CEC">
              <w:rPr>
                <w:rFonts w:eastAsia="Times New Roman" w:cs="Times New Roman"/>
                <w:i/>
                <w:color w:val="000000"/>
                <w:sz w:val="18"/>
                <w:szCs w:val="20"/>
                <w:lang w:eastAsia="sk-SK"/>
              </w:rPr>
              <w:instrText xml:space="preserve"> REF _Ref55419859 \r \h </w:instrText>
            </w:r>
            <w:r w:rsidR="005C2CEC">
              <w:rPr>
                <w:rFonts w:eastAsia="Times New Roman" w:cs="Times New Roman"/>
                <w:i/>
                <w:color w:val="000000"/>
                <w:sz w:val="18"/>
                <w:szCs w:val="20"/>
                <w:lang w:eastAsia="sk-SK"/>
              </w:rPr>
              <w:instrText xml:space="preserve"> \* MERGEFORMAT </w:instrText>
            </w:r>
            <w:r w:rsidR="00591D2F" w:rsidRPr="005C2CEC">
              <w:rPr>
                <w:rFonts w:eastAsia="Times New Roman" w:cs="Times New Roman"/>
                <w:i/>
                <w:color w:val="000000"/>
                <w:sz w:val="18"/>
                <w:szCs w:val="20"/>
                <w:lang w:eastAsia="sk-SK"/>
              </w:rPr>
            </w:r>
            <w:r w:rsidR="00591D2F" w:rsidRPr="005C2CEC">
              <w:rPr>
                <w:rFonts w:eastAsia="Times New Roman" w:cs="Times New Roman"/>
                <w:i/>
                <w:color w:val="000000"/>
                <w:sz w:val="18"/>
                <w:szCs w:val="20"/>
                <w:lang w:eastAsia="sk-SK"/>
              </w:rPr>
              <w:fldChar w:fldCharType="separate"/>
            </w:r>
            <w:r w:rsidR="000D2AF7">
              <w:rPr>
                <w:rFonts w:eastAsia="Times New Roman" w:cs="Times New Roman"/>
                <w:i/>
                <w:color w:val="000000"/>
                <w:sz w:val="18"/>
                <w:szCs w:val="20"/>
                <w:lang w:eastAsia="sk-SK"/>
              </w:rPr>
              <w:t>3.2.3</w:t>
            </w:r>
            <w:r w:rsidR="00591D2F" w:rsidRPr="005C2CEC">
              <w:rPr>
                <w:rFonts w:eastAsia="Times New Roman" w:cs="Times New Roman"/>
                <w:i/>
                <w:color w:val="000000"/>
                <w:sz w:val="18"/>
                <w:szCs w:val="20"/>
                <w:lang w:eastAsia="sk-SK"/>
              </w:rPr>
              <w:fldChar w:fldCharType="end"/>
            </w:r>
            <w:r w:rsidRPr="005C2CEC">
              <w:rPr>
                <w:rFonts w:eastAsia="Times New Roman" w:cs="Times New Roman"/>
                <w:i/>
                <w:color w:val="000000"/>
                <w:sz w:val="18"/>
                <w:szCs w:val="20"/>
                <w:lang w:eastAsia="sk-SK"/>
              </w:rPr>
              <w:t>)</w:t>
            </w:r>
          </w:p>
        </w:tc>
        <w:tc>
          <w:tcPr>
            <w:tcW w:w="1285" w:type="pct"/>
            <w:gridSpan w:val="2"/>
            <w:tcBorders>
              <w:top w:val="dashed" w:sz="4" w:space="0" w:color="D0CECE" w:themeColor="background2" w:themeShade="E6"/>
              <w:left w:val="nil"/>
              <w:bottom w:val="dashed" w:sz="4" w:space="0" w:color="D0CECE" w:themeColor="background2" w:themeShade="E6"/>
              <w:right w:val="nil"/>
            </w:tcBorders>
            <w:shd w:val="clear" w:color="auto" w:fill="auto"/>
            <w:vAlign w:val="center"/>
          </w:tcPr>
          <w:p w14:paraId="69145903" w14:textId="3AA2E71B" w:rsidR="00F6651B" w:rsidRPr="005C2CEC" w:rsidRDefault="00172782" w:rsidP="0080768A">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Ministerstvo</w:t>
            </w:r>
            <w:r w:rsidR="00F6651B" w:rsidRPr="005C2CEC">
              <w:rPr>
                <w:rFonts w:eastAsia="Times New Roman" w:cs="Times New Roman"/>
                <w:color w:val="000000"/>
                <w:sz w:val="18"/>
                <w:szCs w:val="20"/>
                <w:lang w:eastAsia="sk-SK"/>
              </w:rPr>
              <w:t xml:space="preserve"> </w:t>
            </w:r>
            <w:r w:rsidR="00591D2F" w:rsidRPr="005C2CEC">
              <w:rPr>
                <w:rFonts w:eastAsia="Times New Roman" w:cs="Times New Roman"/>
                <w:color w:val="000000"/>
                <w:sz w:val="18"/>
                <w:szCs w:val="20"/>
                <w:lang w:eastAsia="sk-SK"/>
              </w:rPr>
              <w:t xml:space="preserve">v spolupráci s MF SR </w:t>
            </w:r>
            <w:r w:rsidR="0046630E" w:rsidRPr="005C2CEC">
              <w:rPr>
                <w:rFonts w:eastAsia="Times New Roman" w:cs="Times New Roman"/>
                <w:color w:val="000000"/>
                <w:sz w:val="18"/>
                <w:szCs w:val="20"/>
                <w:lang w:eastAsia="sk-SK"/>
              </w:rPr>
              <w:t>pripraví a zverejní zoznam investičných projektov zoradený</w:t>
            </w:r>
            <w:r w:rsidR="00F6651B" w:rsidRPr="005C2CEC">
              <w:rPr>
                <w:rFonts w:eastAsia="Times New Roman" w:cs="Times New Roman"/>
                <w:color w:val="000000"/>
                <w:sz w:val="18"/>
                <w:szCs w:val="20"/>
                <w:lang w:eastAsia="sk-SK"/>
              </w:rPr>
              <w:t xml:space="preserve"> podľa </w:t>
            </w:r>
            <w:r w:rsidR="0080768A" w:rsidRPr="005C2CEC">
              <w:rPr>
                <w:rFonts w:eastAsia="Times New Roman" w:cs="Times New Roman"/>
                <w:color w:val="000000"/>
                <w:sz w:val="18"/>
                <w:szCs w:val="20"/>
                <w:lang w:eastAsia="sk-SK"/>
              </w:rPr>
              <w:t>poradia priority</w:t>
            </w:r>
            <w:r w:rsidR="00450C18">
              <w:rPr>
                <w:rFonts w:eastAsia="Times New Roman" w:cs="Times New Roman"/>
                <w:color w:val="000000"/>
                <w:sz w:val="18"/>
                <w:szCs w:val="20"/>
                <w:lang w:eastAsia="sk-SK"/>
              </w:rPr>
              <w:t>, na základe ktorého zostaví investičný plán na ďalšie obdobie</w:t>
            </w:r>
          </w:p>
        </w:tc>
        <w:tc>
          <w:tcPr>
            <w:tcW w:w="1201" w:type="pct"/>
            <w:gridSpan w:val="2"/>
            <w:tcBorders>
              <w:top w:val="dashed" w:sz="4" w:space="0" w:color="D0CECE" w:themeColor="background2" w:themeShade="E6"/>
              <w:left w:val="nil"/>
              <w:bottom w:val="dashed" w:sz="4" w:space="0" w:color="D0CECE" w:themeColor="background2" w:themeShade="E6"/>
              <w:right w:val="nil"/>
            </w:tcBorders>
            <w:shd w:val="clear" w:color="auto" w:fill="auto"/>
            <w:vAlign w:val="center"/>
          </w:tcPr>
          <w:p w14:paraId="4CA7BC9A" w14:textId="194BA96F" w:rsidR="00F6651B" w:rsidRPr="005C2CEC" w:rsidRDefault="00A05282" w:rsidP="000B0B3F">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bCs/>
                <w:color w:val="000000"/>
                <w:sz w:val="18"/>
                <w:szCs w:val="20"/>
                <w:lang w:eastAsia="sk-SK"/>
              </w:rPr>
              <w:t>každoročne do 28.2.</w:t>
            </w:r>
          </w:p>
        </w:tc>
        <w:tc>
          <w:tcPr>
            <w:tcW w:w="676" w:type="pct"/>
            <w:gridSpan w:val="2"/>
            <w:tcBorders>
              <w:top w:val="dashed" w:sz="4" w:space="0" w:color="D0CECE" w:themeColor="background2" w:themeShade="E6"/>
              <w:left w:val="nil"/>
              <w:bottom w:val="dashed" w:sz="4" w:space="0" w:color="D0CECE" w:themeColor="background2" w:themeShade="E6"/>
              <w:right w:val="nil"/>
            </w:tcBorders>
            <w:shd w:val="clear" w:color="auto" w:fill="auto"/>
            <w:vAlign w:val="center"/>
          </w:tcPr>
          <w:p w14:paraId="08408B02" w14:textId="4EE4A74C" w:rsidR="00F6651B" w:rsidRPr="005C2CEC" w:rsidRDefault="00480DA4" w:rsidP="00721C02">
            <w:pPr>
              <w:keepLines/>
              <w:spacing w:afterLines="60" w:after="144" w:line="240" w:lineRule="auto"/>
              <w:jc w:val="center"/>
              <w:rPr>
                <w:rFonts w:eastAsia="Times New Roman" w:cs="Times New Roman"/>
                <w:bCs/>
                <w:color w:val="000000"/>
                <w:sz w:val="18"/>
                <w:szCs w:val="20"/>
                <w:lang w:eastAsia="sk-SK"/>
              </w:rPr>
            </w:pPr>
            <w:r w:rsidRPr="005C2CEC">
              <w:rPr>
                <w:rFonts w:eastAsia="Times New Roman" w:cs="Times New Roman"/>
                <w:color w:val="000000"/>
                <w:sz w:val="18"/>
                <w:szCs w:val="20"/>
                <w:lang w:eastAsia="sk-SK"/>
              </w:rPr>
              <w:t xml:space="preserve">Pripraví </w:t>
            </w:r>
            <w:r w:rsidR="00F6651B" w:rsidRPr="005C2CEC">
              <w:rPr>
                <w:rFonts w:eastAsia="Times New Roman" w:cs="Times New Roman"/>
                <w:bCs/>
                <w:color w:val="000000"/>
                <w:sz w:val="18"/>
                <w:szCs w:val="20"/>
                <w:lang w:eastAsia="sk-SK"/>
              </w:rPr>
              <w:t>ministerstvo</w:t>
            </w:r>
            <w:r w:rsidR="004439AF" w:rsidRPr="005C2CEC">
              <w:rPr>
                <w:rFonts w:eastAsia="Times New Roman" w:cs="Times New Roman"/>
                <w:bCs/>
                <w:color w:val="000000"/>
                <w:sz w:val="18"/>
                <w:szCs w:val="20"/>
                <w:lang w:eastAsia="sk-SK"/>
              </w:rPr>
              <w:t xml:space="preserve"> v spolupráci s MF SR</w:t>
            </w:r>
          </w:p>
          <w:p w14:paraId="59FB4B17" w14:textId="34F2F87C" w:rsidR="005A4792" w:rsidRPr="005C2CEC" w:rsidRDefault="0080768A" w:rsidP="005A4792">
            <w:pPr>
              <w:keepLines/>
              <w:spacing w:afterLines="60" w:after="144" w:line="240" w:lineRule="auto"/>
              <w:jc w:val="center"/>
              <w:rPr>
                <w:rFonts w:eastAsia="Times New Roman" w:cs="Times New Roman"/>
                <w:bCs/>
                <w:color w:val="000000"/>
                <w:sz w:val="18"/>
                <w:szCs w:val="20"/>
                <w:lang w:eastAsia="sk-SK"/>
              </w:rPr>
            </w:pPr>
            <w:r w:rsidRPr="005C2CEC">
              <w:rPr>
                <w:rFonts w:eastAsia="Times New Roman" w:cs="Times New Roman"/>
                <w:bCs/>
                <w:color w:val="000000"/>
                <w:sz w:val="18"/>
                <w:szCs w:val="20"/>
                <w:lang w:eastAsia="sk-SK"/>
              </w:rPr>
              <w:t xml:space="preserve">Pripomienkuje </w:t>
            </w:r>
            <w:r w:rsidR="005A4792" w:rsidRPr="005C2CEC">
              <w:rPr>
                <w:rFonts w:eastAsia="Times New Roman" w:cs="Times New Roman"/>
                <w:bCs/>
                <w:color w:val="000000"/>
                <w:sz w:val="18"/>
                <w:szCs w:val="20"/>
                <w:lang w:eastAsia="sk-SK"/>
              </w:rPr>
              <w:t>MF SR</w:t>
            </w:r>
          </w:p>
        </w:tc>
        <w:tc>
          <w:tcPr>
            <w:tcW w:w="862" w:type="pct"/>
            <w:gridSpan w:val="2"/>
            <w:tcBorders>
              <w:top w:val="dashed" w:sz="4" w:space="0" w:color="D0CECE" w:themeColor="background2" w:themeShade="E6"/>
              <w:left w:val="nil"/>
              <w:bottom w:val="dashed" w:sz="4" w:space="0" w:color="D0CECE" w:themeColor="background2" w:themeShade="E6"/>
              <w:right w:val="nil"/>
            </w:tcBorders>
            <w:shd w:val="clear" w:color="auto" w:fill="auto"/>
            <w:vAlign w:val="center"/>
          </w:tcPr>
          <w:p w14:paraId="1525F5E6" w14:textId="6119A93D" w:rsidR="005A4792" w:rsidRPr="005C2CEC" w:rsidRDefault="005A4792" w:rsidP="00AC41F3">
            <w:pPr>
              <w:keepLines/>
              <w:spacing w:afterLines="60" w:after="144" w:line="240" w:lineRule="auto"/>
              <w:jc w:val="center"/>
              <w:rPr>
                <w:rFonts w:eastAsia="Times New Roman" w:cs="Times New Roman"/>
                <w:color w:val="000000"/>
                <w:sz w:val="18"/>
                <w:szCs w:val="20"/>
                <w:lang w:eastAsia="sk-SK"/>
              </w:rPr>
            </w:pPr>
          </w:p>
          <w:p w14:paraId="187CA7D2" w14:textId="3E9D449E" w:rsidR="00F6651B" w:rsidRPr="005C2CEC" w:rsidRDefault="003A4A24" w:rsidP="005A4792">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Prior</w:t>
            </w:r>
            <w:r w:rsidR="00C476F6" w:rsidRPr="005C2CEC">
              <w:rPr>
                <w:rFonts w:eastAsia="Times New Roman" w:cs="Times New Roman"/>
                <w:color w:val="000000"/>
                <w:sz w:val="18"/>
                <w:szCs w:val="20"/>
                <w:lang w:eastAsia="sk-SK"/>
              </w:rPr>
              <w:t>izovaný zoznam</w:t>
            </w:r>
            <w:r w:rsidR="00172782" w:rsidRPr="005C2CEC">
              <w:rPr>
                <w:rFonts w:eastAsia="Times New Roman" w:cs="Times New Roman"/>
                <w:color w:val="000000"/>
                <w:sz w:val="18"/>
                <w:szCs w:val="20"/>
                <w:lang w:eastAsia="sk-SK"/>
              </w:rPr>
              <w:t xml:space="preserve"> </w:t>
            </w:r>
            <w:r w:rsidR="00C476F6" w:rsidRPr="005C2CEC">
              <w:rPr>
                <w:rFonts w:eastAsia="Times New Roman" w:cs="Times New Roman"/>
                <w:color w:val="000000"/>
                <w:sz w:val="18"/>
                <w:szCs w:val="20"/>
                <w:lang w:eastAsia="sk-SK"/>
              </w:rPr>
              <w:t>investičných</w:t>
            </w:r>
            <w:r w:rsidR="006C21C9" w:rsidRPr="005C2CEC">
              <w:rPr>
                <w:rFonts w:eastAsia="Times New Roman" w:cs="Times New Roman"/>
                <w:color w:val="000000"/>
                <w:sz w:val="18"/>
                <w:szCs w:val="20"/>
                <w:lang w:eastAsia="sk-SK"/>
              </w:rPr>
              <w:t xml:space="preserve"> </w:t>
            </w:r>
            <w:r w:rsidR="00C476F6" w:rsidRPr="005C2CEC">
              <w:rPr>
                <w:rFonts w:eastAsia="Times New Roman" w:cs="Times New Roman"/>
                <w:color w:val="000000"/>
                <w:sz w:val="18"/>
                <w:szCs w:val="20"/>
                <w:lang w:eastAsia="sk-SK"/>
              </w:rPr>
              <w:t>projektov</w:t>
            </w:r>
          </w:p>
        </w:tc>
      </w:tr>
      <w:tr w:rsidR="00721C02" w:rsidRPr="005C2CEC" w14:paraId="0E282C4A" w14:textId="77777777" w:rsidTr="00097D34">
        <w:trPr>
          <w:trHeight w:val="277"/>
        </w:trPr>
        <w:tc>
          <w:tcPr>
            <w:tcW w:w="226" w:type="pct"/>
            <w:vMerge/>
            <w:tcBorders>
              <w:left w:val="nil"/>
              <w:bottom w:val="single" w:sz="4" w:space="0" w:color="000000"/>
              <w:right w:val="dashed" w:sz="4" w:space="0" w:color="BFBFBF" w:themeColor="background1" w:themeShade="BF"/>
            </w:tcBorders>
            <w:shd w:val="clear" w:color="auto" w:fill="auto"/>
            <w:textDirection w:val="btLr"/>
            <w:vAlign w:val="center"/>
            <w:hideMark/>
          </w:tcPr>
          <w:p w14:paraId="1438A3CD" w14:textId="769FED83" w:rsidR="00F6651B" w:rsidRPr="005C2CEC" w:rsidRDefault="00F6651B" w:rsidP="00721C02">
            <w:pPr>
              <w:keepLines/>
              <w:spacing w:afterLines="60" w:after="144" w:line="240" w:lineRule="auto"/>
              <w:jc w:val="left"/>
              <w:rPr>
                <w:rFonts w:eastAsia="Times New Roman" w:cs="Times New Roman"/>
                <w:color w:val="000000"/>
                <w:sz w:val="18"/>
                <w:szCs w:val="20"/>
                <w:lang w:eastAsia="sk-SK"/>
              </w:rPr>
            </w:pPr>
          </w:p>
        </w:tc>
        <w:tc>
          <w:tcPr>
            <w:tcW w:w="750" w:type="pct"/>
            <w:gridSpan w:val="4"/>
            <w:tcBorders>
              <w:top w:val="dashed" w:sz="4" w:space="0" w:color="D0CECE" w:themeColor="background2" w:themeShade="E6"/>
              <w:left w:val="dashed" w:sz="4" w:space="0" w:color="BFBFBF" w:themeColor="background1" w:themeShade="BF"/>
              <w:bottom w:val="single" w:sz="4" w:space="0" w:color="auto"/>
              <w:right w:val="single" w:sz="4" w:space="0" w:color="auto"/>
            </w:tcBorders>
            <w:shd w:val="clear" w:color="auto" w:fill="auto"/>
            <w:vAlign w:val="center"/>
            <w:hideMark/>
          </w:tcPr>
          <w:p w14:paraId="6752B991" w14:textId="7B978972" w:rsidR="00F6651B" w:rsidRPr="005C2CEC" w:rsidRDefault="00E01CC7" w:rsidP="00FC6390">
            <w:pPr>
              <w:keepLines/>
              <w:spacing w:afterLines="30" w:after="72" w:line="240" w:lineRule="auto"/>
              <w:jc w:val="left"/>
              <w:rPr>
                <w:rFonts w:eastAsia="Times New Roman" w:cs="Times New Roman"/>
                <w:color w:val="000000"/>
                <w:sz w:val="18"/>
                <w:szCs w:val="20"/>
                <w:lang w:eastAsia="sk-SK"/>
              </w:rPr>
            </w:pPr>
            <w:r w:rsidRPr="005C2CEC">
              <w:rPr>
                <w:rFonts w:eastAsia="Times New Roman" w:cs="Times New Roman"/>
                <w:color w:val="000000"/>
                <w:sz w:val="18"/>
                <w:szCs w:val="20"/>
                <w:lang w:eastAsia="sk-SK"/>
              </w:rPr>
              <w:t>Investičný plán</w:t>
            </w:r>
          </w:p>
          <w:p w14:paraId="5BF0A74B" w14:textId="4345FEA6" w:rsidR="008916CB" w:rsidRPr="005C2CEC" w:rsidRDefault="008916CB" w:rsidP="00591D2F">
            <w:pPr>
              <w:keepLines/>
              <w:spacing w:afterLines="30" w:after="72" w:line="240" w:lineRule="auto"/>
              <w:jc w:val="left"/>
              <w:rPr>
                <w:rFonts w:eastAsia="Times New Roman" w:cs="Times New Roman"/>
                <w:i/>
                <w:color w:val="000000"/>
                <w:sz w:val="18"/>
                <w:szCs w:val="20"/>
                <w:lang w:eastAsia="sk-SK"/>
              </w:rPr>
            </w:pPr>
            <w:r w:rsidRPr="005C2CEC">
              <w:rPr>
                <w:rFonts w:eastAsia="Times New Roman" w:cs="Times New Roman"/>
                <w:i/>
                <w:color w:val="000000"/>
                <w:sz w:val="18"/>
                <w:szCs w:val="20"/>
                <w:lang w:eastAsia="sk-SK"/>
              </w:rPr>
              <w:t xml:space="preserve">(kapitola </w:t>
            </w:r>
            <w:r w:rsidR="00591D2F" w:rsidRPr="005C2CEC">
              <w:rPr>
                <w:rFonts w:eastAsia="Times New Roman" w:cs="Times New Roman"/>
                <w:i/>
                <w:color w:val="000000"/>
                <w:sz w:val="18"/>
                <w:szCs w:val="20"/>
                <w:lang w:eastAsia="sk-SK"/>
              </w:rPr>
              <w:fldChar w:fldCharType="begin"/>
            </w:r>
            <w:r w:rsidR="00591D2F" w:rsidRPr="005C2CEC">
              <w:rPr>
                <w:rFonts w:eastAsia="Times New Roman" w:cs="Times New Roman"/>
                <w:i/>
                <w:color w:val="000000"/>
                <w:sz w:val="18"/>
                <w:szCs w:val="20"/>
                <w:lang w:eastAsia="sk-SK"/>
              </w:rPr>
              <w:instrText xml:space="preserve"> REF _Ref54963121 \r \h </w:instrText>
            </w:r>
            <w:r w:rsidR="005C2CEC">
              <w:rPr>
                <w:rFonts w:eastAsia="Times New Roman" w:cs="Times New Roman"/>
                <w:i/>
                <w:color w:val="000000"/>
                <w:sz w:val="18"/>
                <w:szCs w:val="20"/>
                <w:lang w:eastAsia="sk-SK"/>
              </w:rPr>
              <w:instrText xml:space="preserve"> \* MERGEFORMAT </w:instrText>
            </w:r>
            <w:r w:rsidR="00591D2F" w:rsidRPr="005C2CEC">
              <w:rPr>
                <w:rFonts w:eastAsia="Times New Roman" w:cs="Times New Roman"/>
                <w:i/>
                <w:color w:val="000000"/>
                <w:sz w:val="18"/>
                <w:szCs w:val="20"/>
                <w:lang w:eastAsia="sk-SK"/>
              </w:rPr>
            </w:r>
            <w:r w:rsidR="00591D2F" w:rsidRPr="005C2CEC">
              <w:rPr>
                <w:rFonts w:eastAsia="Times New Roman" w:cs="Times New Roman"/>
                <w:i/>
                <w:color w:val="000000"/>
                <w:sz w:val="18"/>
                <w:szCs w:val="20"/>
                <w:lang w:eastAsia="sk-SK"/>
              </w:rPr>
              <w:fldChar w:fldCharType="separate"/>
            </w:r>
            <w:r w:rsidR="000D2AF7">
              <w:rPr>
                <w:rFonts w:eastAsia="Times New Roman" w:cs="Times New Roman"/>
                <w:i/>
                <w:color w:val="000000"/>
                <w:sz w:val="18"/>
                <w:szCs w:val="20"/>
                <w:lang w:eastAsia="sk-SK"/>
              </w:rPr>
              <w:t>3.2.4</w:t>
            </w:r>
            <w:r w:rsidR="00591D2F" w:rsidRPr="005C2CEC">
              <w:rPr>
                <w:rFonts w:eastAsia="Times New Roman" w:cs="Times New Roman"/>
                <w:i/>
                <w:color w:val="000000"/>
                <w:sz w:val="18"/>
                <w:szCs w:val="20"/>
                <w:lang w:eastAsia="sk-SK"/>
              </w:rPr>
              <w:fldChar w:fldCharType="end"/>
            </w:r>
            <w:r w:rsidRPr="005C2CEC">
              <w:rPr>
                <w:rFonts w:eastAsia="Times New Roman" w:cs="Times New Roman"/>
                <w:i/>
                <w:color w:val="000000"/>
                <w:sz w:val="18"/>
                <w:szCs w:val="20"/>
                <w:lang w:eastAsia="sk-SK"/>
              </w:rPr>
              <w:t>)</w:t>
            </w:r>
          </w:p>
        </w:tc>
        <w:tc>
          <w:tcPr>
            <w:tcW w:w="1285" w:type="pct"/>
            <w:gridSpan w:val="2"/>
            <w:tcBorders>
              <w:top w:val="dashed" w:sz="4" w:space="0" w:color="D0CECE" w:themeColor="background2" w:themeShade="E6"/>
              <w:left w:val="nil"/>
              <w:bottom w:val="single" w:sz="4" w:space="0" w:color="auto"/>
              <w:right w:val="nil"/>
            </w:tcBorders>
            <w:shd w:val="clear" w:color="auto" w:fill="auto"/>
            <w:vAlign w:val="center"/>
            <w:hideMark/>
          </w:tcPr>
          <w:p w14:paraId="3A4ECE73" w14:textId="7F1AB93A" w:rsidR="00F6651B" w:rsidRPr="005C2CEC" w:rsidRDefault="00172782" w:rsidP="000B0B3F">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Ministerstvo</w:t>
            </w:r>
            <w:r w:rsidR="00591D2F" w:rsidRPr="005C2CEC">
              <w:rPr>
                <w:rFonts w:eastAsia="Times New Roman" w:cs="Times New Roman"/>
                <w:color w:val="000000"/>
                <w:sz w:val="18"/>
                <w:szCs w:val="20"/>
                <w:lang w:eastAsia="sk-SK"/>
              </w:rPr>
              <w:t xml:space="preserve"> v spolupráci s MF SR</w:t>
            </w:r>
            <w:r w:rsidR="00F6651B" w:rsidRPr="005C2CEC">
              <w:rPr>
                <w:rFonts w:eastAsia="Times New Roman" w:cs="Times New Roman"/>
                <w:color w:val="000000"/>
                <w:sz w:val="18"/>
                <w:szCs w:val="20"/>
                <w:lang w:eastAsia="sk-SK"/>
              </w:rPr>
              <w:t xml:space="preserve"> </w:t>
            </w:r>
            <w:r w:rsidR="0046630E" w:rsidRPr="005C2CEC">
              <w:rPr>
                <w:rFonts w:eastAsia="Times New Roman" w:cs="Times New Roman"/>
                <w:color w:val="000000"/>
                <w:sz w:val="18"/>
                <w:szCs w:val="20"/>
                <w:lang w:eastAsia="sk-SK"/>
              </w:rPr>
              <w:t xml:space="preserve">pripraví a zverejní </w:t>
            </w:r>
            <w:r w:rsidR="0080768A" w:rsidRPr="005C2CEC">
              <w:rPr>
                <w:rFonts w:eastAsia="Times New Roman" w:cs="Times New Roman"/>
                <w:color w:val="000000"/>
                <w:sz w:val="18"/>
                <w:szCs w:val="20"/>
                <w:lang w:eastAsia="sk-SK"/>
              </w:rPr>
              <w:t>investičný plán</w:t>
            </w:r>
            <w:r w:rsidR="003C752C" w:rsidRPr="005C2CEC">
              <w:rPr>
                <w:rFonts w:eastAsia="Times New Roman" w:cs="Times New Roman"/>
                <w:color w:val="000000"/>
                <w:sz w:val="18"/>
                <w:szCs w:val="20"/>
                <w:lang w:eastAsia="sk-SK"/>
              </w:rPr>
              <w:t xml:space="preserve"> </w:t>
            </w:r>
            <w:r w:rsidR="00AC41F3" w:rsidRPr="005C2CEC">
              <w:rPr>
                <w:rFonts w:eastAsia="Times New Roman" w:cs="Times New Roman"/>
                <w:color w:val="000000"/>
                <w:sz w:val="18"/>
                <w:szCs w:val="20"/>
                <w:lang w:eastAsia="sk-SK"/>
              </w:rPr>
              <w:t>s</w:t>
            </w:r>
            <w:r w:rsidR="00904D18" w:rsidRPr="005C2CEC">
              <w:rPr>
                <w:rFonts w:eastAsia="Times New Roman" w:cs="Times New Roman"/>
                <w:color w:val="000000"/>
                <w:sz w:val="18"/>
                <w:szCs w:val="20"/>
                <w:lang w:eastAsia="sk-SK"/>
              </w:rPr>
              <w:t> </w:t>
            </w:r>
            <w:r w:rsidR="00AC41F3" w:rsidRPr="005C2CEC">
              <w:rPr>
                <w:rFonts w:eastAsia="Times New Roman" w:cs="Times New Roman"/>
                <w:color w:val="000000"/>
                <w:sz w:val="18"/>
                <w:szCs w:val="20"/>
                <w:lang w:eastAsia="sk-SK"/>
              </w:rPr>
              <w:t>harmonogramom</w:t>
            </w:r>
            <w:r w:rsidR="00904D18" w:rsidRPr="005C2CEC">
              <w:rPr>
                <w:rFonts w:eastAsia="Times New Roman" w:cs="Times New Roman"/>
                <w:color w:val="000000"/>
                <w:sz w:val="18"/>
                <w:szCs w:val="20"/>
                <w:lang w:eastAsia="sk-SK"/>
              </w:rPr>
              <w:t xml:space="preserve"> najmenej</w:t>
            </w:r>
            <w:r w:rsidR="004D4C14" w:rsidRPr="005C2CEC">
              <w:rPr>
                <w:rFonts w:eastAsia="Times New Roman" w:cs="Times New Roman"/>
                <w:color w:val="000000"/>
                <w:sz w:val="18"/>
                <w:szCs w:val="20"/>
                <w:lang w:eastAsia="sk-SK"/>
              </w:rPr>
              <w:t xml:space="preserve"> na nasledujúcich </w:t>
            </w:r>
            <w:r w:rsidR="009A1EA3">
              <w:rPr>
                <w:rFonts w:eastAsia="Times New Roman" w:cs="Times New Roman"/>
                <w:color w:val="000000"/>
                <w:sz w:val="18"/>
                <w:szCs w:val="20"/>
                <w:lang w:eastAsia="sk-SK"/>
              </w:rPr>
              <w:t>5</w:t>
            </w:r>
            <w:r w:rsidR="004D4C14" w:rsidRPr="005C2CEC">
              <w:rPr>
                <w:rFonts w:eastAsia="Times New Roman" w:cs="Times New Roman"/>
                <w:color w:val="000000"/>
                <w:sz w:val="18"/>
                <w:szCs w:val="20"/>
                <w:lang w:eastAsia="sk-SK"/>
              </w:rPr>
              <w:t xml:space="preserve"> rokov</w:t>
            </w:r>
          </w:p>
        </w:tc>
        <w:tc>
          <w:tcPr>
            <w:tcW w:w="1201" w:type="pct"/>
            <w:gridSpan w:val="2"/>
            <w:tcBorders>
              <w:top w:val="dashed" w:sz="4" w:space="0" w:color="D0CECE" w:themeColor="background2" w:themeShade="E6"/>
              <w:left w:val="nil"/>
              <w:bottom w:val="single" w:sz="4" w:space="0" w:color="auto"/>
              <w:right w:val="nil"/>
            </w:tcBorders>
            <w:shd w:val="clear" w:color="auto" w:fill="auto"/>
            <w:vAlign w:val="center"/>
          </w:tcPr>
          <w:p w14:paraId="7C52E252" w14:textId="4A60C57D" w:rsidR="00F6651B" w:rsidRPr="005C2CEC" w:rsidRDefault="00A05282" w:rsidP="000B0B3F">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bCs/>
                <w:color w:val="000000"/>
                <w:sz w:val="18"/>
                <w:szCs w:val="20"/>
                <w:lang w:eastAsia="sk-SK"/>
              </w:rPr>
              <w:t>každoročne do 3</w:t>
            </w:r>
            <w:r w:rsidR="001514FD">
              <w:rPr>
                <w:rFonts w:eastAsia="Times New Roman" w:cs="Times New Roman"/>
                <w:bCs/>
                <w:color w:val="000000"/>
                <w:sz w:val="18"/>
                <w:szCs w:val="20"/>
                <w:lang w:eastAsia="sk-SK"/>
              </w:rPr>
              <w:t>1</w:t>
            </w:r>
            <w:r w:rsidRPr="005C2CEC">
              <w:rPr>
                <w:rFonts w:eastAsia="Times New Roman" w:cs="Times New Roman"/>
                <w:bCs/>
                <w:color w:val="000000"/>
                <w:sz w:val="18"/>
                <w:szCs w:val="20"/>
                <w:lang w:eastAsia="sk-SK"/>
              </w:rPr>
              <w:t>.</w:t>
            </w:r>
            <w:r w:rsidR="001514FD">
              <w:rPr>
                <w:rFonts w:eastAsia="Times New Roman" w:cs="Times New Roman"/>
                <w:bCs/>
                <w:color w:val="000000"/>
                <w:sz w:val="18"/>
                <w:szCs w:val="20"/>
                <w:lang w:eastAsia="sk-SK"/>
              </w:rPr>
              <w:t>5</w:t>
            </w:r>
            <w:r w:rsidRPr="005C2CEC">
              <w:rPr>
                <w:rFonts w:eastAsia="Times New Roman" w:cs="Times New Roman"/>
                <w:bCs/>
                <w:color w:val="000000"/>
                <w:sz w:val="18"/>
                <w:szCs w:val="20"/>
                <w:lang w:eastAsia="sk-SK"/>
              </w:rPr>
              <w:t>.</w:t>
            </w:r>
          </w:p>
        </w:tc>
        <w:tc>
          <w:tcPr>
            <w:tcW w:w="676" w:type="pct"/>
            <w:gridSpan w:val="2"/>
            <w:tcBorders>
              <w:top w:val="dashed" w:sz="4" w:space="0" w:color="D0CECE" w:themeColor="background2" w:themeShade="E6"/>
              <w:left w:val="nil"/>
              <w:bottom w:val="single" w:sz="4" w:space="0" w:color="auto"/>
              <w:right w:val="nil"/>
            </w:tcBorders>
            <w:shd w:val="clear" w:color="auto" w:fill="auto"/>
            <w:vAlign w:val="center"/>
            <w:hideMark/>
          </w:tcPr>
          <w:p w14:paraId="68827382" w14:textId="18F55454" w:rsidR="00F6651B" w:rsidRPr="005C2CEC" w:rsidRDefault="00480DA4" w:rsidP="00721C02">
            <w:pPr>
              <w:keepLines/>
              <w:spacing w:afterLines="60" w:after="144" w:line="240" w:lineRule="auto"/>
              <w:jc w:val="center"/>
              <w:rPr>
                <w:rFonts w:eastAsia="Times New Roman" w:cs="Times New Roman"/>
                <w:bCs/>
                <w:color w:val="000000"/>
                <w:sz w:val="18"/>
                <w:szCs w:val="20"/>
                <w:lang w:eastAsia="sk-SK"/>
              </w:rPr>
            </w:pPr>
            <w:r w:rsidRPr="005C2CEC">
              <w:rPr>
                <w:rFonts w:eastAsia="Times New Roman" w:cs="Times New Roman"/>
                <w:color w:val="000000"/>
                <w:sz w:val="18"/>
                <w:szCs w:val="20"/>
                <w:lang w:eastAsia="sk-SK"/>
              </w:rPr>
              <w:t xml:space="preserve">Pripraví </w:t>
            </w:r>
            <w:r w:rsidR="00F6651B" w:rsidRPr="005C2CEC">
              <w:rPr>
                <w:rFonts w:eastAsia="Times New Roman" w:cs="Times New Roman"/>
                <w:bCs/>
                <w:color w:val="000000"/>
                <w:sz w:val="18"/>
                <w:szCs w:val="20"/>
                <w:lang w:eastAsia="sk-SK"/>
              </w:rPr>
              <w:t>ministerstvo</w:t>
            </w:r>
            <w:r w:rsidR="004439AF" w:rsidRPr="005C2CEC">
              <w:rPr>
                <w:rFonts w:eastAsia="Times New Roman" w:cs="Times New Roman"/>
                <w:bCs/>
                <w:color w:val="000000"/>
                <w:sz w:val="18"/>
                <w:szCs w:val="20"/>
                <w:lang w:eastAsia="sk-SK"/>
              </w:rPr>
              <w:t xml:space="preserve"> v spolupráci s MF SR</w:t>
            </w:r>
          </w:p>
          <w:p w14:paraId="6F96402E" w14:textId="16B0EC6A" w:rsidR="00F6651B" w:rsidRPr="005C2CEC" w:rsidRDefault="0080768A" w:rsidP="00721C02">
            <w:pPr>
              <w:keepLines/>
              <w:spacing w:afterLines="60" w:after="144" w:line="240" w:lineRule="auto"/>
              <w:jc w:val="center"/>
              <w:rPr>
                <w:rFonts w:eastAsia="Times New Roman" w:cs="Times New Roman"/>
                <w:bCs/>
                <w:color w:val="000000"/>
                <w:sz w:val="18"/>
                <w:szCs w:val="20"/>
                <w:lang w:eastAsia="sk-SK"/>
              </w:rPr>
            </w:pPr>
            <w:r w:rsidRPr="005C2CEC">
              <w:rPr>
                <w:rFonts w:eastAsia="Times New Roman" w:cs="Times New Roman"/>
                <w:bCs/>
                <w:color w:val="000000"/>
                <w:sz w:val="18"/>
                <w:szCs w:val="20"/>
                <w:lang w:eastAsia="sk-SK"/>
              </w:rPr>
              <w:t xml:space="preserve">Pripomienkuje </w:t>
            </w:r>
            <w:r w:rsidR="00F6651B" w:rsidRPr="005C2CEC">
              <w:rPr>
                <w:rFonts w:eastAsia="Times New Roman" w:cs="Times New Roman"/>
                <w:bCs/>
                <w:color w:val="000000"/>
                <w:sz w:val="18"/>
                <w:szCs w:val="20"/>
                <w:lang w:eastAsia="sk-SK"/>
              </w:rPr>
              <w:t>MF SR</w:t>
            </w:r>
          </w:p>
          <w:p w14:paraId="12C16E1C" w14:textId="2FCAEFBE" w:rsidR="00F6651B" w:rsidRPr="005C2CEC" w:rsidRDefault="00F6651B" w:rsidP="00721C02">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lastRenderedPageBreak/>
              <w:t>Schvaľuje minister</w:t>
            </w:r>
            <w:r w:rsidR="00BB5B6C" w:rsidRPr="005C2CEC">
              <w:rPr>
                <w:rFonts w:eastAsia="Times New Roman" w:cs="Times New Roman"/>
                <w:color w:val="000000"/>
                <w:sz w:val="18"/>
                <w:szCs w:val="20"/>
                <w:lang w:eastAsia="sk-SK"/>
              </w:rPr>
              <w:t>stvo</w:t>
            </w:r>
          </w:p>
        </w:tc>
        <w:tc>
          <w:tcPr>
            <w:tcW w:w="862" w:type="pct"/>
            <w:gridSpan w:val="2"/>
            <w:tcBorders>
              <w:top w:val="dashed" w:sz="4" w:space="0" w:color="D0CECE" w:themeColor="background2" w:themeShade="E6"/>
              <w:left w:val="nil"/>
              <w:bottom w:val="single" w:sz="4" w:space="0" w:color="auto"/>
              <w:right w:val="nil"/>
            </w:tcBorders>
            <w:shd w:val="clear" w:color="auto" w:fill="auto"/>
            <w:vAlign w:val="center"/>
            <w:hideMark/>
          </w:tcPr>
          <w:p w14:paraId="21A9E7A3" w14:textId="38E8BEEA" w:rsidR="00F6651B" w:rsidRPr="005C2CEC" w:rsidRDefault="0080768A" w:rsidP="0080768A">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lastRenderedPageBreak/>
              <w:t>Investičný plán</w:t>
            </w:r>
          </w:p>
        </w:tc>
      </w:tr>
      <w:tr w:rsidR="000218F2" w:rsidRPr="005C2CEC" w14:paraId="22C7C40B" w14:textId="77777777" w:rsidTr="00931FDD">
        <w:trPr>
          <w:cantSplit/>
          <w:trHeight w:val="1735"/>
        </w:trPr>
        <w:tc>
          <w:tcPr>
            <w:tcW w:w="226" w:type="pct"/>
            <w:vMerge w:val="restart"/>
            <w:tcBorders>
              <w:top w:val="single" w:sz="4" w:space="0" w:color="000000"/>
              <w:left w:val="nil"/>
              <w:right w:val="dashed" w:sz="4" w:space="0" w:color="BFBFBF" w:themeColor="background1" w:themeShade="BF"/>
            </w:tcBorders>
            <w:textDirection w:val="btLr"/>
            <w:vAlign w:val="center"/>
          </w:tcPr>
          <w:p w14:paraId="3CF5BB2A" w14:textId="7203F53C" w:rsidR="000218F2" w:rsidRPr="005C2CEC" w:rsidRDefault="000218F2" w:rsidP="003772D9">
            <w:pPr>
              <w:keepLines/>
              <w:spacing w:afterLines="60" w:after="144" w:line="240" w:lineRule="auto"/>
              <w:ind w:left="113" w:right="113"/>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Príprava investičného projektu</w:t>
            </w:r>
          </w:p>
        </w:tc>
        <w:tc>
          <w:tcPr>
            <w:tcW w:w="750" w:type="pct"/>
            <w:gridSpan w:val="4"/>
            <w:tcBorders>
              <w:top w:val="single" w:sz="4" w:space="0" w:color="auto"/>
              <w:left w:val="dashed" w:sz="4" w:space="0" w:color="BFBFBF" w:themeColor="background1" w:themeShade="BF"/>
              <w:right w:val="single" w:sz="4" w:space="0" w:color="auto"/>
            </w:tcBorders>
            <w:shd w:val="clear" w:color="auto" w:fill="DEEAF6" w:themeFill="accent1" w:themeFillTint="33"/>
            <w:vAlign w:val="center"/>
          </w:tcPr>
          <w:p w14:paraId="5AABE1BE" w14:textId="77777777" w:rsidR="000218F2" w:rsidRPr="005C2CEC" w:rsidRDefault="000218F2" w:rsidP="00FC6390">
            <w:pPr>
              <w:keepLines/>
              <w:spacing w:afterLines="30" w:after="72" w:line="240" w:lineRule="auto"/>
              <w:jc w:val="left"/>
              <w:rPr>
                <w:rFonts w:eastAsia="Times New Roman" w:cs="Times New Roman"/>
                <w:color w:val="000000"/>
                <w:sz w:val="18"/>
                <w:szCs w:val="20"/>
                <w:lang w:eastAsia="sk-SK"/>
              </w:rPr>
            </w:pPr>
            <w:r w:rsidRPr="005C2CEC">
              <w:rPr>
                <w:rFonts w:eastAsia="Times New Roman" w:cs="Times New Roman"/>
                <w:color w:val="000000"/>
                <w:sz w:val="18"/>
                <w:szCs w:val="20"/>
                <w:lang w:eastAsia="sk-SK"/>
              </w:rPr>
              <w:t>Príprava štúdie uskutočniteľnosti</w:t>
            </w:r>
          </w:p>
          <w:p w14:paraId="3A1A0290" w14:textId="110E666E" w:rsidR="000218F2" w:rsidRPr="005C2CEC" w:rsidRDefault="000218F2" w:rsidP="00FC6390">
            <w:pPr>
              <w:keepLines/>
              <w:spacing w:afterLines="30" w:after="72" w:line="240" w:lineRule="auto"/>
              <w:jc w:val="left"/>
              <w:rPr>
                <w:rFonts w:eastAsia="Times New Roman" w:cs="Times New Roman"/>
                <w:i/>
                <w:color w:val="000000"/>
                <w:sz w:val="18"/>
                <w:szCs w:val="20"/>
                <w:lang w:eastAsia="sk-SK"/>
              </w:rPr>
            </w:pPr>
            <w:r w:rsidRPr="005C2CEC">
              <w:rPr>
                <w:rFonts w:eastAsia="Times New Roman" w:cs="Times New Roman"/>
                <w:i/>
                <w:color w:val="000000"/>
                <w:sz w:val="18"/>
                <w:szCs w:val="20"/>
                <w:lang w:eastAsia="sk-SK"/>
              </w:rPr>
              <w:t xml:space="preserve">(kapitola </w:t>
            </w:r>
            <w:r w:rsidRPr="005C2CEC">
              <w:rPr>
                <w:rFonts w:eastAsia="Times New Roman" w:cs="Times New Roman"/>
                <w:i/>
                <w:color w:val="000000"/>
                <w:sz w:val="18"/>
                <w:szCs w:val="20"/>
                <w:lang w:eastAsia="sk-SK"/>
              </w:rPr>
              <w:fldChar w:fldCharType="begin"/>
            </w:r>
            <w:r w:rsidRPr="005C2CEC">
              <w:rPr>
                <w:rFonts w:eastAsia="Times New Roman" w:cs="Times New Roman"/>
                <w:i/>
                <w:color w:val="000000"/>
                <w:sz w:val="18"/>
                <w:szCs w:val="20"/>
                <w:lang w:eastAsia="sk-SK"/>
              </w:rPr>
              <w:instrText xml:space="preserve"> REF _Ref45287927 \r \h  \* MERGEFORMAT </w:instrText>
            </w:r>
            <w:r w:rsidRPr="005C2CEC">
              <w:rPr>
                <w:rFonts w:eastAsia="Times New Roman" w:cs="Times New Roman"/>
                <w:i/>
                <w:color w:val="000000"/>
                <w:sz w:val="18"/>
                <w:szCs w:val="20"/>
                <w:lang w:eastAsia="sk-SK"/>
              </w:rPr>
            </w:r>
            <w:r w:rsidRPr="005C2CEC">
              <w:rPr>
                <w:rFonts w:eastAsia="Times New Roman" w:cs="Times New Roman"/>
                <w:i/>
                <w:color w:val="000000"/>
                <w:sz w:val="18"/>
                <w:szCs w:val="20"/>
                <w:lang w:eastAsia="sk-SK"/>
              </w:rPr>
              <w:fldChar w:fldCharType="separate"/>
            </w:r>
            <w:r w:rsidR="000D2AF7">
              <w:rPr>
                <w:rFonts w:eastAsia="Times New Roman" w:cs="Times New Roman"/>
                <w:i/>
                <w:color w:val="000000"/>
                <w:sz w:val="18"/>
                <w:szCs w:val="20"/>
                <w:lang w:eastAsia="sk-SK"/>
              </w:rPr>
              <w:t>4.2.1</w:t>
            </w:r>
            <w:r w:rsidRPr="005C2CEC">
              <w:rPr>
                <w:rFonts w:eastAsia="Times New Roman" w:cs="Times New Roman"/>
                <w:i/>
                <w:color w:val="000000"/>
                <w:sz w:val="18"/>
                <w:szCs w:val="20"/>
                <w:lang w:eastAsia="sk-SK"/>
              </w:rPr>
              <w:fldChar w:fldCharType="end"/>
            </w:r>
            <w:r w:rsidRPr="005C2CEC">
              <w:rPr>
                <w:rFonts w:eastAsia="Times New Roman" w:cs="Times New Roman"/>
                <w:i/>
                <w:color w:val="000000"/>
                <w:sz w:val="18"/>
                <w:szCs w:val="20"/>
                <w:lang w:eastAsia="sk-SK"/>
              </w:rPr>
              <w:t>)</w:t>
            </w:r>
          </w:p>
        </w:tc>
        <w:tc>
          <w:tcPr>
            <w:tcW w:w="1285" w:type="pct"/>
            <w:gridSpan w:val="2"/>
            <w:tcBorders>
              <w:top w:val="single" w:sz="4" w:space="0" w:color="auto"/>
              <w:left w:val="nil"/>
              <w:right w:val="nil"/>
            </w:tcBorders>
            <w:shd w:val="clear" w:color="auto" w:fill="DEEAF6" w:themeFill="accent1" w:themeFillTint="33"/>
            <w:vAlign w:val="center"/>
          </w:tcPr>
          <w:p w14:paraId="12E13305" w14:textId="4E9C2B56" w:rsidR="000218F2" w:rsidRPr="005C2CEC" w:rsidRDefault="000218F2" w:rsidP="006077A0">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 xml:space="preserve">Pri investičných projektoch s hodnotou nad </w:t>
            </w:r>
            <w:r w:rsidR="006077A0">
              <w:rPr>
                <w:rFonts w:eastAsia="Times New Roman" w:cs="Times New Roman"/>
                <w:color w:val="000000"/>
                <w:sz w:val="18"/>
                <w:szCs w:val="20"/>
                <w:lang w:eastAsia="sk-SK"/>
              </w:rPr>
              <w:t>ustanovenou</w:t>
            </w:r>
            <w:r w:rsidR="006077A0" w:rsidRPr="005C2CEC">
              <w:rPr>
                <w:rFonts w:eastAsia="Times New Roman" w:cs="Times New Roman"/>
                <w:color w:val="000000"/>
                <w:sz w:val="18"/>
                <w:szCs w:val="20"/>
                <w:lang w:eastAsia="sk-SK"/>
              </w:rPr>
              <w:t xml:space="preserve"> </w:t>
            </w:r>
            <w:r w:rsidRPr="005C2CEC">
              <w:rPr>
                <w:rFonts w:eastAsia="Times New Roman" w:cs="Times New Roman"/>
                <w:color w:val="000000"/>
                <w:sz w:val="18"/>
                <w:szCs w:val="20"/>
                <w:lang w:eastAsia="sk-SK"/>
              </w:rPr>
              <w:t>hranicou Investor vypracuje a zverejní štúdiu uskutočniteľnosti investície alebo koncesie vrátane ekonomického hodnotenia relevantných alternatív</w:t>
            </w:r>
          </w:p>
        </w:tc>
        <w:tc>
          <w:tcPr>
            <w:tcW w:w="1201" w:type="pct"/>
            <w:gridSpan w:val="2"/>
            <w:tcBorders>
              <w:top w:val="single" w:sz="4" w:space="0" w:color="auto"/>
              <w:left w:val="nil"/>
              <w:right w:val="nil"/>
            </w:tcBorders>
            <w:shd w:val="clear" w:color="auto" w:fill="DEEAF6" w:themeFill="accent1" w:themeFillTint="33"/>
            <w:vAlign w:val="center"/>
          </w:tcPr>
          <w:p w14:paraId="6F443C5A" w14:textId="7D91D89F" w:rsidR="000218F2" w:rsidRDefault="000218F2" w:rsidP="00DD5B04">
            <w:pPr>
              <w:keepLines/>
              <w:spacing w:afterLines="60" w:after="144" w:line="240" w:lineRule="auto"/>
              <w:ind w:left="113"/>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najneskôr 30 dní pred začiatkom prípravy investičného projektu a pri aktualizácii štúdie uskutočniteľnosti</w:t>
            </w:r>
          </w:p>
          <w:p w14:paraId="27CC3C3D" w14:textId="77777777" w:rsidR="003C709A" w:rsidRPr="003C709A" w:rsidRDefault="003C709A" w:rsidP="003C709A">
            <w:pPr>
              <w:keepLines/>
              <w:spacing w:afterLines="60" w:after="144" w:line="240" w:lineRule="auto"/>
              <w:ind w:left="113"/>
              <w:jc w:val="center"/>
              <w:rPr>
                <w:rFonts w:eastAsia="Times New Roman" w:cs="Times New Roman"/>
                <w:i/>
                <w:color w:val="000000"/>
                <w:sz w:val="18"/>
                <w:szCs w:val="20"/>
                <w:lang w:eastAsia="sk-SK"/>
              </w:rPr>
            </w:pPr>
            <w:r w:rsidRPr="003C709A">
              <w:rPr>
                <w:rFonts w:eastAsia="Times New Roman" w:cs="Times New Roman"/>
                <w:i/>
                <w:color w:val="000000"/>
                <w:sz w:val="18"/>
                <w:szCs w:val="20"/>
                <w:lang w:eastAsia="sk-SK"/>
              </w:rPr>
              <w:t>alebo</w:t>
            </w:r>
          </w:p>
          <w:p w14:paraId="646EFF16" w14:textId="612FA73B" w:rsidR="003C709A" w:rsidRPr="005C2CEC" w:rsidRDefault="003C709A" w:rsidP="003C709A">
            <w:pPr>
              <w:keepLines/>
              <w:spacing w:afterLines="60" w:after="144" w:line="240" w:lineRule="auto"/>
              <w:ind w:left="113"/>
              <w:jc w:val="center"/>
              <w:rPr>
                <w:rFonts w:eastAsia="Times New Roman" w:cs="Times New Roman"/>
                <w:color w:val="000000"/>
                <w:sz w:val="18"/>
                <w:szCs w:val="20"/>
                <w:lang w:eastAsia="sk-SK"/>
              </w:rPr>
            </w:pPr>
            <w:r>
              <w:rPr>
                <w:rFonts w:eastAsia="Times New Roman" w:cs="Times New Roman"/>
                <w:color w:val="000000"/>
                <w:sz w:val="18"/>
                <w:szCs w:val="20"/>
                <w:lang w:eastAsia="sk-SK"/>
              </w:rPr>
              <w:t>pred rokovaním vlády, na ktorom má byť investičný projekt schválený</w:t>
            </w:r>
          </w:p>
        </w:tc>
        <w:tc>
          <w:tcPr>
            <w:tcW w:w="676" w:type="pct"/>
            <w:gridSpan w:val="2"/>
            <w:tcBorders>
              <w:top w:val="single" w:sz="4" w:space="0" w:color="auto"/>
              <w:left w:val="nil"/>
              <w:right w:val="nil"/>
            </w:tcBorders>
            <w:shd w:val="clear" w:color="auto" w:fill="DEEAF6" w:themeFill="accent1" w:themeFillTint="33"/>
            <w:vAlign w:val="center"/>
          </w:tcPr>
          <w:p w14:paraId="113CD8A5" w14:textId="1414FE54" w:rsidR="000218F2" w:rsidRPr="005C2CEC" w:rsidRDefault="000218F2" w:rsidP="00721C02">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Pripraví Investor</w:t>
            </w:r>
          </w:p>
        </w:tc>
        <w:tc>
          <w:tcPr>
            <w:tcW w:w="862" w:type="pct"/>
            <w:gridSpan w:val="2"/>
            <w:tcBorders>
              <w:top w:val="single" w:sz="4" w:space="0" w:color="auto"/>
              <w:left w:val="nil"/>
              <w:right w:val="nil"/>
            </w:tcBorders>
            <w:shd w:val="clear" w:color="auto" w:fill="DEEAF6" w:themeFill="accent1" w:themeFillTint="33"/>
            <w:vAlign w:val="center"/>
          </w:tcPr>
          <w:p w14:paraId="664FE9C3" w14:textId="3846E428" w:rsidR="000218F2" w:rsidRPr="005C2CEC" w:rsidRDefault="000218F2" w:rsidP="00721C02">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Štúdia uskutočniteľnosti</w:t>
            </w:r>
          </w:p>
        </w:tc>
      </w:tr>
      <w:tr w:rsidR="0046630E" w:rsidRPr="005C2CEC" w14:paraId="20D1C2B4" w14:textId="77777777" w:rsidTr="00931FDD">
        <w:trPr>
          <w:cantSplit/>
          <w:trHeight w:val="1134"/>
        </w:trPr>
        <w:tc>
          <w:tcPr>
            <w:tcW w:w="226" w:type="pct"/>
            <w:vMerge/>
            <w:tcBorders>
              <w:left w:val="nil"/>
              <w:right w:val="dashed" w:sz="4" w:space="0" w:color="BFBFBF" w:themeColor="background1" w:themeShade="BF"/>
            </w:tcBorders>
            <w:textDirection w:val="btLr"/>
            <w:vAlign w:val="center"/>
          </w:tcPr>
          <w:p w14:paraId="6E85C1A3" w14:textId="77777777" w:rsidR="0046630E" w:rsidRPr="005C2CEC" w:rsidRDefault="0046630E" w:rsidP="00721C02">
            <w:pPr>
              <w:keepLines/>
              <w:spacing w:afterLines="60" w:after="144" w:line="240" w:lineRule="auto"/>
              <w:ind w:left="113" w:right="113"/>
              <w:jc w:val="left"/>
              <w:rPr>
                <w:rFonts w:eastAsia="Times New Roman" w:cs="Times New Roman"/>
                <w:color w:val="000000"/>
                <w:sz w:val="18"/>
                <w:szCs w:val="20"/>
                <w:lang w:eastAsia="sk-SK"/>
              </w:rPr>
            </w:pPr>
          </w:p>
        </w:tc>
        <w:tc>
          <w:tcPr>
            <w:tcW w:w="750" w:type="pct"/>
            <w:gridSpan w:val="4"/>
            <w:tcBorders>
              <w:top w:val="dashed" w:sz="4" w:space="0" w:color="BFBFBF" w:themeColor="background1" w:themeShade="BF"/>
              <w:left w:val="dashed" w:sz="4" w:space="0" w:color="BFBFBF" w:themeColor="background1" w:themeShade="BF"/>
              <w:bottom w:val="dashed" w:sz="4" w:space="0" w:color="BFBFBF" w:themeColor="background1" w:themeShade="BF"/>
              <w:right w:val="single" w:sz="4" w:space="0" w:color="auto"/>
            </w:tcBorders>
            <w:shd w:val="clear" w:color="auto" w:fill="DEEAF6" w:themeFill="accent1" w:themeFillTint="33"/>
            <w:vAlign w:val="center"/>
          </w:tcPr>
          <w:p w14:paraId="371833FB" w14:textId="67E9AD21" w:rsidR="0046630E" w:rsidRPr="005C2CEC" w:rsidRDefault="0046630E" w:rsidP="00FC6390">
            <w:pPr>
              <w:keepLines/>
              <w:spacing w:afterLines="30" w:after="72" w:line="240" w:lineRule="auto"/>
              <w:jc w:val="left"/>
              <w:rPr>
                <w:rFonts w:eastAsia="Times New Roman" w:cs="Times New Roman"/>
                <w:color w:val="000000"/>
                <w:sz w:val="18"/>
                <w:szCs w:val="20"/>
                <w:lang w:eastAsia="sk-SK"/>
              </w:rPr>
            </w:pPr>
            <w:r w:rsidRPr="005C2CEC">
              <w:rPr>
                <w:rFonts w:eastAsia="Times New Roman" w:cs="Times New Roman"/>
                <w:color w:val="000000"/>
                <w:sz w:val="18"/>
                <w:szCs w:val="20"/>
                <w:lang w:eastAsia="sk-SK"/>
              </w:rPr>
              <w:t>Ekonomické hodnotenie investičného projektu</w:t>
            </w:r>
          </w:p>
          <w:p w14:paraId="1C6282B4" w14:textId="4D72C707" w:rsidR="0046630E" w:rsidRPr="005C2CEC" w:rsidRDefault="0046630E" w:rsidP="00FC6390">
            <w:pPr>
              <w:keepLines/>
              <w:spacing w:afterLines="30" w:after="72" w:line="240" w:lineRule="auto"/>
              <w:jc w:val="left"/>
              <w:rPr>
                <w:rFonts w:eastAsia="Times New Roman" w:cs="Times New Roman"/>
                <w:i/>
                <w:color w:val="000000"/>
                <w:sz w:val="18"/>
                <w:szCs w:val="20"/>
                <w:lang w:eastAsia="sk-SK"/>
              </w:rPr>
            </w:pPr>
            <w:r w:rsidRPr="005C2CEC">
              <w:rPr>
                <w:rFonts w:eastAsia="Times New Roman" w:cs="Times New Roman"/>
                <w:i/>
                <w:color w:val="000000"/>
                <w:sz w:val="18"/>
                <w:szCs w:val="20"/>
                <w:lang w:eastAsia="sk-SK"/>
              </w:rPr>
              <w:t xml:space="preserve">(kapitola </w:t>
            </w:r>
            <w:r w:rsidRPr="005C2CEC">
              <w:rPr>
                <w:rFonts w:eastAsia="Times New Roman" w:cs="Times New Roman"/>
                <w:i/>
                <w:color w:val="000000"/>
                <w:sz w:val="18"/>
                <w:szCs w:val="20"/>
                <w:lang w:eastAsia="sk-SK"/>
              </w:rPr>
              <w:fldChar w:fldCharType="begin"/>
            </w:r>
            <w:r w:rsidRPr="005C2CEC">
              <w:rPr>
                <w:rFonts w:eastAsia="Times New Roman" w:cs="Times New Roman"/>
                <w:i/>
                <w:color w:val="000000"/>
                <w:sz w:val="18"/>
                <w:szCs w:val="20"/>
                <w:lang w:eastAsia="sk-SK"/>
              </w:rPr>
              <w:instrText xml:space="preserve"> REF _Ref45287944 \r \h  \* MERGEFORMAT </w:instrText>
            </w:r>
            <w:r w:rsidRPr="005C2CEC">
              <w:rPr>
                <w:rFonts w:eastAsia="Times New Roman" w:cs="Times New Roman"/>
                <w:i/>
                <w:color w:val="000000"/>
                <w:sz w:val="18"/>
                <w:szCs w:val="20"/>
                <w:lang w:eastAsia="sk-SK"/>
              </w:rPr>
            </w:r>
            <w:r w:rsidRPr="005C2CEC">
              <w:rPr>
                <w:rFonts w:eastAsia="Times New Roman" w:cs="Times New Roman"/>
                <w:i/>
                <w:color w:val="000000"/>
                <w:sz w:val="18"/>
                <w:szCs w:val="20"/>
                <w:lang w:eastAsia="sk-SK"/>
              </w:rPr>
              <w:fldChar w:fldCharType="separate"/>
            </w:r>
            <w:r w:rsidR="000D2AF7">
              <w:rPr>
                <w:rFonts w:eastAsia="Times New Roman" w:cs="Times New Roman"/>
                <w:i/>
                <w:color w:val="000000"/>
                <w:sz w:val="18"/>
                <w:szCs w:val="20"/>
                <w:lang w:eastAsia="sk-SK"/>
              </w:rPr>
              <w:t>4.2.4</w:t>
            </w:r>
            <w:r w:rsidRPr="005C2CEC">
              <w:rPr>
                <w:rFonts w:eastAsia="Times New Roman" w:cs="Times New Roman"/>
                <w:i/>
                <w:color w:val="000000"/>
                <w:sz w:val="18"/>
                <w:szCs w:val="20"/>
                <w:lang w:eastAsia="sk-SK"/>
              </w:rPr>
              <w:fldChar w:fldCharType="end"/>
            </w:r>
            <w:r w:rsidRPr="005C2CEC">
              <w:rPr>
                <w:rFonts w:eastAsia="Times New Roman" w:cs="Times New Roman"/>
                <w:i/>
                <w:color w:val="000000"/>
                <w:sz w:val="18"/>
                <w:szCs w:val="20"/>
                <w:lang w:eastAsia="sk-SK"/>
              </w:rPr>
              <w:t>)</w:t>
            </w:r>
          </w:p>
        </w:tc>
        <w:tc>
          <w:tcPr>
            <w:tcW w:w="1285" w:type="pct"/>
            <w:gridSpan w:val="2"/>
            <w:tcBorders>
              <w:top w:val="dashed" w:sz="4" w:space="0" w:color="BFBFBF" w:themeColor="background1" w:themeShade="BF"/>
              <w:left w:val="nil"/>
              <w:bottom w:val="dashed" w:sz="4" w:space="0" w:color="BFBFBF" w:themeColor="background1" w:themeShade="BF"/>
              <w:right w:val="nil"/>
            </w:tcBorders>
            <w:shd w:val="clear" w:color="auto" w:fill="DEEAF6" w:themeFill="accent1" w:themeFillTint="33"/>
            <w:vAlign w:val="center"/>
          </w:tcPr>
          <w:p w14:paraId="0A3CE9DE" w14:textId="12A72CC7" w:rsidR="0046630E" w:rsidRPr="005C2CEC" w:rsidRDefault="0046630E">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 xml:space="preserve">MF SR </w:t>
            </w:r>
            <w:r w:rsidR="00B460A5" w:rsidRPr="005C2CEC">
              <w:rPr>
                <w:rFonts w:eastAsia="Times New Roman" w:cs="Times New Roman"/>
                <w:color w:val="000000"/>
                <w:sz w:val="18"/>
                <w:szCs w:val="20"/>
                <w:lang w:eastAsia="sk-SK"/>
              </w:rPr>
              <w:t xml:space="preserve">zverejní </w:t>
            </w:r>
            <w:r w:rsidR="00131E4A" w:rsidRPr="005C2CEC">
              <w:rPr>
                <w:rFonts w:eastAsia="Times New Roman" w:cs="Times New Roman"/>
                <w:color w:val="000000"/>
                <w:sz w:val="18"/>
                <w:szCs w:val="20"/>
                <w:lang w:eastAsia="sk-SK"/>
              </w:rPr>
              <w:t>spoločensko-ekonomick</w:t>
            </w:r>
            <w:r w:rsidR="00B460A5" w:rsidRPr="005C2CEC">
              <w:rPr>
                <w:rFonts w:eastAsia="Times New Roman" w:cs="Times New Roman"/>
                <w:color w:val="000000"/>
                <w:sz w:val="18"/>
                <w:szCs w:val="20"/>
                <w:lang w:eastAsia="sk-SK"/>
              </w:rPr>
              <w:t xml:space="preserve">é hodnotenie </w:t>
            </w:r>
            <w:r w:rsidRPr="005C2CEC">
              <w:rPr>
                <w:rFonts w:eastAsia="Times New Roman" w:cs="Times New Roman"/>
                <w:color w:val="000000"/>
                <w:sz w:val="18"/>
                <w:szCs w:val="20"/>
                <w:lang w:eastAsia="sk-SK"/>
              </w:rPr>
              <w:t>plánovaného investičného projektu</w:t>
            </w:r>
          </w:p>
        </w:tc>
        <w:tc>
          <w:tcPr>
            <w:tcW w:w="1201" w:type="pct"/>
            <w:gridSpan w:val="2"/>
            <w:tcBorders>
              <w:top w:val="dashed" w:sz="4" w:space="0" w:color="BFBFBF" w:themeColor="background1" w:themeShade="BF"/>
              <w:left w:val="nil"/>
              <w:bottom w:val="dashed" w:sz="4" w:space="0" w:color="BFBFBF" w:themeColor="background1" w:themeShade="BF"/>
              <w:right w:val="nil"/>
            </w:tcBorders>
            <w:shd w:val="clear" w:color="auto" w:fill="DEEAF6" w:themeFill="accent1" w:themeFillTint="33"/>
            <w:vAlign w:val="center"/>
          </w:tcPr>
          <w:p w14:paraId="3D83287C" w14:textId="77777777" w:rsidR="0046630E" w:rsidRPr="005C2CEC" w:rsidRDefault="0046630E" w:rsidP="00DD5B04">
            <w:pPr>
              <w:keepLines/>
              <w:spacing w:afterLines="60" w:after="144" w:line="240" w:lineRule="auto"/>
              <w:ind w:left="113"/>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do 30 dní od predloženia všetkých vyžiadaných podkladov</w:t>
            </w:r>
          </w:p>
          <w:p w14:paraId="18A9B18E" w14:textId="77777777" w:rsidR="0046630E" w:rsidRPr="005C2CEC" w:rsidRDefault="0046630E" w:rsidP="00721C02">
            <w:pPr>
              <w:keepLines/>
              <w:spacing w:afterLines="60" w:after="144" w:line="240" w:lineRule="auto"/>
              <w:jc w:val="center"/>
              <w:rPr>
                <w:rFonts w:eastAsia="Times New Roman" w:cs="Times New Roman"/>
                <w:i/>
                <w:color w:val="000000"/>
                <w:sz w:val="18"/>
                <w:szCs w:val="20"/>
                <w:lang w:eastAsia="sk-SK"/>
              </w:rPr>
            </w:pPr>
            <w:r w:rsidRPr="005C2CEC">
              <w:rPr>
                <w:rFonts w:eastAsia="Times New Roman" w:cs="Times New Roman"/>
                <w:i/>
                <w:color w:val="000000"/>
                <w:sz w:val="18"/>
                <w:szCs w:val="20"/>
                <w:lang w:eastAsia="sk-SK"/>
              </w:rPr>
              <w:t>alebo</w:t>
            </w:r>
          </w:p>
          <w:p w14:paraId="5DE49F25" w14:textId="0D3CC452" w:rsidR="003C709A" w:rsidRPr="005C2CEC" w:rsidRDefault="0046630E" w:rsidP="003C709A">
            <w:pPr>
              <w:keepLines/>
              <w:spacing w:afterLines="60" w:after="144" w:line="240" w:lineRule="auto"/>
              <w:ind w:left="113"/>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do 30 dní od doručenia oznámenia o nedodaní vyžiadaných podkladov</w:t>
            </w:r>
          </w:p>
        </w:tc>
        <w:tc>
          <w:tcPr>
            <w:tcW w:w="676" w:type="pct"/>
            <w:gridSpan w:val="2"/>
            <w:tcBorders>
              <w:top w:val="dashed" w:sz="4" w:space="0" w:color="BFBFBF" w:themeColor="background1" w:themeShade="BF"/>
              <w:left w:val="nil"/>
              <w:bottom w:val="dashed" w:sz="4" w:space="0" w:color="BFBFBF" w:themeColor="background1" w:themeShade="BF"/>
              <w:right w:val="nil"/>
            </w:tcBorders>
            <w:shd w:val="clear" w:color="auto" w:fill="DEEAF6" w:themeFill="accent1" w:themeFillTint="33"/>
            <w:vAlign w:val="center"/>
          </w:tcPr>
          <w:p w14:paraId="26BA42CF" w14:textId="4360398C" w:rsidR="0046630E" w:rsidRPr="005C2CEC" w:rsidRDefault="00480DA4" w:rsidP="00721C02">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 xml:space="preserve">Pripraví </w:t>
            </w:r>
            <w:r w:rsidR="0046630E" w:rsidRPr="005C2CEC">
              <w:rPr>
                <w:rFonts w:eastAsia="Times New Roman" w:cs="Times New Roman"/>
                <w:color w:val="000000"/>
                <w:sz w:val="18"/>
                <w:szCs w:val="20"/>
                <w:lang w:eastAsia="sk-SK"/>
              </w:rPr>
              <w:t>MF SR</w:t>
            </w:r>
          </w:p>
        </w:tc>
        <w:tc>
          <w:tcPr>
            <w:tcW w:w="862" w:type="pct"/>
            <w:gridSpan w:val="2"/>
            <w:tcBorders>
              <w:top w:val="dashed" w:sz="4" w:space="0" w:color="BFBFBF" w:themeColor="background1" w:themeShade="BF"/>
              <w:left w:val="nil"/>
              <w:bottom w:val="dashed" w:sz="4" w:space="0" w:color="BFBFBF" w:themeColor="background1" w:themeShade="BF"/>
              <w:right w:val="nil"/>
            </w:tcBorders>
            <w:shd w:val="clear" w:color="auto" w:fill="DEEAF6" w:themeFill="accent1" w:themeFillTint="33"/>
            <w:vAlign w:val="center"/>
          </w:tcPr>
          <w:p w14:paraId="52A1B60C" w14:textId="5D8C8D4B" w:rsidR="0046630E" w:rsidRPr="005C2CEC" w:rsidRDefault="00B7407C" w:rsidP="00721C02">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Ekonomické hodnotenie</w:t>
            </w:r>
          </w:p>
        </w:tc>
      </w:tr>
      <w:tr w:rsidR="0046630E" w:rsidRPr="005C2CEC" w14:paraId="080B7F41" w14:textId="77777777" w:rsidTr="002B00E7">
        <w:trPr>
          <w:cantSplit/>
          <w:trHeight w:val="1134"/>
        </w:trPr>
        <w:tc>
          <w:tcPr>
            <w:tcW w:w="226" w:type="pct"/>
            <w:vMerge/>
            <w:tcBorders>
              <w:left w:val="nil"/>
              <w:right w:val="dashed" w:sz="4" w:space="0" w:color="BFBFBF" w:themeColor="background1" w:themeShade="BF"/>
            </w:tcBorders>
            <w:textDirection w:val="btLr"/>
            <w:vAlign w:val="center"/>
          </w:tcPr>
          <w:p w14:paraId="4AE407A1" w14:textId="4C1D37E3" w:rsidR="0046630E" w:rsidRPr="005C2CEC" w:rsidRDefault="0046630E" w:rsidP="00721C02">
            <w:pPr>
              <w:keepLines/>
              <w:spacing w:afterLines="60" w:after="144" w:line="240" w:lineRule="auto"/>
              <w:ind w:left="113" w:right="113"/>
              <w:jc w:val="left"/>
              <w:rPr>
                <w:rFonts w:eastAsia="Times New Roman" w:cs="Times New Roman"/>
                <w:color w:val="000000"/>
                <w:sz w:val="18"/>
                <w:szCs w:val="20"/>
                <w:lang w:eastAsia="sk-SK"/>
              </w:rPr>
            </w:pPr>
          </w:p>
        </w:tc>
        <w:tc>
          <w:tcPr>
            <w:tcW w:w="750" w:type="pct"/>
            <w:gridSpan w:val="4"/>
            <w:tcBorders>
              <w:top w:val="dashed" w:sz="4" w:space="0" w:color="BFBFBF" w:themeColor="background1" w:themeShade="BF"/>
              <w:left w:val="dashed" w:sz="4" w:space="0" w:color="BFBFBF" w:themeColor="background1" w:themeShade="BF"/>
              <w:bottom w:val="dashed" w:sz="4" w:space="0" w:color="BFBFBF" w:themeColor="background1" w:themeShade="BF"/>
              <w:right w:val="single" w:sz="4" w:space="0" w:color="auto"/>
            </w:tcBorders>
            <w:shd w:val="clear" w:color="auto" w:fill="DEEAF6" w:themeFill="accent1" w:themeFillTint="33"/>
            <w:vAlign w:val="center"/>
          </w:tcPr>
          <w:p w14:paraId="0C9FB3AE" w14:textId="044A7C53" w:rsidR="0046630E" w:rsidRPr="005C2CEC" w:rsidRDefault="0046630E" w:rsidP="00FC6390">
            <w:pPr>
              <w:keepLines/>
              <w:spacing w:afterLines="30" w:after="72" w:line="240" w:lineRule="auto"/>
              <w:jc w:val="left"/>
              <w:rPr>
                <w:rFonts w:eastAsia="Times New Roman" w:cs="Times New Roman"/>
                <w:color w:val="000000"/>
                <w:sz w:val="18"/>
                <w:szCs w:val="20"/>
                <w:lang w:eastAsia="sk-SK"/>
              </w:rPr>
            </w:pPr>
            <w:r w:rsidRPr="005C2CEC">
              <w:rPr>
                <w:rFonts w:eastAsia="Times New Roman" w:cs="Times New Roman"/>
                <w:color w:val="000000"/>
                <w:sz w:val="18"/>
                <w:szCs w:val="20"/>
                <w:lang w:eastAsia="sk-SK"/>
              </w:rPr>
              <w:t>Schválenie investičného projektu</w:t>
            </w:r>
          </w:p>
          <w:p w14:paraId="290589C0" w14:textId="1C264FC1" w:rsidR="0046630E" w:rsidRPr="005C2CEC" w:rsidRDefault="0046630E" w:rsidP="00FC6390">
            <w:pPr>
              <w:keepLines/>
              <w:spacing w:afterLines="30" w:after="72" w:line="240" w:lineRule="auto"/>
              <w:jc w:val="left"/>
              <w:rPr>
                <w:rFonts w:eastAsia="Times New Roman" w:cs="Times New Roman"/>
                <w:i/>
                <w:color w:val="000000"/>
                <w:sz w:val="18"/>
                <w:szCs w:val="20"/>
                <w:lang w:eastAsia="sk-SK"/>
              </w:rPr>
            </w:pPr>
            <w:r w:rsidRPr="005C2CEC">
              <w:rPr>
                <w:rFonts w:eastAsia="Times New Roman" w:cs="Times New Roman"/>
                <w:i/>
                <w:color w:val="000000"/>
                <w:sz w:val="18"/>
                <w:szCs w:val="20"/>
                <w:lang w:eastAsia="sk-SK"/>
              </w:rPr>
              <w:t xml:space="preserve">(kapitola </w:t>
            </w:r>
            <w:r w:rsidRPr="005C2CEC">
              <w:rPr>
                <w:rFonts w:eastAsia="Times New Roman" w:cs="Times New Roman"/>
                <w:i/>
                <w:color w:val="000000"/>
                <w:sz w:val="18"/>
                <w:szCs w:val="20"/>
                <w:lang w:eastAsia="sk-SK"/>
              </w:rPr>
              <w:fldChar w:fldCharType="begin"/>
            </w:r>
            <w:r w:rsidRPr="005C2CEC">
              <w:rPr>
                <w:rFonts w:eastAsia="Times New Roman" w:cs="Times New Roman"/>
                <w:i/>
                <w:color w:val="000000"/>
                <w:sz w:val="18"/>
                <w:szCs w:val="20"/>
                <w:lang w:eastAsia="sk-SK"/>
              </w:rPr>
              <w:instrText xml:space="preserve"> REF _Ref45287944 \r \h  \* MERGEFORMAT </w:instrText>
            </w:r>
            <w:r w:rsidRPr="005C2CEC">
              <w:rPr>
                <w:rFonts w:eastAsia="Times New Roman" w:cs="Times New Roman"/>
                <w:i/>
                <w:color w:val="000000"/>
                <w:sz w:val="18"/>
                <w:szCs w:val="20"/>
                <w:lang w:eastAsia="sk-SK"/>
              </w:rPr>
            </w:r>
            <w:r w:rsidRPr="005C2CEC">
              <w:rPr>
                <w:rFonts w:eastAsia="Times New Roman" w:cs="Times New Roman"/>
                <w:i/>
                <w:color w:val="000000"/>
                <w:sz w:val="18"/>
                <w:szCs w:val="20"/>
                <w:lang w:eastAsia="sk-SK"/>
              </w:rPr>
              <w:fldChar w:fldCharType="separate"/>
            </w:r>
            <w:r w:rsidR="000D2AF7">
              <w:rPr>
                <w:rFonts w:eastAsia="Times New Roman" w:cs="Times New Roman"/>
                <w:i/>
                <w:color w:val="000000"/>
                <w:sz w:val="18"/>
                <w:szCs w:val="20"/>
                <w:lang w:eastAsia="sk-SK"/>
              </w:rPr>
              <w:t>4.2.4</w:t>
            </w:r>
            <w:r w:rsidRPr="005C2CEC">
              <w:rPr>
                <w:rFonts w:eastAsia="Times New Roman" w:cs="Times New Roman"/>
                <w:i/>
                <w:color w:val="000000"/>
                <w:sz w:val="18"/>
                <w:szCs w:val="20"/>
                <w:lang w:eastAsia="sk-SK"/>
              </w:rPr>
              <w:fldChar w:fldCharType="end"/>
            </w:r>
            <w:r w:rsidRPr="005C2CEC">
              <w:rPr>
                <w:rFonts w:eastAsia="Times New Roman" w:cs="Times New Roman"/>
                <w:i/>
                <w:color w:val="000000"/>
                <w:sz w:val="18"/>
                <w:szCs w:val="20"/>
                <w:lang w:eastAsia="sk-SK"/>
              </w:rPr>
              <w:t>)</w:t>
            </w:r>
          </w:p>
        </w:tc>
        <w:tc>
          <w:tcPr>
            <w:tcW w:w="1285" w:type="pct"/>
            <w:gridSpan w:val="2"/>
            <w:tcBorders>
              <w:top w:val="dashed" w:sz="4" w:space="0" w:color="BFBFBF" w:themeColor="background1" w:themeShade="BF"/>
              <w:left w:val="nil"/>
              <w:bottom w:val="dashed" w:sz="4" w:space="0" w:color="BFBFBF" w:themeColor="background1" w:themeShade="BF"/>
              <w:right w:val="nil"/>
            </w:tcBorders>
            <w:shd w:val="clear" w:color="auto" w:fill="DEEAF6" w:themeFill="accent1" w:themeFillTint="33"/>
            <w:vAlign w:val="center"/>
          </w:tcPr>
          <w:p w14:paraId="15394EE9" w14:textId="77777777" w:rsidR="0046630E" w:rsidRDefault="0046630E">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Ministerstvo schvaľuje investičný projekt</w:t>
            </w:r>
            <w:r w:rsidR="00DD2454">
              <w:rPr>
                <w:rFonts w:eastAsia="Times New Roman" w:cs="Times New Roman"/>
                <w:color w:val="000000"/>
                <w:sz w:val="18"/>
                <w:szCs w:val="20"/>
                <w:lang w:eastAsia="sk-SK"/>
              </w:rPr>
              <w:t xml:space="preserve"> a</w:t>
            </w:r>
            <w:r w:rsidR="006B384A">
              <w:rPr>
                <w:rFonts w:eastAsia="Times New Roman" w:cs="Times New Roman"/>
                <w:color w:val="000000"/>
                <w:sz w:val="18"/>
                <w:szCs w:val="20"/>
                <w:lang w:eastAsia="sk-SK"/>
              </w:rPr>
              <w:t xml:space="preserve"> na realizáciu </w:t>
            </w:r>
            <w:r w:rsidR="00DD2454">
              <w:rPr>
                <w:rFonts w:eastAsia="Times New Roman" w:cs="Times New Roman"/>
                <w:color w:val="000000"/>
                <w:sz w:val="18"/>
                <w:szCs w:val="20"/>
                <w:lang w:eastAsia="sk-SK"/>
              </w:rPr>
              <w:t>vyberie najvhodnejšiu alternatívu analyzo</w:t>
            </w:r>
            <w:r w:rsidR="006B384A">
              <w:rPr>
                <w:rFonts w:eastAsia="Times New Roman" w:cs="Times New Roman"/>
                <w:color w:val="000000"/>
                <w:sz w:val="18"/>
                <w:szCs w:val="20"/>
                <w:lang w:eastAsia="sk-SK"/>
              </w:rPr>
              <w:t>vanú v štúdii uskutočniteľnosti</w:t>
            </w:r>
          </w:p>
          <w:p w14:paraId="5482518E" w14:textId="3FCF46B4" w:rsidR="00EC6821" w:rsidRPr="005C2CEC" w:rsidRDefault="006C37B8" w:rsidP="006C37B8">
            <w:pPr>
              <w:keepLines/>
              <w:spacing w:afterLines="60" w:after="144" w:line="240" w:lineRule="auto"/>
              <w:jc w:val="center"/>
              <w:rPr>
                <w:rFonts w:eastAsia="Times New Roman" w:cs="Times New Roman"/>
                <w:color w:val="000000"/>
                <w:sz w:val="18"/>
                <w:szCs w:val="20"/>
                <w:lang w:eastAsia="sk-SK"/>
              </w:rPr>
            </w:pPr>
            <w:r>
              <w:rPr>
                <w:rFonts w:eastAsia="Times New Roman" w:cs="Times New Roman"/>
                <w:color w:val="000000"/>
                <w:sz w:val="18"/>
                <w:szCs w:val="20"/>
                <w:lang w:eastAsia="sk-SK"/>
              </w:rPr>
              <w:t>Vyhlásenie koncesie</w:t>
            </w:r>
            <w:r w:rsidR="00EC6821">
              <w:rPr>
                <w:rFonts w:eastAsia="Times New Roman" w:cs="Times New Roman"/>
                <w:color w:val="000000"/>
                <w:sz w:val="18"/>
                <w:szCs w:val="20"/>
                <w:lang w:eastAsia="sk-SK"/>
              </w:rPr>
              <w:t xml:space="preserve"> schvaľuje vláda SR</w:t>
            </w:r>
          </w:p>
        </w:tc>
        <w:tc>
          <w:tcPr>
            <w:tcW w:w="1201" w:type="pct"/>
            <w:gridSpan w:val="2"/>
            <w:tcBorders>
              <w:top w:val="dashed" w:sz="4" w:space="0" w:color="BFBFBF" w:themeColor="background1" w:themeShade="BF"/>
              <w:left w:val="nil"/>
              <w:bottom w:val="dashed" w:sz="4" w:space="0" w:color="BFBFBF" w:themeColor="background1" w:themeShade="BF"/>
              <w:right w:val="nil"/>
            </w:tcBorders>
            <w:shd w:val="clear" w:color="auto" w:fill="DEEAF6" w:themeFill="accent1" w:themeFillTint="33"/>
            <w:vAlign w:val="center"/>
          </w:tcPr>
          <w:p w14:paraId="267FA761" w14:textId="680F8A98" w:rsidR="0046630E" w:rsidRPr="005C2CEC" w:rsidRDefault="0046630E" w:rsidP="00721C02">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w:t>
            </w:r>
          </w:p>
        </w:tc>
        <w:tc>
          <w:tcPr>
            <w:tcW w:w="676" w:type="pct"/>
            <w:gridSpan w:val="2"/>
            <w:tcBorders>
              <w:top w:val="dashed" w:sz="4" w:space="0" w:color="BFBFBF" w:themeColor="background1" w:themeShade="BF"/>
              <w:left w:val="nil"/>
              <w:bottom w:val="dashed" w:sz="4" w:space="0" w:color="BFBFBF" w:themeColor="background1" w:themeShade="BF"/>
              <w:right w:val="nil"/>
            </w:tcBorders>
            <w:shd w:val="clear" w:color="auto" w:fill="DEEAF6" w:themeFill="accent1" w:themeFillTint="33"/>
            <w:vAlign w:val="center"/>
          </w:tcPr>
          <w:p w14:paraId="0A44F235" w14:textId="6F34FD8D" w:rsidR="0046630E" w:rsidRPr="005C2CEC" w:rsidRDefault="0046630E" w:rsidP="00721C02">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Schvaľuje ministerstvo</w:t>
            </w:r>
          </w:p>
        </w:tc>
        <w:tc>
          <w:tcPr>
            <w:tcW w:w="862" w:type="pct"/>
            <w:gridSpan w:val="2"/>
            <w:tcBorders>
              <w:top w:val="dashed" w:sz="4" w:space="0" w:color="BFBFBF" w:themeColor="background1" w:themeShade="BF"/>
              <w:left w:val="nil"/>
              <w:bottom w:val="dashed" w:sz="4" w:space="0" w:color="BFBFBF" w:themeColor="background1" w:themeShade="BF"/>
              <w:right w:val="nil"/>
            </w:tcBorders>
            <w:shd w:val="clear" w:color="auto" w:fill="DEEAF6" w:themeFill="accent1" w:themeFillTint="33"/>
            <w:vAlign w:val="center"/>
          </w:tcPr>
          <w:p w14:paraId="120C970D" w14:textId="27B54183" w:rsidR="0046630E" w:rsidRPr="005C2CEC" w:rsidRDefault="0046630E" w:rsidP="00DD2454">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Výber najlepšej alternatívy</w:t>
            </w:r>
            <w:r w:rsidR="008E5F2E">
              <w:rPr>
                <w:rFonts w:eastAsia="Times New Roman" w:cs="Times New Roman"/>
                <w:color w:val="000000"/>
                <w:sz w:val="18"/>
                <w:szCs w:val="20"/>
                <w:lang w:eastAsia="sk-SK"/>
              </w:rPr>
              <w:t xml:space="preserve"> </w:t>
            </w:r>
            <w:r w:rsidR="00DD2454">
              <w:rPr>
                <w:rFonts w:eastAsia="Times New Roman" w:cs="Times New Roman"/>
                <w:color w:val="000000"/>
                <w:sz w:val="18"/>
                <w:szCs w:val="20"/>
                <w:lang w:eastAsia="sk-SK"/>
              </w:rPr>
              <w:t>zo štúdie</w:t>
            </w:r>
            <w:r w:rsidR="008E5F2E">
              <w:rPr>
                <w:rFonts w:eastAsia="Times New Roman" w:cs="Times New Roman"/>
                <w:color w:val="000000"/>
                <w:sz w:val="18"/>
                <w:szCs w:val="20"/>
                <w:lang w:eastAsia="sk-SK"/>
              </w:rPr>
              <w:t xml:space="preserve"> uskutočniteľnosti</w:t>
            </w:r>
            <w:r w:rsidRPr="005C2CEC">
              <w:rPr>
                <w:rFonts w:eastAsia="Times New Roman" w:cs="Times New Roman"/>
                <w:color w:val="000000"/>
                <w:sz w:val="18"/>
                <w:szCs w:val="20"/>
                <w:lang w:eastAsia="sk-SK"/>
              </w:rPr>
              <w:t xml:space="preserve"> na realizáciu investičného projektu</w:t>
            </w:r>
          </w:p>
        </w:tc>
      </w:tr>
      <w:tr w:rsidR="0046630E" w:rsidRPr="005C2CEC" w14:paraId="6E1AAA5A" w14:textId="77777777" w:rsidTr="00B61599">
        <w:trPr>
          <w:cantSplit/>
          <w:trHeight w:val="1134"/>
        </w:trPr>
        <w:tc>
          <w:tcPr>
            <w:tcW w:w="226" w:type="pct"/>
            <w:vMerge/>
            <w:tcBorders>
              <w:left w:val="nil"/>
              <w:right w:val="dashed" w:sz="4" w:space="0" w:color="BFBFBF" w:themeColor="background1" w:themeShade="BF"/>
            </w:tcBorders>
            <w:textDirection w:val="btLr"/>
            <w:vAlign w:val="center"/>
          </w:tcPr>
          <w:p w14:paraId="23CFF6C6" w14:textId="77777777" w:rsidR="0046630E" w:rsidRPr="005C2CEC" w:rsidRDefault="0046630E" w:rsidP="005D56BA">
            <w:pPr>
              <w:keepLines/>
              <w:spacing w:afterLines="60" w:after="144" w:line="240" w:lineRule="auto"/>
              <w:ind w:left="113" w:right="113"/>
              <w:jc w:val="left"/>
              <w:rPr>
                <w:rFonts w:eastAsia="Times New Roman" w:cs="Times New Roman"/>
                <w:color w:val="000000"/>
                <w:sz w:val="18"/>
                <w:szCs w:val="20"/>
                <w:lang w:eastAsia="sk-SK"/>
              </w:rPr>
            </w:pPr>
          </w:p>
        </w:tc>
        <w:tc>
          <w:tcPr>
            <w:tcW w:w="750" w:type="pct"/>
            <w:gridSpan w:val="4"/>
            <w:tcBorders>
              <w:top w:val="dashed" w:sz="4" w:space="0" w:color="BFBFBF" w:themeColor="background1" w:themeShade="BF"/>
              <w:left w:val="dashed" w:sz="4" w:space="0" w:color="BFBFBF" w:themeColor="background1" w:themeShade="BF"/>
              <w:bottom w:val="dashed" w:sz="4" w:space="0" w:color="BFBFBF" w:themeColor="background1" w:themeShade="BF"/>
              <w:right w:val="single" w:sz="4" w:space="0" w:color="auto"/>
            </w:tcBorders>
            <w:shd w:val="clear" w:color="auto" w:fill="DEEAF6" w:themeFill="accent1" w:themeFillTint="33"/>
            <w:vAlign w:val="center"/>
          </w:tcPr>
          <w:p w14:paraId="2FD343C0" w14:textId="2AC1766D" w:rsidR="0046630E" w:rsidRPr="005C2CEC" w:rsidRDefault="0046630E" w:rsidP="005D56BA">
            <w:pPr>
              <w:keepLines/>
              <w:spacing w:afterLines="30" w:after="72" w:line="240" w:lineRule="auto"/>
              <w:jc w:val="left"/>
              <w:rPr>
                <w:rFonts w:eastAsia="Times New Roman" w:cs="Times New Roman"/>
                <w:color w:val="000000"/>
                <w:sz w:val="18"/>
                <w:szCs w:val="20"/>
                <w:lang w:eastAsia="sk-SK"/>
              </w:rPr>
            </w:pPr>
            <w:r w:rsidRPr="005C2CEC">
              <w:rPr>
                <w:rFonts w:eastAsia="Times New Roman" w:cs="Times New Roman"/>
                <w:color w:val="000000"/>
                <w:sz w:val="18"/>
                <w:szCs w:val="20"/>
                <w:lang w:eastAsia="sk-SK"/>
              </w:rPr>
              <w:t>Ďalšia príprava investičného projektu</w:t>
            </w:r>
          </w:p>
          <w:p w14:paraId="7C3AD7DA" w14:textId="5E4B1F32" w:rsidR="0046630E" w:rsidRPr="005C2CEC" w:rsidRDefault="0046630E" w:rsidP="00DB2838">
            <w:pPr>
              <w:keepLines/>
              <w:spacing w:afterLines="30" w:after="72" w:line="240" w:lineRule="auto"/>
              <w:jc w:val="left"/>
              <w:rPr>
                <w:rFonts w:eastAsia="Times New Roman" w:cs="Times New Roman"/>
                <w:color w:val="000000"/>
                <w:sz w:val="18"/>
                <w:szCs w:val="20"/>
                <w:lang w:eastAsia="sk-SK"/>
              </w:rPr>
            </w:pPr>
            <w:r w:rsidRPr="005C2CEC">
              <w:rPr>
                <w:rFonts w:eastAsia="Times New Roman" w:cs="Times New Roman"/>
                <w:i/>
                <w:color w:val="000000"/>
                <w:sz w:val="18"/>
                <w:szCs w:val="20"/>
                <w:lang w:eastAsia="sk-SK"/>
              </w:rPr>
              <w:t>(kapitola</w:t>
            </w:r>
            <w:r w:rsidR="00DB2838">
              <w:rPr>
                <w:rFonts w:eastAsia="Times New Roman" w:cs="Times New Roman"/>
                <w:i/>
                <w:color w:val="000000"/>
                <w:sz w:val="18"/>
                <w:szCs w:val="20"/>
                <w:lang w:eastAsia="sk-SK"/>
              </w:rPr>
              <w:fldChar w:fldCharType="begin"/>
            </w:r>
            <w:r w:rsidR="00DB2838">
              <w:rPr>
                <w:rFonts w:eastAsia="Times New Roman" w:cs="Times New Roman"/>
                <w:i/>
                <w:color w:val="000000"/>
                <w:sz w:val="18"/>
                <w:szCs w:val="20"/>
                <w:lang w:eastAsia="sk-SK"/>
              </w:rPr>
              <w:instrText xml:space="preserve"> REF _Ref74842186 \r \h </w:instrText>
            </w:r>
            <w:r w:rsidR="00DB2838">
              <w:rPr>
                <w:rFonts w:eastAsia="Times New Roman" w:cs="Times New Roman"/>
                <w:i/>
                <w:color w:val="000000"/>
                <w:sz w:val="18"/>
                <w:szCs w:val="20"/>
                <w:lang w:eastAsia="sk-SK"/>
              </w:rPr>
            </w:r>
            <w:r w:rsidR="00DB2838">
              <w:rPr>
                <w:rFonts w:eastAsia="Times New Roman" w:cs="Times New Roman"/>
                <w:i/>
                <w:color w:val="000000"/>
                <w:sz w:val="18"/>
                <w:szCs w:val="20"/>
                <w:lang w:eastAsia="sk-SK"/>
              </w:rPr>
              <w:fldChar w:fldCharType="separate"/>
            </w:r>
            <w:r w:rsidR="000D2AF7">
              <w:rPr>
                <w:rFonts w:eastAsia="Times New Roman" w:cs="Times New Roman"/>
                <w:i/>
                <w:color w:val="000000"/>
                <w:sz w:val="18"/>
                <w:szCs w:val="20"/>
                <w:lang w:eastAsia="sk-SK"/>
              </w:rPr>
              <w:t>4.4</w:t>
            </w:r>
            <w:r w:rsidR="00DB2838">
              <w:rPr>
                <w:rFonts w:eastAsia="Times New Roman" w:cs="Times New Roman"/>
                <w:i/>
                <w:color w:val="000000"/>
                <w:sz w:val="18"/>
                <w:szCs w:val="20"/>
                <w:lang w:eastAsia="sk-SK"/>
              </w:rPr>
              <w:fldChar w:fldCharType="end"/>
            </w:r>
            <w:r w:rsidRPr="005C2CEC">
              <w:rPr>
                <w:rFonts w:eastAsia="Times New Roman" w:cs="Times New Roman"/>
                <w:i/>
                <w:color w:val="000000"/>
                <w:sz w:val="18"/>
                <w:szCs w:val="20"/>
                <w:lang w:eastAsia="sk-SK"/>
              </w:rPr>
              <w:t>)</w:t>
            </w:r>
          </w:p>
        </w:tc>
        <w:tc>
          <w:tcPr>
            <w:tcW w:w="1285" w:type="pct"/>
            <w:gridSpan w:val="2"/>
            <w:tcBorders>
              <w:top w:val="dashed" w:sz="4" w:space="0" w:color="BFBFBF" w:themeColor="background1" w:themeShade="BF"/>
              <w:left w:val="nil"/>
              <w:bottom w:val="dashed" w:sz="4" w:space="0" w:color="BFBFBF" w:themeColor="background1" w:themeShade="BF"/>
              <w:right w:val="nil"/>
            </w:tcBorders>
            <w:shd w:val="clear" w:color="auto" w:fill="DEEAF6" w:themeFill="accent1" w:themeFillTint="33"/>
            <w:vAlign w:val="center"/>
          </w:tcPr>
          <w:p w14:paraId="3773CB39" w14:textId="77777777" w:rsidR="0046630E" w:rsidRPr="005C2CEC" w:rsidRDefault="0046630E" w:rsidP="005D56BA">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Investor pripraví investičný projekt a projektovú dokumentáciu podľa špecifických požiadaviek danej oblasti</w:t>
            </w:r>
          </w:p>
          <w:p w14:paraId="7877C2CC" w14:textId="148D619D" w:rsidR="0046630E" w:rsidRPr="005C2CEC" w:rsidRDefault="0046630E" w:rsidP="00B7407C">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 xml:space="preserve">Investor predkladá projektovú dokumentáciu </w:t>
            </w:r>
            <w:r w:rsidR="00DF0CF2">
              <w:rPr>
                <w:rFonts w:eastAsia="Times New Roman" w:cs="Times New Roman"/>
                <w:color w:val="000000"/>
                <w:sz w:val="18"/>
                <w:szCs w:val="20"/>
                <w:lang w:eastAsia="sk-SK"/>
              </w:rPr>
              <w:t xml:space="preserve">na preskúmanie </w:t>
            </w:r>
            <w:r w:rsidRPr="005C2CEC">
              <w:rPr>
                <w:rFonts w:eastAsia="Times New Roman" w:cs="Times New Roman"/>
                <w:color w:val="000000"/>
                <w:sz w:val="18"/>
                <w:szCs w:val="20"/>
                <w:lang w:eastAsia="sk-SK"/>
              </w:rPr>
              <w:t xml:space="preserve">MF SR, ktoré </w:t>
            </w:r>
            <w:r w:rsidR="0030140F" w:rsidRPr="005C2CEC">
              <w:rPr>
                <w:rFonts w:eastAsia="Times New Roman" w:cs="Times New Roman"/>
                <w:color w:val="000000"/>
                <w:sz w:val="18"/>
                <w:szCs w:val="20"/>
                <w:lang w:eastAsia="sk-SK"/>
              </w:rPr>
              <w:t xml:space="preserve">môže aktualizovať </w:t>
            </w:r>
            <w:r w:rsidR="00B7407C" w:rsidRPr="005C2CEC">
              <w:rPr>
                <w:rFonts w:eastAsia="Times New Roman" w:cs="Times New Roman"/>
                <w:color w:val="000000"/>
                <w:sz w:val="18"/>
                <w:szCs w:val="20"/>
                <w:lang w:eastAsia="sk-SK"/>
              </w:rPr>
              <w:t>ekonomické hodnotenie</w:t>
            </w:r>
          </w:p>
        </w:tc>
        <w:tc>
          <w:tcPr>
            <w:tcW w:w="1201" w:type="pct"/>
            <w:gridSpan w:val="2"/>
            <w:tcBorders>
              <w:top w:val="dashed" w:sz="4" w:space="0" w:color="BFBFBF" w:themeColor="background1" w:themeShade="BF"/>
              <w:left w:val="nil"/>
              <w:bottom w:val="dashed" w:sz="4" w:space="0" w:color="BFBFBF" w:themeColor="background1" w:themeShade="BF"/>
              <w:right w:val="nil"/>
            </w:tcBorders>
            <w:shd w:val="clear" w:color="auto" w:fill="DEEAF6" w:themeFill="accent1" w:themeFillTint="33"/>
            <w:vAlign w:val="center"/>
          </w:tcPr>
          <w:p w14:paraId="25790F03" w14:textId="135AA612" w:rsidR="0046630E" w:rsidRPr="005C2CEC" w:rsidRDefault="0046630E" w:rsidP="005D56BA">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w:t>
            </w:r>
          </w:p>
        </w:tc>
        <w:tc>
          <w:tcPr>
            <w:tcW w:w="676" w:type="pct"/>
            <w:gridSpan w:val="2"/>
            <w:tcBorders>
              <w:top w:val="dashed" w:sz="4" w:space="0" w:color="BFBFBF" w:themeColor="background1" w:themeShade="BF"/>
              <w:left w:val="nil"/>
              <w:bottom w:val="dashed" w:sz="4" w:space="0" w:color="BFBFBF" w:themeColor="background1" w:themeShade="BF"/>
              <w:right w:val="nil"/>
            </w:tcBorders>
            <w:shd w:val="clear" w:color="auto" w:fill="DEEAF6" w:themeFill="accent1" w:themeFillTint="33"/>
            <w:vAlign w:val="center"/>
          </w:tcPr>
          <w:p w14:paraId="6709A3AC" w14:textId="77777777" w:rsidR="0046630E" w:rsidRDefault="00480DA4" w:rsidP="005D56BA">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 xml:space="preserve">Pripraví </w:t>
            </w:r>
            <w:r w:rsidR="0046630E" w:rsidRPr="005C2CEC">
              <w:rPr>
                <w:rFonts w:eastAsia="Times New Roman" w:cs="Times New Roman"/>
                <w:color w:val="000000"/>
                <w:sz w:val="18"/>
                <w:szCs w:val="20"/>
                <w:lang w:eastAsia="sk-SK"/>
              </w:rPr>
              <w:t>Investor</w:t>
            </w:r>
          </w:p>
          <w:p w14:paraId="3041A628" w14:textId="46531A08" w:rsidR="00DF0CF2" w:rsidRPr="005C2CEC" w:rsidRDefault="00DF0CF2" w:rsidP="005D56BA">
            <w:pPr>
              <w:keepLines/>
              <w:spacing w:afterLines="60" w:after="144" w:line="240" w:lineRule="auto"/>
              <w:jc w:val="center"/>
              <w:rPr>
                <w:rFonts w:eastAsia="Times New Roman" w:cs="Times New Roman"/>
                <w:color w:val="000000"/>
                <w:sz w:val="18"/>
                <w:szCs w:val="20"/>
                <w:lang w:eastAsia="sk-SK"/>
              </w:rPr>
            </w:pPr>
            <w:r>
              <w:rPr>
                <w:rFonts w:eastAsia="Times New Roman" w:cs="Times New Roman"/>
                <w:color w:val="000000"/>
                <w:sz w:val="18"/>
                <w:szCs w:val="20"/>
                <w:lang w:eastAsia="sk-SK"/>
              </w:rPr>
              <w:t>Preskúma MF SR</w:t>
            </w:r>
          </w:p>
        </w:tc>
        <w:tc>
          <w:tcPr>
            <w:tcW w:w="862" w:type="pct"/>
            <w:gridSpan w:val="2"/>
            <w:tcBorders>
              <w:top w:val="dashed" w:sz="4" w:space="0" w:color="BFBFBF" w:themeColor="background1" w:themeShade="BF"/>
              <w:left w:val="nil"/>
              <w:bottom w:val="dashed" w:sz="4" w:space="0" w:color="BFBFBF" w:themeColor="background1" w:themeShade="BF"/>
              <w:right w:val="nil"/>
            </w:tcBorders>
            <w:shd w:val="clear" w:color="auto" w:fill="DEEAF6" w:themeFill="accent1" w:themeFillTint="33"/>
            <w:vAlign w:val="center"/>
          </w:tcPr>
          <w:p w14:paraId="61900B9F" w14:textId="506FE833" w:rsidR="0046630E" w:rsidRPr="005C2CEC" w:rsidRDefault="0046630E" w:rsidP="005D56BA">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Projektová dokumentácia</w:t>
            </w:r>
            <w:r w:rsidR="009C2099">
              <w:rPr>
                <w:rFonts w:eastAsia="Times New Roman" w:cs="Times New Roman"/>
                <w:color w:val="000000"/>
                <w:sz w:val="18"/>
                <w:szCs w:val="20"/>
                <w:lang w:eastAsia="sk-SK"/>
              </w:rPr>
              <w:t xml:space="preserve"> z EIA, DÚR a DSP</w:t>
            </w:r>
          </w:p>
        </w:tc>
      </w:tr>
      <w:tr w:rsidR="005D56BA" w:rsidRPr="005C2CEC" w14:paraId="1169B711" w14:textId="77777777" w:rsidTr="005D56BA">
        <w:trPr>
          <w:trHeight w:val="326"/>
        </w:trPr>
        <w:tc>
          <w:tcPr>
            <w:tcW w:w="226" w:type="pct"/>
            <w:vMerge w:val="restart"/>
            <w:tcBorders>
              <w:top w:val="single" w:sz="4" w:space="0" w:color="000000"/>
              <w:left w:val="nil"/>
              <w:right w:val="dashed" w:sz="4" w:space="0" w:color="BFBFBF" w:themeColor="background1" w:themeShade="BF"/>
            </w:tcBorders>
            <w:shd w:val="clear" w:color="auto" w:fill="auto"/>
            <w:noWrap/>
            <w:textDirection w:val="btLr"/>
            <w:vAlign w:val="center"/>
            <w:hideMark/>
          </w:tcPr>
          <w:p w14:paraId="168FD0CA" w14:textId="02627C64" w:rsidR="005D56BA" w:rsidRPr="005C2CEC" w:rsidRDefault="0004000F" w:rsidP="005D56BA">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O</w:t>
            </w:r>
            <w:r w:rsidR="005D56BA" w:rsidRPr="005C2CEC">
              <w:rPr>
                <w:rFonts w:eastAsia="Times New Roman" w:cs="Times New Roman"/>
                <w:color w:val="000000"/>
                <w:sz w:val="18"/>
                <w:szCs w:val="20"/>
                <w:lang w:eastAsia="sk-SK"/>
              </w:rPr>
              <w:t>bstarávanie</w:t>
            </w:r>
            <w:r w:rsidR="00AB5B1A">
              <w:rPr>
                <w:rFonts w:eastAsia="Times New Roman" w:cs="Times New Roman"/>
                <w:color w:val="000000"/>
                <w:sz w:val="18"/>
                <w:szCs w:val="20"/>
                <w:lang w:eastAsia="sk-SK"/>
              </w:rPr>
              <w:t xml:space="preserve"> investičného projektu</w:t>
            </w:r>
          </w:p>
        </w:tc>
        <w:tc>
          <w:tcPr>
            <w:tcW w:w="750" w:type="pct"/>
            <w:gridSpan w:val="4"/>
            <w:tcBorders>
              <w:top w:val="single" w:sz="4" w:space="0" w:color="auto"/>
              <w:left w:val="dashed" w:sz="4" w:space="0" w:color="BFBFBF" w:themeColor="background1" w:themeShade="BF"/>
              <w:bottom w:val="dashed" w:sz="4" w:space="0" w:color="D0CECE" w:themeColor="background2" w:themeShade="E6"/>
              <w:right w:val="single" w:sz="4" w:space="0" w:color="auto"/>
            </w:tcBorders>
            <w:shd w:val="clear" w:color="auto" w:fill="auto"/>
            <w:noWrap/>
            <w:vAlign w:val="center"/>
            <w:hideMark/>
          </w:tcPr>
          <w:p w14:paraId="578EE2F2" w14:textId="39B6B911" w:rsidR="005D56BA" w:rsidRPr="005C2CEC" w:rsidRDefault="005D56BA" w:rsidP="005D56BA">
            <w:pPr>
              <w:keepLines/>
              <w:spacing w:afterLines="30" w:after="72" w:line="240" w:lineRule="auto"/>
              <w:jc w:val="left"/>
              <w:rPr>
                <w:rFonts w:eastAsia="Times New Roman" w:cs="Times New Roman"/>
                <w:color w:val="000000"/>
                <w:sz w:val="18"/>
                <w:szCs w:val="20"/>
                <w:lang w:eastAsia="sk-SK"/>
              </w:rPr>
            </w:pPr>
            <w:r w:rsidRPr="005C2CEC">
              <w:rPr>
                <w:rFonts w:eastAsia="Times New Roman" w:cs="Times New Roman"/>
                <w:color w:val="000000"/>
                <w:sz w:val="18"/>
                <w:szCs w:val="20"/>
                <w:lang w:eastAsia="sk-SK"/>
              </w:rPr>
              <w:t>Príprava obstarávania</w:t>
            </w:r>
          </w:p>
          <w:p w14:paraId="2649A602" w14:textId="1750BC2D" w:rsidR="005D56BA" w:rsidRPr="005C2CEC" w:rsidRDefault="005D56BA" w:rsidP="00480DA4">
            <w:pPr>
              <w:keepLines/>
              <w:spacing w:afterLines="30" w:after="72" w:line="240" w:lineRule="auto"/>
              <w:jc w:val="left"/>
              <w:rPr>
                <w:rFonts w:eastAsia="Times New Roman" w:cs="Times New Roman"/>
                <w:i/>
                <w:color w:val="000000"/>
                <w:sz w:val="18"/>
                <w:szCs w:val="20"/>
                <w:lang w:eastAsia="sk-SK"/>
              </w:rPr>
            </w:pPr>
            <w:r w:rsidRPr="005C2CEC">
              <w:rPr>
                <w:rFonts w:eastAsia="Times New Roman" w:cs="Times New Roman"/>
                <w:i/>
                <w:color w:val="000000"/>
                <w:sz w:val="18"/>
                <w:szCs w:val="20"/>
                <w:lang w:eastAsia="sk-SK"/>
              </w:rPr>
              <w:t xml:space="preserve">(kapitola </w:t>
            </w:r>
            <w:r w:rsidRPr="005C2CEC">
              <w:rPr>
                <w:rFonts w:eastAsia="Times New Roman" w:cs="Times New Roman"/>
                <w:i/>
                <w:color w:val="000000"/>
                <w:sz w:val="18"/>
                <w:szCs w:val="20"/>
                <w:lang w:eastAsia="sk-SK"/>
              </w:rPr>
              <w:fldChar w:fldCharType="begin"/>
            </w:r>
            <w:r w:rsidRPr="005C2CEC">
              <w:rPr>
                <w:rFonts w:eastAsia="Times New Roman" w:cs="Times New Roman"/>
                <w:i/>
                <w:color w:val="000000"/>
                <w:sz w:val="18"/>
                <w:szCs w:val="20"/>
                <w:lang w:eastAsia="sk-SK"/>
              </w:rPr>
              <w:instrText xml:space="preserve"> REF _Ref45287990 \r \h  \* MERGEFORMAT </w:instrText>
            </w:r>
            <w:r w:rsidRPr="005C2CEC">
              <w:rPr>
                <w:rFonts w:eastAsia="Times New Roman" w:cs="Times New Roman"/>
                <w:i/>
                <w:color w:val="000000"/>
                <w:sz w:val="18"/>
                <w:szCs w:val="20"/>
                <w:lang w:eastAsia="sk-SK"/>
              </w:rPr>
            </w:r>
            <w:r w:rsidRPr="005C2CEC">
              <w:rPr>
                <w:rFonts w:eastAsia="Times New Roman" w:cs="Times New Roman"/>
                <w:i/>
                <w:color w:val="000000"/>
                <w:sz w:val="18"/>
                <w:szCs w:val="20"/>
                <w:lang w:eastAsia="sk-SK"/>
              </w:rPr>
              <w:fldChar w:fldCharType="separate"/>
            </w:r>
            <w:r w:rsidR="000D2AF7">
              <w:rPr>
                <w:rFonts w:eastAsia="Times New Roman" w:cs="Times New Roman"/>
                <w:i/>
                <w:color w:val="000000"/>
                <w:sz w:val="18"/>
                <w:szCs w:val="20"/>
                <w:lang w:eastAsia="sk-SK"/>
              </w:rPr>
              <w:t>5.1</w:t>
            </w:r>
            <w:r w:rsidRPr="005C2CEC">
              <w:rPr>
                <w:rFonts w:eastAsia="Times New Roman" w:cs="Times New Roman"/>
                <w:i/>
                <w:color w:val="000000"/>
                <w:sz w:val="18"/>
                <w:szCs w:val="20"/>
                <w:lang w:eastAsia="sk-SK"/>
              </w:rPr>
              <w:fldChar w:fldCharType="end"/>
            </w:r>
            <w:r w:rsidRPr="005C2CEC">
              <w:rPr>
                <w:rFonts w:eastAsia="Times New Roman" w:cs="Times New Roman"/>
                <w:i/>
                <w:color w:val="000000"/>
                <w:sz w:val="18"/>
                <w:szCs w:val="20"/>
                <w:lang w:eastAsia="sk-SK"/>
              </w:rPr>
              <w:t>)</w:t>
            </w:r>
          </w:p>
        </w:tc>
        <w:tc>
          <w:tcPr>
            <w:tcW w:w="1285" w:type="pct"/>
            <w:gridSpan w:val="2"/>
            <w:tcBorders>
              <w:top w:val="single" w:sz="4" w:space="0" w:color="auto"/>
              <w:left w:val="nil"/>
              <w:bottom w:val="dashed" w:sz="4" w:space="0" w:color="D0CECE" w:themeColor="background2" w:themeShade="E6"/>
              <w:right w:val="nil"/>
            </w:tcBorders>
            <w:shd w:val="clear" w:color="auto" w:fill="auto"/>
            <w:vAlign w:val="center"/>
            <w:hideMark/>
          </w:tcPr>
          <w:p w14:paraId="5861BB7F" w14:textId="1C5A5AB0" w:rsidR="00DB2838" w:rsidRDefault="00DB2838" w:rsidP="00480DA4">
            <w:pPr>
              <w:keepLines/>
              <w:spacing w:afterLines="60" w:after="144" w:line="240" w:lineRule="auto"/>
              <w:jc w:val="center"/>
              <w:rPr>
                <w:rFonts w:eastAsia="Times New Roman" w:cs="Times New Roman"/>
                <w:color w:val="000000"/>
                <w:sz w:val="18"/>
                <w:szCs w:val="20"/>
                <w:lang w:eastAsia="sk-SK"/>
              </w:rPr>
            </w:pPr>
            <w:r>
              <w:rPr>
                <w:rFonts w:eastAsia="Times New Roman" w:cs="Times New Roman"/>
                <w:color w:val="000000"/>
                <w:sz w:val="18"/>
                <w:szCs w:val="20"/>
                <w:lang w:eastAsia="sk-SK"/>
              </w:rPr>
              <w:t>Ministerstvo predkladá informáciu o predpokladanom termíne vyhlásenia obstarávania v rámci investičného plánu</w:t>
            </w:r>
          </w:p>
          <w:p w14:paraId="72725F48" w14:textId="31E5CFCD" w:rsidR="005D56BA" w:rsidRPr="005C2CEC" w:rsidRDefault="00D05154" w:rsidP="00480DA4">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 xml:space="preserve">Investor pripraví podklady pre </w:t>
            </w:r>
            <w:r w:rsidR="0004000F" w:rsidRPr="005C2CEC">
              <w:rPr>
                <w:rFonts w:eastAsia="Times New Roman" w:cs="Times New Roman"/>
                <w:color w:val="000000"/>
                <w:sz w:val="18"/>
                <w:szCs w:val="20"/>
                <w:lang w:eastAsia="sk-SK"/>
              </w:rPr>
              <w:t>obstarávanie</w:t>
            </w:r>
          </w:p>
        </w:tc>
        <w:tc>
          <w:tcPr>
            <w:tcW w:w="1201" w:type="pct"/>
            <w:gridSpan w:val="2"/>
            <w:tcBorders>
              <w:top w:val="single" w:sz="4" w:space="0" w:color="auto"/>
              <w:left w:val="nil"/>
              <w:bottom w:val="dashed" w:sz="4" w:space="0" w:color="D0CECE" w:themeColor="background2" w:themeShade="E6"/>
              <w:right w:val="nil"/>
            </w:tcBorders>
            <w:shd w:val="clear" w:color="auto" w:fill="auto"/>
            <w:vAlign w:val="center"/>
          </w:tcPr>
          <w:p w14:paraId="28BE5514" w14:textId="0E20A8E6" w:rsidR="00607250" w:rsidRPr="005C2CEC" w:rsidRDefault="00DB2838" w:rsidP="001514FD">
            <w:pPr>
              <w:keepLines/>
              <w:spacing w:afterLines="60" w:after="144" w:line="240" w:lineRule="auto"/>
              <w:jc w:val="center"/>
              <w:rPr>
                <w:rFonts w:eastAsia="Times New Roman" w:cs="Times New Roman"/>
                <w:color w:val="000000"/>
                <w:sz w:val="18"/>
                <w:szCs w:val="20"/>
                <w:lang w:eastAsia="sk-SK"/>
              </w:rPr>
            </w:pPr>
            <w:r>
              <w:rPr>
                <w:rFonts w:eastAsia="Times New Roman" w:cs="Times New Roman"/>
                <w:color w:val="000000"/>
                <w:sz w:val="18"/>
                <w:szCs w:val="20"/>
                <w:lang w:eastAsia="sk-SK"/>
              </w:rPr>
              <w:t>každoročne do 3</w:t>
            </w:r>
            <w:r w:rsidR="001514FD">
              <w:rPr>
                <w:rFonts w:eastAsia="Times New Roman" w:cs="Times New Roman"/>
                <w:color w:val="000000"/>
                <w:sz w:val="18"/>
                <w:szCs w:val="20"/>
                <w:lang w:eastAsia="sk-SK"/>
              </w:rPr>
              <w:t>1</w:t>
            </w:r>
            <w:r>
              <w:rPr>
                <w:rFonts w:eastAsia="Times New Roman" w:cs="Times New Roman"/>
                <w:color w:val="000000"/>
                <w:sz w:val="18"/>
                <w:szCs w:val="20"/>
                <w:lang w:eastAsia="sk-SK"/>
              </w:rPr>
              <w:t>.</w:t>
            </w:r>
            <w:r w:rsidR="001514FD">
              <w:rPr>
                <w:rFonts w:eastAsia="Times New Roman" w:cs="Times New Roman"/>
                <w:color w:val="000000"/>
                <w:sz w:val="18"/>
                <w:szCs w:val="20"/>
                <w:lang w:eastAsia="sk-SK"/>
              </w:rPr>
              <w:t>5</w:t>
            </w:r>
            <w:r>
              <w:rPr>
                <w:rFonts w:eastAsia="Times New Roman" w:cs="Times New Roman"/>
                <w:color w:val="000000"/>
                <w:sz w:val="18"/>
                <w:szCs w:val="20"/>
                <w:lang w:eastAsia="sk-SK"/>
              </w:rPr>
              <w:t>.</w:t>
            </w:r>
          </w:p>
        </w:tc>
        <w:tc>
          <w:tcPr>
            <w:tcW w:w="676" w:type="pct"/>
            <w:gridSpan w:val="2"/>
            <w:tcBorders>
              <w:top w:val="single" w:sz="4" w:space="0" w:color="auto"/>
              <w:left w:val="nil"/>
              <w:bottom w:val="dashed" w:sz="4" w:space="0" w:color="D0CECE" w:themeColor="background2" w:themeShade="E6"/>
              <w:right w:val="nil"/>
            </w:tcBorders>
            <w:shd w:val="clear" w:color="auto" w:fill="auto"/>
            <w:vAlign w:val="center"/>
            <w:hideMark/>
          </w:tcPr>
          <w:p w14:paraId="448661DA" w14:textId="4B07B4BB" w:rsidR="005D56BA" w:rsidRDefault="00DB2838" w:rsidP="00DB2838">
            <w:pPr>
              <w:keepLines/>
              <w:spacing w:afterLines="60" w:after="144" w:line="240" w:lineRule="auto"/>
              <w:jc w:val="center"/>
              <w:rPr>
                <w:rFonts w:eastAsia="Times New Roman" w:cs="Times New Roman"/>
                <w:color w:val="000000"/>
                <w:sz w:val="18"/>
                <w:szCs w:val="20"/>
                <w:lang w:eastAsia="sk-SK"/>
              </w:rPr>
            </w:pPr>
            <w:r>
              <w:rPr>
                <w:rFonts w:eastAsia="Times New Roman" w:cs="Times New Roman"/>
                <w:color w:val="000000"/>
                <w:sz w:val="18"/>
                <w:szCs w:val="20"/>
                <w:lang w:eastAsia="sk-SK"/>
              </w:rPr>
              <w:t>Predloží</w:t>
            </w:r>
            <w:r w:rsidRPr="005C2CEC">
              <w:rPr>
                <w:rFonts w:eastAsia="Times New Roman" w:cs="Times New Roman"/>
                <w:color w:val="000000"/>
                <w:sz w:val="18"/>
                <w:szCs w:val="20"/>
                <w:lang w:eastAsia="sk-SK"/>
              </w:rPr>
              <w:t xml:space="preserve"> </w:t>
            </w:r>
            <w:r>
              <w:rPr>
                <w:rFonts w:eastAsia="Times New Roman" w:cs="Times New Roman"/>
                <w:color w:val="000000"/>
                <w:sz w:val="18"/>
                <w:szCs w:val="20"/>
                <w:lang w:eastAsia="sk-SK"/>
              </w:rPr>
              <w:t>ministerstvo</w:t>
            </w:r>
          </w:p>
          <w:p w14:paraId="28D2A6ED" w14:textId="626EBC44" w:rsidR="00DF0CF2" w:rsidRPr="005C2CEC" w:rsidRDefault="00DF0CF2" w:rsidP="00DB2838">
            <w:pPr>
              <w:keepLines/>
              <w:spacing w:afterLines="60" w:after="144" w:line="240" w:lineRule="auto"/>
              <w:jc w:val="center"/>
              <w:rPr>
                <w:rFonts w:eastAsia="Times New Roman" w:cs="Times New Roman"/>
                <w:color w:val="000000"/>
                <w:sz w:val="18"/>
                <w:szCs w:val="20"/>
                <w:lang w:eastAsia="sk-SK"/>
              </w:rPr>
            </w:pPr>
            <w:r>
              <w:rPr>
                <w:rFonts w:eastAsia="Times New Roman" w:cs="Times New Roman"/>
                <w:color w:val="000000"/>
                <w:sz w:val="18"/>
                <w:szCs w:val="20"/>
                <w:lang w:eastAsia="sk-SK"/>
              </w:rPr>
              <w:t>Pripraví Investor</w:t>
            </w:r>
          </w:p>
        </w:tc>
        <w:tc>
          <w:tcPr>
            <w:tcW w:w="862" w:type="pct"/>
            <w:gridSpan w:val="2"/>
            <w:tcBorders>
              <w:top w:val="single" w:sz="4" w:space="0" w:color="auto"/>
              <w:left w:val="nil"/>
              <w:bottom w:val="dashed" w:sz="4" w:space="0" w:color="D0CECE" w:themeColor="background2" w:themeShade="E6"/>
              <w:right w:val="nil"/>
            </w:tcBorders>
            <w:shd w:val="clear" w:color="auto" w:fill="auto"/>
            <w:vAlign w:val="center"/>
            <w:hideMark/>
          </w:tcPr>
          <w:p w14:paraId="56C1FC8A" w14:textId="01AD3ED5" w:rsidR="005D56BA" w:rsidRPr="005C2CEC" w:rsidRDefault="00DB2838" w:rsidP="005D56BA">
            <w:pPr>
              <w:keepLines/>
              <w:spacing w:afterLines="60" w:after="144" w:line="240" w:lineRule="auto"/>
              <w:jc w:val="center"/>
              <w:rPr>
                <w:rFonts w:eastAsia="Times New Roman" w:cs="Times New Roman"/>
                <w:color w:val="000000"/>
                <w:sz w:val="18"/>
                <w:szCs w:val="20"/>
                <w:lang w:eastAsia="sk-SK"/>
              </w:rPr>
            </w:pPr>
            <w:r>
              <w:rPr>
                <w:rFonts w:eastAsia="Times New Roman" w:cs="Times New Roman"/>
                <w:color w:val="000000"/>
                <w:sz w:val="18"/>
                <w:szCs w:val="20"/>
                <w:lang w:eastAsia="sk-SK"/>
              </w:rPr>
              <w:t>Informácia o termínoch obstarávania</w:t>
            </w:r>
          </w:p>
          <w:p w14:paraId="345A9097" w14:textId="5D678EF6" w:rsidR="005D56BA" w:rsidRPr="005C2CEC" w:rsidRDefault="005D56BA" w:rsidP="000A43AA">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Dokumentácia pre obstarávanie</w:t>
            </w:r>
          </w:p>
        </w:tc>
      </w:tr>
      <w:tr w:rsidR="00D05154" w:rsidRPr="005C2CEC" w14:paraId="7CBE224C" w14:textId="77777777" w:rsidTr="00BF1DCA">
        <w:trPr>
          <w:trHeight w:val="326"/>
        </w:trPr>
        <w:tc>
          <w:tcPr>
            <w:tcW w:w="226" w:type="pct"/>
            <w:vMerge/>
            <w:tcBorders>
              <w:left w:val="nil"/>
              <w:right w:val="dashed" w:sz="4" w:space="0" w:color="BFBFBF" w:themeColor="background1" w:themeShade="BF"/>
            </w:tcBorders>
            <w:shd w:val="clear" w:color="auto" w:fill="auto"/>
            <w:vAlign w:val="center"/>
            <w:hideMark/>
          </w:tcPr>
          <w:p w14:paraId="1FA0C239" w14:textId="23773F0C" w:rsidR="00D05154" w:rsidRPr="005C2CEC" w:rsidRDefault="00D05154" w:rsidP="00D05154">
            <w:pPr>
              <w:keepLines/>
              <w:spacing w:afterLines="60" w:after="144" w:line="240" w:lineRule="auto"/>
              <w:jc w:val="left"/>
              <w:rPr>
                <w:rFonts w:eastAsia="Times New Roman" w:cs="Times New Roman"/>
                <w:color w:val="000000"/>
                <w:sz w:val="18"/>
                <w:szCs w:val="20"/>
                <w:lang w:eastAsia="sk-SK"/>
              </w:rPr>
            </w:pPr>
          </w:p>
        </w:tc>
        <w:tc>
          <w:tcPr>
            <w:tcW w:w="750" w:type="pct"/>
            <w:gridSpan w:val="4"/>
            <w:tcBorders>
              <w:top w:val="dashed" w:sz="4" w:space="0" w:color="D0CECE" w:themeColor="background2" w:themeShade="E6"/>
              <w:left w:val="dashed" w:sz="4" w:space="0" w:color="BFBFBF" w:themeColor="background1" w:themeShade="BF"/>
              <w:bottom w:val="dashed" w:sz="4" w:space="0" w:color="D0CECE" w:themeColor="background2" w:themeShade="E6"/>
              <w:right w:val="single" w:sz="4" w:space="0" w:color="auto"/>
            </w:tcBorders>
            <w:shd w:val="clear" w:color="auto" w:fill="auto"/>
            <w:noWrap/>
            <w:vAlign w:val="center"/>
            <w:hideMark/>
          </w:tcPr>
          <w:p w14:paraId="3DD14E50" w14:textId="127AA48E" w:rsidR="0091717A" w:rsidRPr="005C2CEC" w:rsidRDefault="00963544" w:rsidP="00D05154">
            <w:pPr>
              <w:keepLines/>
              <w:spacing w:afterLines="30" w:after="72" w:line="240" w:lineRule="auto"/>
              <w:jc w:val="left"/>
              <w:rPr>
                <w:rFonts w:eastAsia="Times New Roman" w:cs="Times New Roman"/>
                <w:color w:val="000000"/>
                <w:sz w:val="18"/>
                <w:szCs w:val="20"/>
                <w:lang w:eastAsia="sk-SK"/>
              </w:rPr>
            </w:pPr>
            <w:r w:rsidRPr="005C2CEC">
              <w:rPr>
                <w:rFonts w:eastAsia="Times New Roman" w:cs="Times New Roman"/>
                <w:color w:val="000000"/>
                <w:sz w:val="18"/>
                <w:szCs w:val="20"/>
                <w:lang w:eastAsia="sk-SK"/>
              </w:rPr>
              <w:t>Hodnotenie investičného</w:t>
            </w:r>
            <w:r w:rsidR="000218F2" w:rsidRPr="005C2CEC">
              <w:rPr>
                <w:rFonts w:eastAsia="Times New Roman" w:cs="Times New Roman"/>
                <w:color w:val="000000"/>
                <w:sz w:val="18"/>
                <w:szCs w:val="20"/>
                <w:lang w:eastAsia="sk-SK"/>
              </w:rPr>
              <w:t xml:space="preserve"> </w:t>
            </w:r>
            <w:r w:rsidRPr="005C2CEC">
              <w:rPr>
                <w:rFonts w:eastAsia="Times New Roman" w:cs="Times New Roman"/>
                <w:color w:val="000000"/>
                <w:sz w:val="18"/>
                <w:szCs w:val="20"/>
                <w:lang w:eastAsia="sk-SK"/>
              </w:rPr>
              <w:t>projektu</w:t>
            </w:r>
            <w:r w:rsidR="000218F2" w:rsidRPr="005C2CEC">
              <w:rPr>
                <w:rFonts w:eastAsia="Times New Roman" w:cs="Times New Roman"/>
                <w:color w:val="000000"/>
                <w:sz w:val="18"/>
                <w:szCs w:val="20"/>
                <w:lang w:eastAsia="sk-SK"/>
              </w:rPr>
              <w:t xml:space="preserve"> pod </w:t>
            </w:r>
            <w:r w:rsidR="006077A0">
              <w:rPr>
                <w:rFonts w:eastAsia="Times New Roman" w:cs="Times New Roman"/>
                <w:color w:val="000000"/>
                <w:sz w:val="18"/>
                <w:szCs w:val="20"/>
                <w:lang w:eastAsia="sk-SK"/>
              </w:rPr>
              <w:t>ustanovenou</w:t>
            </w:r>
            <w:r w:rsidR="006077A0" w:rsidRPr="005C2CEC">
              <w:rPr>
                <w:rFonts w:eastAsia="Times New Roman" w:cs="Times New Roman"/>
                <w:color w:val="000000"/>
                <w:sz w:val="18"/>
                <w:szCs w:val="20"/>
                <w:lang w:eastAsia="sk-SK"/>
              </w:rPr>
              <w:t xml:space="preserve"> </w:t>
            </w:r>
            <w:r w:rsidR="000218F2" w:rsidRPr="005C2CEC">
              <w:rPr>
                <w:rFonts w:eastAsia="Times New Roman" w:cs="Times New Roman"/>
                <w:color w:val="000000"/>
                <w:sz w:val="18"/>
                <w:szCs w:val="20"/>
                <w:lang w:eastAsia="sk-SK"/>
              </w:rPr>
              <w:t xml:space="preserve">hranicou </w:t>
            </w:r>
          </w:p>
          <w:p w14:paraId="2BEB5002" w14:textId="00FE72A9" w:rsidR="00480DA4" w:rsidRPr="005C2CEC" w:rsidRDefault="00480DA4" w:rsidP="00D05154">
            <w:pPr>
              <w:keepLines/>
              <w:spacing w:afterLines="30" w:after="72" w:line="240" w:lineRule="auto"/>
              <w:jc w:val="left"/>
              <w:rPr>
                <w:rFonts w:eastAsia="Times New Roman" w:cs="Times New Roman"/>
                <w:i/>
                <w:color w:val="000000"/>
                <w:sz w:val="18"/>
                <w:szCs w:val="20"/>
                <w:lang w:eastAsia="sk-SK"/>
              </w:rPr>
            </w:pPr>
            <w:r w:rsidRPr="005C2CEC">
              <w:rPr>
                <w:rFonts w:eastAsia="Times New Roman" w:cs="Times New Roman"/>
                <w:i/>
                <w:color w:val="000000"/>
                <w:sz w:val="18"/>
                <w:szCs w:val="20"/>
                <w:lang w:eastAsia="sk-SK"/>
              </w:rPr>
              <w:t>(kapitola</w:t>
            </w:r>
            <w:r w:rsidR="00004863" w:rsidRPr="005C2CEC">
              <w:rPr>
                <w:rFonts w:eastAsia="Times New Roman" w:cs="Times New Roman"/>
                <w:i/>
                <w:color w:val="000000"/>
                <w:sz w:val="18"/>
                <w:szCs w:val="20"/>
                <w:lang w:eastAsia="sk-SK"/>
              </w:rPr>
              <w:t xml:space="preserve"> </w:t>
            </w:r>
            <w:r w:rsidR="00004863" w:rsidRPr="005C2CEC">
              <w:rPr>
                <w:rFonts w:eastAsia="Times New Roman" w:cs="Times New Roman"/>
                <w:i/>
                <w:color w:val="000000"/>
                <w:sz w:val="18"/>
                <w:szCs w:val="20"/>
                <w:lang w:eastAsia="sk-SK"/>
              </w:rPr>
              <w:fldChar w:fldCharType="begin"/>
            </w:r>
            <w:r w:rsidR="00004863" w:rsidRPr="005C2CEC">
              <w:rPr>
                <w:rFonts w:eastAsia="Times New Roman" w:cs="Times New Roman"/>
                <w:i/>
                <w:color w:val="000000"/>
                <w:sz w:val="18"/>
                <w:szCs w:val="20"/>
                <w:lang w:eastAsia="sk-SK"/>
              </w:rPr>
              <w:instrText xml:space="preserve"> REF _Ref56685496 \r \h </w:instrText>
            </w:r>
            <w:r w:rsidR="005C2CEC">
              <w:rPr>
                <w:rFonts w:eastAsia="Times New Roman" w:cs="Times New Roman"/>
                <w:i/>
                <w:color w:val="000000"/>
                <w:sz w:val="18"/>
                <w:szCs w:val="20"/>
                <w:lang w:eastAsia="sk-SK"/>
              </w:rPr>
              <w:instrText xml:space="preserve"> \* MERGEFORMAT </w:instrText>
            </w:r>
            <w:r w:rsidR="00004863" w:rsidRPr="005C2CEC">
              <w:rPr>
                <w:rFonts w:eastAsia="Times New Roman" w:cs="Times New Roman"/>
                <w:i/>
                <w:color w:val="000000"/>
                <w:sz w:val="18"/>
                <w:szCs w:val="20"/>
                <w:lang w:eastAsia="sk-SK"/>
              </w:rPr>
            </w:r>
            <w:r w:rsidR="00004863" w:rsidRPr="005C2CEC">
              <w:rPr>
                <w:rFonts w:eastAsia="Times New Roman" w:cs="Times New Roman"/>
                <w:i/>
                <w:color w:val="000000"/>
                <w:sz w:val="18"/>
                <w:szCs w:val="20"/>
                <w:lang w:eastAsia="sk-SK"/>
              </w:rPr>
              <w:fldChar w:fldCharType="separate"/>
            </w:r>
            <w:r w:rsidR="000D2AF7">
              <w:rPr>
                <w:rFonts w:eastAsia="Times New Roman" w:cs="Times New Roman"/>
                <w:i/>
                <w:color w:val="000000"/>
                <w:sz w:val="18"/>
                <w:szCs w:val="20"/>
                <w:lang w:eastAsia="sk-SK"/>
              </w:rPr>
              <w:t>5.2</w:t>
            </w:r>
            <w:r w:rsidR="00004863" w:rsidRPr="005C2CEC">
              <w:rPr>
                <w:rFonts w:eastAsia="Times New Roman" w:cs="Times New Roman"/>
                <w:i/>
                <w:color w:val="000000"/>
                <w:sz w:val="18"/>
                <w:szCs w:val="20"/>
                <w:lang w:eastAsia="sk-SK"/>
              </w:rPr>
              <w:fldChar w:fldCharType="end"/>
            </w:r>
            <w:r w:rsidR="00004863" w:rsidRPr="005C2CEC">
              <w:rPr>
                <w:rFonts w:eastAsia="Times New Roman" w:cs="Times New Roman"/>
                <w:i/>
                <w:color w:val="000000"/>
                <w:sz w:val="18"/>
                <w:szCs w:val="20"/>
                <w:lang w:eastAsia="sk-SK"/>
              </w:rPr>
              <w:t>)</w:t>
            </w:r>
          </w:p>
          <w:p w14:paraId="7547BD46" w14:textId="7BE76EC5" w:rsidR="00D05154" w:rsidRPr="005C2CEC" w:rsidRDefault="0091717A" w:rsidP="000B5353">
            <w:pPr>
              <w:keepLines/>
              <w:spacing w:afterLines="30" w:after="72" w:line="240" w:lineRule="auto"/>
              <w:jc w:val="left"/>
              <w:rPr>
                <w:rFonts w:eastAsia="Times New Roman" w:cs="Times New Roman"/>
                <w:i/>
                <w:color w:val="000000"/>
                <w:sz w:val="18"/>
                <w:szCs w:val="20"/>
                <w:lang w:eastAsia="sk-SK"/>
              </w:rPr>
            </w:pPr>
            <w:r w:rsidRPr="005C2CEC" w:rsidDel="0091717A">
              <w:rPr>
                <w:rFonts w:eastAsia="Times New Roman" w:cs="Times New Roman"/>
                <w:color w:val="000000"/>
                <w:sz w:val="18"/>
                <w:szCs w:val="20"/>
                <w:lang w:eastAsia="sk-SK"/>
              </w:rPr>
              <w:t xml:space="preserve"> </w:t>
            </w:r>
          </w:p>
        </w:tc>
        <w:tc>
          <w:tcPr>
            <w:tcW w:w="1285" w:type="pct"/>
            <w:gridSpan w:val="2"/>
            <w:tcBorders>
              <w:top w:val="dashed" w:sz="4" w:space="0" w:color="D0CECE" w:themeColor="background2" w:themeShade="E6"/>
              <w:left w:val="nil"/>
              <w:bottom w:val="dashed" w:sz="4" w:space="0" w:color="D0CECE" w:themeColor="background2" w:themeShade="E6"/>
              <w:right w:val="nil"/>
            </w:tcBorders>
            <w:shd w:val="clear" w:color="auto" w:fill="auto"/>
            <w:vAlign w:val="center"/>
            <w:hideMark/>
          </w:tcPr>
          <w:p w14:paraId="022096CC" w14:textId="6EC83F49" w:rsidR="0091717A" w:rsidRDefault="0091717A" w:rsidP="0091717A">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 xml:space="preserve">Investor </w:t>
            </w:r>
            <w:r w:rsidR="002506A8" w:rsidRPr="005C2CEC">
              <w:rPr>
                <w:rFonts w:eastAsia="Times New Roman" w:cs="Times New Roman"/>
                <w:color w:val="000000"/>
                <w:sz w:val="18"/>
                <w:szCs w:val="20"/>
                <w:lang w:eastAsia="sk-SK"/>
              </w:rPr>
              <w:t>poskytne MF SR</w:t>
            </w:r>
            <w:r w:rsidR="00591D2F" w:rsidRPr="005C2CEC">
              <w:rPr>
                <w:rFonts w:eastAsia="Times New Roman" w:cs="Times New Roman"/>
                <w:color w:val="000000"/>
                <w:sz w:val="18"/>
                <w:szCs w:val="20"/>
                <w:lang w:eastAsia="sk-SK"/>
              </w:rPr>
              <w:t xml:space="preserve"> za účelom ekonomického hodnotenia </w:t>
            </w:r>
            <w:r w:rsidR="00480DA4" w:rsidRPr="005C2CEC">
              <w:rPr>
                <w:rFonts w:eastAsia="Times New Roman" w:cs="Times New Roman"/>
                <w:color w:val="000000"/>
                <w:sz w:val="18"/>
                <w:szCs w:val="20"/>
                <w:lang w:eastAsia="sk-SK"/>
              </w:rPr>
              <w:t>aktualizovaný investičný zámer, detailný rozpočet</w:t>
            </w:r>
            <w:r w:rsidR="004528DC">
              <w:rPr>
                <w:rFonts w:eastAsia="Times New Roman" w:cs="Times New Roman"/>
                <w:color w:val="000000"/>
                <w:sz w:val="18"/>
                <w:szCs w:val="20"/>
                <w:lang w:eastAsia="sk-SK"/>
              </w:rPr>
              <w:t>, PHZ</w:t>
            </w:r>
            <w:r w:rsidR="00480DA4" w:rsidRPr="005C2CEC">
              <w:rPr>
                <w:rFonts w:eastAsia="Times New Roman" w:cs="Times New Roman"/>
                <w:color w:val="000000"/>
                <w:sz w:val="18"/>
                <w:szCs w:val="20"/>
                <w:lang w:eastAsia="sk-SK"/>
              </w:rPr>
              <w:t xml:space="preserve"> a </w:t>
            </w:r>
            <w:r w:rsidR="004528DC">
              <w:rPr>
                <w:rFonts w:eastAsia="Times New Roman" w:cs="Times New Roman"/>
                <w:color w:val="000000"/>
                <w:sz w:val="18"/>
                <w:szCs w:val="20"/>
                <w:lang w:eastAsia="sk-SK"/>
              </w:rPr>
              <w:t>podklady k použitým</w:t>
            </w:r>
            <w:r w:rsidR="004528DC" w:rsidRPr="004528DC">
              <w:rPr>
                <w:rFonts w:eastAsia="Times New Roman" w:cs="Times New Roman"/>
                <w:color w:val="000000"/>
                <w:sz w:val="18"/>
                <w:szCs w:val="20"/>
                <w:lang w:eastAsia="sk-SK"/>
              </w:rPr>
              <w:t xml:space="preserve"> kvalitatívnym kritériám</w:t>
            </w:r>
          </w:p>
          <w:p w14:paraId="1CB36D0B" w14:textId="4B052181" w:rsidR="006B384A" w:rsidRPr="005C2CEC" w:rsidRDefault="006B384A" w:rsidP="0091717A">
            <w:pPr>
              <w:keepLines/>
              <w:spacing w:afterLines="60" w:after="144" w:line="240" w:lineRule="auto"/>
              <w:jc w:val="center"/>
              <w:rPr>
                <w:rFonts w:eastAsia="Times New Roman" w:cs="Times New Roman"/>
                <w:color w:val="000000"/>
                <w:sz w:val="18"/>
                <w:szCs w:val="20"/>
                <w:lang w:eastAsia="sk-SK"/>
              </w:rPr>
            </w:pPr>
            <w:r w:rsidRPr="006B384A">
              <w:rPr>
                <w:rFonts w:eastAsia="Times New Roman" w:cs="Times New Roman"/>
                <w:color w:val="000000"/>
                <w:sz w:val="18"/>
                <w:szCs w:val="20"/>
                <w:lang w:eastAsia="sk-SK"/>
              </w:rPr>
              <w:t xml:space="preserve">Pre koncesie s celkovou predpokladanou hodnotou rovnou alebo vyššou, ako je hodnota ustanovená osobitným predpisom a zároveň nižšou ako je </w:t>
            </w:r>
            <w:r>
              <w:rPr>
                <w:rFonts w:eastAsia="Times New Roman" w:cs="Times New Roman"/>
                <w:color w:val="000000"/>
                <w:sz w:val="18"/>
                <w:szCs w:val="20"/>
                <w:lang w:eastAsia="sk-SK"/>
              </w:rPr>
              <w:t>ustanovená</w:t>
            </w:r>
            <w:r w:rsidRPr="006B384A">
              <w:rPr>
                <w:rFonts w:eastAsia="Times New Roman" w:cs="Times New Roman"/>
                <w:color w:val="000000"/>
                <w:sz w:val="18"/>
                <w:szCs w:val="20"/>
                <w:lang w:eastAsia="sk-SK"/>
              </w:rPr>
              <w:t xml:space="preserve"> </w:t>
            </w:r>
            <w:r>
              <w:rPr>
                <w:rFonts w:eastAsia="Times New Roman" w:cs="Times New Roman"/>
                <w:color w:val="000000"/>
                <w:sz w:val="18"/>
                <w:szCs w:val="20"/>
                <w:lang w:eastAsia="sk-SK"/>
              </w:rPr>
              <w:t>hranica</w:t>
            </w:r>
            <w:r w:rsidRPr="006B384A">
              <w:rPr>
                <w:rFonts w:eastAsia="Times New Roman" w:cs="Times New Roman"/>
                <w:color w:val="000000"/>
                <w:sz w:val="18"/>
                <w:szCs w:val="20"/>
                <w:lang w:eastAsia="sk-SK"/>
              </w:rPr>
              <w:t xml:space="preserve"> Investor poskytne MF SR </w:t>
            </w:r>
            <w:r>
              <w:rPr>
                <w:rFonts w:eastAsia="Times New Roman" w:cs="Times New Roman"/>
                <w:color w:val="000000"/>
                <w:sz w:val="18"/>
                <w:szCs w:val="20"/>
                <w:lang w:eastAsia="sk-SK"/>
              </w:rPr>
              <w:t>š</w:t>
            </w:r>
            <w:r w:rsidRPr="006B384A">
              <w:rPr>
                <w:rFonts w:eastAsia="Times New Roman" w:cs="Times New Roman"/>
                <w:color w:val="000000"/>
                <w:sz w:val="18"/>
                <w:szCs w:val="20"/>
                <w:lang w:eastAsia="sk-SK"/>
              </w:rPr>
              <w:t xml:space="preserve">túdiu uskutočniteľnosti vypracovanú v súlade s kapitolou </w:t>
            </w:r>
            <w:r w:rsidRPr="00671AB7">
              <w:rPr>
                <w:rFonts w:eastAsia="Times New Roman" w:cs="Times New Roman"/>
                <w:color w:val="000000"/>
                <w:sz w:val="18"/>
                <w:szCs w:val="20"/>
                <w:lang w:eastAsia="sk-SK"/>
              </w:rPr>
              <w:fldChar w:fldCharType="begin"/>
            </w:r>
            <w:r w:rsidRPr="00671AB7">
              <w:rPr>
                <w:rFonts w:eastAsia="Times New Roman" w:cs="Times New Roman"/>
                <w:color w:val="000000"/>
                <w:sz w:val="18"/>
                <w:szCs w:val="20"/>
                <w:lang w:eastAsia="sk-SK"/>
              </w:rPr>
              <w:instrText xml:space="preserve"> REF _Ref45287927 \r \h  \* MERGEFORMAT </w:instrText>
            </w:r>
            <w:r w:rsidRPr="00671AB7">
              <w:rPr>
                <w:rFonts w:eastAsia="Times New Roman" w:cs="Times New Roman"/>
                <w:color w:val="000000"/>
                <w:sz w:val="18"/>
                <w:szCs w:val="20"/>
                <w:lang w:eastAsia="sk-SK"/>
              </w:rPr>
            </w:r>
            <w:r w:rsidRPr="00671AB7">
              <w:rPr>
                <w:rFonts w:eastAsia="Times New Roman" w:cs="Times New Roman"/>
                <w:color w:val="000000"/>
                <w:sz w:val="18"/>
                <w:szCs w:val="20"/>
                <w:lang w:eastAsia="sk-SK"/>
              </w:rPr>
              <w:fldChar w:fldCharType="separate"/>
            </w:r>
            <w:r w:rsidR="000D2AF7">
              <w:rPr>
                <w:rFonts w:eastAsia="Times New Roman" w:cs="Times New Roman"/>
                <w:color w:val="000000"/>
                <w:sz w:val="18"/>
                <w:szCs w:val="20"/>
                <w:lang w:eastAsia="sk-SK"/>
              </w:rPr>
              <w:t>4.2.1</w:t>
            </w:r>
            <w:r w:rsidRPr="00671AB7">
              <w:rPr>
                <w:rFonts w:eastAsia="Times New Roman" w:cs="Times New Roman"/>
                <w:color w:val="000000"/>
                <w:sz w:val="18"/>
                <w:szCs w:val="20"/>
                <w:lang w:eastAsia="sk-SK"/>
              </w:rPr>
              <w:fldChar w:fldCharType="end"/>
            </w:r>
          </w:p>
          <w:p w14:paraId="5C352BF3" w14:textId="71283961" w:rsidR="00D05154" w:rsidRPr="005C2CEC" w:rsidRDefault="0091717A" w:rsidP="002506A8">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lastRenderedPageBreak/>
              <w:t xml:space="preserve">MF SR </w:t>
            </w:r>
            <w:r w:rsidR="002506A8" w:rsidRPr="005C2CEC">
              <w:rPr>
                <w:rFonts w:eastAsia="Times New Roman" w:cs="Times New Roman"/>
                <w:color w:val="000000"/>
                <w:sz w:val="18"/>
                <w:szCs w:val="20"/>
                <w:lang w:eastAsia="sk-SK"/>
              </w:rPr>
              <w:t>pripraví</w:t>
            </w:r>
            <w:r w:rsidRPr="005C2CEC">
              <w:rPr>
                <w:rFonts w:eastAsia="Times New Roman" w:cs="Times New Roman"/>
                <w:color w:val="000000"/>
                <w:sz w:val="18"/>
                <w:szCs w:val="20"/>
                <w:lang w:eastAsia="sk-SK"/>
              </w:rPr>
              <w:t xml:space="preserve"> </w:t>
            </w:r>
            <w:r w:rsidR="00480DA4" w:rsidRPr="005C2CEC">
              <w:rPr>
                <w:rFonts w:eastAsia="Times New Roman" w:cs="Times New Roman"/>
                <w:color w:val="000000"/>
                <w:sz w:val="18"/>
                <w:szCs w:val="20"/>
                <w:lang w:eastAsia="sk-SK"/>
              </w:rPr>
              <w:t xml:space="preserve">ekonomické </w:t>
            </w:r>
            <w:r w:rsidRPr="005C2CEC">
              <w:rPr>
                <w:rFonts w:eastAsia="Times New Roman" w:cs="Times New Roman"/>
                <w:color w:val="000000"/>
                <w:sz w:val="18"/>
                <w:szCs w:val="20"/>
                <w:lang w:eastAsia="sk-SK"/>
              </w:rPr>
              <w:t>hodnotenie</w:t>
            </w:r>
          </w:p>
        </w:tc>
        <w:tc>
          <w:tcPr>
            <w:tcW w:w="1201" w:type="pct"/>
            <w:gridSpan w:val="2"/>
            <w:tcBorders>
              <w:top w:val="dashed" w:sz="4" w:space="0" w:color="D0CECE" w:themeColor="background2" w:themeShade="E6"/>
              <w:left w:val="nil"/>
              <w:bottom w:val="dashed" w:sz="4" w:space="0" w:color="D0CECE" w:themeColor="background2" w:themeShade="E6"/>
              <w:right w:val="nil"/>
            </w:tcBorders>
            <w:shd w:val="clear" w:color="auto" w:fill="auto"/>
            <w:vAlign w:val="center"/>
            <w:hideMark/>
          </w:tcPr>
          <w:p w14:paraId="0F031C41" w14:textId="3AC94D68" w:rsidR="000218F2" w:rsidRPr="005C2CEC" w:rsidRDefault="000218F2" w:rsidP="00963544">
            <w:pPr>
              <w:keepLines/>
              <w:spacing w:afterLines="60" w:after="144" w:line="240" w:lineRule="auto"/>
              <w:ind w:left="113"/>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lastRenderedPageBreak/>
              <w:t xml:space="preserve">Investor </w:t>
            </w:r>
            <w:r w:rsidR="002506A8" w:rsidRPr="005C2CEC">
              <w:rPr>
                <w:rFonts w:eastAsia="Times New Roman" w:cs="Times New Roman"/>
                <w:color w:val="000000"/>
                <w:sz w:val="18"/>
                <w:szCs w:val="20"/>
                <w:lang w:eastAsia="sk-SK"/>
              </w:rPr>
              <w:t>poskytne</w:t>
            </w:r>
            <w:r w:rsidRPr="005C2CEC">
              <w:rPr>
                <w:rFonts w:eastAsia="Times New Roman" w:cs="Times New Roman"/>
                <w:color w:val="000000"/>
                <w:sz w:val="18"/>
                <w:szCs w:val="20"/>
                <w:lang w:eastAsia="sk-SK"/>
              </w:rPr>
              <w:t xml:space="preserve"> podklady </w:t>
            </w:r>
            <w:r w:rsidR="00963544" w:rsidRPr="005C2CEC">
              <w:rPr>
                <w:rFonts w:eastAsia="Times New Roman" w:cs="Times New Roman"/>
                <w:color w:val="000000"/>
                <w:sz w:val="18"/>
                <w:szCs w:val="20"/>
                <w:lang w:eastAsia="sk-SK"/>
              </w:rPr>
              <w:t>min.</w:t>
            </w:r>
            <w:r w:rsidRPr="005C2CEC">
              <w:rPr>
                <w:rFonts w:eastAsia="Times New Roman" w:cs="Times New Roman"/>
                <w:color w:val="000000"/>
                <w:sz w:val="18"/>
                <w:szCs w:val="20"/>
                <w:lang w:eastAsia="sk-SK"/>
              </w:rPr>
              <w:t xml:space="preserve"> 30 dní pred </w:t>
            </w:r>
            <w:r w:rsidR="00DB2838">
              <w:rPr>
                <w:rFonts w:eastAsia="Times New Roman" w:cs="Times New Roman"/>
                <w:color w:val="000000"/>
                <w:sz w:val="18"/>
                <w:szCs w:val="20"/>
                <w:lang w:eastAsia="sk-SK"/>
              </w:rPr>
              <w:t>začiatkom realizácie</w:t>
            </w:r>
          </w:p>
          <w:p w14:paraId="7EE3FD7D" w14:textId="7FE75EFD" w:rsidR="00D05154" w:rsidRPr="005C2CEC" w:rsidRDefault="00DD5B04" w:rsidP="00DD5B04">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MF SR hodnotí do 30 dní od predloženia všetkých podkladov alebo do 30 dní od doručenia oznámenia o nedodaní podkladov</w:t>
            </w:r>
          </w:p>
        </w:tc>
        <w:tc>
          <w:tcPr>
            <w:tcW w:w="676" w:type="pct"/>
            <w:gridSpan w:val="2"/>
            <w:tcBorders>
              <w:top w:val="dashed" w:sz="4" w:space="0" w:color="D0CECE" w:themeColor="background2" w:themeShade="E6"/>
              <w:left w:val="nil"/>
              <w:bottom w:val="dashed" w:sz="4" w:space="0" w:color="D0CECE" w:themeColor="background2" w:themeShade="E6"/>
              <w:right w:val="nil"/>
            </w:tcBorders>
            <w:shd w:val="clear" w:color="auto" w:fill="auto"/>
            <w:vAlign w:val="center"/>
            <w:hideMark/>
          </w:tcPr>
          <w:p w14:paraId="5746C47A" w14:textId="6118F3F1" w:rsidR="00D05154" w:rsidRPr="005C2CEC" w:rsidRDefault="00D05154" w:rsidP="00D05154">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Vykoná Investor</w:t>
            </w:r>
          </w:p>
          <w:p w14:paraId="0B809A0D" w14:textId="38369457" w:rsidR="00D05154" w:rsidRPr="005C2CEC" w:rsidRDefault="00DD5B04" w:rsidP="00D05154">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Hodnotí</w:t>
            </w:r>
            <w:r w:rsidR="00D05154" w:rsidRPr="005C2CEC">
              <w:rPr>
                <w:rFonts w:eastAsia="Times New Roman" w:cs="Times New Roman"/>
                <w:color w:val="000000"/>
                <w:sz w:val="18"/>
                <w:szCs w:val="20"/>
                <w:lang w:eastAsia="sk-SK"/>
              </w:rPr>
              <w:t xml:space="preserve"> MF SR</w:t>
            </w:r>
          </w:p>
        </w:tc>
        <w:tc>
          <w:tcPr>
            <w:tcW w:w="862" w:type="pct"/>
            <w:gridSpan w:val="2"/>
            <w:tcBorders>
              <w:top w:val="dashed" w:sz="4" w:space="0" w:color="D0CECE" w:themeColor="background2" w:themeShade="E6"/>
              <w:left w:val="nil"/>
              <w:bottom w:val="dashed" w:sz="4" w:space="0" w:color="D0CECE" w:themeColor="background2" w:themeShade="E6"/>
              <w:right w:val="nil"/>
            </w:tcBorders>
            <w:shd w:val="clear" w:color="auto" w:fill="auto"/>
            <w:vAlign w:val="center"/>
            <w:hideMark/>
          </w:tcPr>
          <w:p w14:paraId="065EBFD3" w14:textId="0188C410" w:rsidR="00480DA4" w:rsidRDefault="00480DA4" w:rsidP="002C44EC">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 xml:space="preserve">Ekonomické hodnotenie </w:t>
            </w:r>
            <w:r w:rsidR="006B384A">
              <w:rPr>
                <w:rFonts w:eastAsia="Times New Roman" w:cs="Times New Roman"/>
                <w:color w:val="000000"/>
                <w:sz w:val="18"/>
                <w:szCs w:val="20"/>
                <w:lang w:eastAsia="sk-SK"/>
              </w:rPr>
              <w:t xml:space="preserve">aktualizovaného </w:t>
            </w:r>
            <w:r w:rsidRPr="005C2CEC">
              <w:rPr>
                <w:rFonts w:eastAsia="Times New Roman" w:cs="Times New Roman"/>
                <w:color w:val="000000"/>
                <w:sz w:val="18"/>
                <w:szCs w:val="20"/>
                <w:lang w:eastAsia="sk-SK"/>
              </w:rPr>
              <w:t>investičného zámeru</w:t>
            </w:r>
          </w:p>
          <w:p w14:paraId="7D20F13B" w14:textId="0D6FCE12" w:rsidR="006B384A" w:rsidRPr="005C2CEC" w:rsidRDefault="006B384A" w:rsidP="002C44EC">
            <w:pPr>
              <w:keepLines/>
              <w:spacing w:afterLines="60" w:after="144" w:line="240" w:lineRule="auto"/>
              <w:jc w:val="center"/>
              <w:rPr>
                <w:rFonts w:eastAsia="Times New Roman" w:cs="Times New Roman"/>
                <w:color w:val="000000"/>
                <w:sz w:val="18"/>
                <w:szCs w:val="20"/>
                <w:lang w:eastAsia="sk-SK"/>
              </w:rPr>
            </w:pPr>
            <w:r w:rsidRPr="006B384A">
              <w:rPr>
                <w:rFonts w:eastAsia="Times New Roman" w:cs="Times New Roman"/>
                <w:color w:val="000000"/>
                <w:sz w:val="18"/>
                <w:szCs w:val="20"/>
                <w:lang w:eastAsia="sk-SK"/>
              </w:rPr>
              <w:t>Ekonomické hodnotenie ŠU pred schválením návrhu projektu koncesie so zohľadnením výsledkov ŠU vládou SR</w:t>
            </w:r>
          </w:p>
          <w:p w14:paraId="38EB20D8" w14:textId="2611DC47" w:rsidR="002874C5" w:rsidRPr="005C2CEC" w:rsidRDefault="002874C5" w:rsidP="002C44EC">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lastRenderedPageBreak/>
              <w:t xml:space="preserve">Kontrola súladu investičného projektu s pravidlami </w:t>
            </w:r>
            <w:r w:rsidR="00963544" w:rsidRPr="005C2CEC">
              <w:rPr>
                <w:rFonts w:eastAsia="Times New Roman" w:cs="Times New Roman"/>
                <w:color w:val="000000"/>
                <w:sz w:val="18"/>
                <w:szCs w:val="20"/>
                <w:lang w:eastAsia="sk-SK"/>
              </w:rPr>
              <w:t>sektorovej</w:t>
            </w:r>
            <w:r w:rsidRPr="005C2CEC">
              <w:rPr>
                <w:rFonts w:eastAsia="Times New Roman" w:cs="Times New Roman"/>
                <w:color w:val="000000"/>
                <w:sz w:val="18"/>
                <w:szCs w:val="20"/>
                <w:lang w:eastAsia="sk-SK"/>
              </w:rPr>
              <w:t xml:space="preserve"> investičnej stratégie</w:t>
            </w:r>
          </w:p>
          <w:p w14:paraId="5FA29F17" w14:textId="57AB50DE" w:rsidR="00D05154" w:rsidRPr="005C2CEC" w:rsidRDefault="0091717A" w:rsidP="004528DC">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Kontrol</w:t>
            </w:r>
            <w:r w:rsidR="008A1AC5" w:rsidRPr="005C2CEC">
              <w:rPr>
                <w:rFonts w:eastAsia="Times New Roman" w:cs="Times New Roman"/>
                <w:color w:val="000000"/>
                <w:sz w:val="18"/>
                <w:szCs w:val="20"/>
                <w:lang w:eastAsia="sk-SK"/>
              </w:rPr>
              <w:t xml:space="preserve">a </w:t>
            </w:r>
            <w:r w:rsidR="004528DC">
              <w:rPr>
                <w:rFonts w:eastAsia="Times New Roman" w:cs="Times New Roman"/>
                <w:color w:val="000000"/>
                <w:sz w:val="18"/>
                <w:szCs w:val="20"/>
                <w:lang w:eastAsia="sk-SK"/>
              </w:rPr>
              <w:t>PHZ a kvalitatívnych kritérií</w:t>
            </w:r>
          </w:p>
        </w:tc>
      </w:tr>
      <w:tr w:rsidR="00963544" w:rsidRPr="005C2CEC" w14:paraId="42C428F9" w14:textId="77777777" w:rsidTr="002B00E7">
        <w:trPr>
          <w:trHeight w:val="2651"/>
        </w:trPr>
        <w:tc>
          <w:tcPr>
            <w:tcW w:w="226" w:type="pct"/>
            <w:vMerge/>
            <w:tcBorders>
              <w:left w:val="nil"/>
              <w:right w:val="dashed" w:sz="4" w:space="0" w:color="BFBFBF" w:themeColor="background1" w:themeShade="BF"/>
            </w:tcBorders>
            <w:shd w:val="clear" w:color="auto" w:fill="auto"/>
            <w:vAlign w:val="center"/>
          </w:tcPr>
          <w:p w14:paraId="7B4E58E2" w14:textId="77777777" w:rsidR="00963544" w:rsidRPr="005C2CEC" w:rsidRDefault="00963544" w:rsidP="00D05154">
            <w:pPr>
              <w:keepLines/>
              <w:spacing w:afterLines="60" w:after="144" w:line="240" w:lineRule="auto"/>
              <w:jc w:val="left"/>
              <w:rPr>
                <w:rFonts w:eastAsia="Times New Roman" w:cs="Times New Roman"/>
                <w:color w:val="000000"/>
                <w:sz w:val="18"/>
                <w:szCs w:val="20"/>
                <w:lang w:eastAsia="sk-SK"/>
              </w:rPr>
            </w:pPr>
          </w:p>
        </w:tc>
        <w:tc>
          <w:tcPr>
            <w:tcW w:w="750" w:type="pct"/>
            <w:gridSpan w:val="4"/>
            <w:tcBorders>
              <w:top w:val="dashed" w:sz="4" w:space="0" w:color="D0CECE" w:themeColor="background2" w:themeShade="E6"/>
              <w:left w:val="dashed" w:sz="4" w:space="0" w:color="BFBFBF" w:themeColor="background1" w:themeShade="BF"/>
              <w:right w:val="single" w:sz="4" w:space="0" w:color="auto"/>
            </w:tcBorders>
            <w:shd w:val="clear" w:color="auto" w:fill="DEEAF6" w:themeFill="accent1" w:themeFillTint="33"/>
            <w:noWrap/>
            <w:vAlign w:val="center"/>
          </w:tcPr>
          <w:p w14:paraId="104E865F" w14:textId="7B1B7FB4" w:rsidR="00963544" w:rsidRPr="005C2CEC" w:rsidRDefault="00963544" w:rsidP="0091717A">
            <w:pPr>
              <w:keepLines/>
              <w:spacing w:afterLines="30" w:after="72" w:line="240" w:lineRule="auto"/>
              <w:jc w:val="left"/>
              <w:rPr>
                <w:rFonts w:eastAsia="Times New Roman" w:cs="Times New Roman"/>
                <w:color w:val="000000"/>
                <w:sz w:val="18"/>
                <w:szCs w:val="20"/>
                <w:lang w:eastAsia="sk-SK"/>
              </w:rPr>
            </w:pPr>
            <w:r w:rsidRPr="005C2CEC">
              <w:rPr>
                <w:rFonts w:eastAsia="Times New Roman" w:cs="Times New Roman"/>
                <w:color w:val="000000"/>
                <w:sz w:val="18"/>
                <w:szCs w:val="20"/>
                <w:lang w:eastAsia="sk-SK"/>
              </w:rPr>
              <w:t xml:space="preserve">Hodnotenie investičného projektu s hodnotou nad </w:t>
            </w:r>
            <w:r w:rsidR="006077A0">
              <w:rPr>
                <w:rFonts w:eastAsia="Times New Roman" w:cs="Times New Roman"/>
                <w:color w:val="000000"/>
                <w:sz w:val="18"/>
                <w:szCs w:val="20"/>
                <w:lang w:eastAsia="sk-SK"/>
              </w:rPr>
              <w:t>ustanovenou</w:t>
            </w:r>
            <w:r w:rsidR="006077A0" w:rsidRPr="005C2CEC">
              <w:rPr>
                <w:rFonts w:eastAsia="Times New Roman" w:cs="Times New Roman"/>
                <w:color w:val="000000"/>
                <w:sz w:val="18"/>
                <w:szCs w:val="20"/>
                <w:lang w:eastAsia="sk-SK"/>
              </w:rPr>
              <w:t xml:space="preserve"> </w:t>
            </w:r>
            <w:r w:rsidRPr="005C2CEC">
              <w:rPr>
                <w:rFonts w:eastAsia="Times New Roman" w:cs="Times New Roman"/>
                <w:color w:val="000000"/>
                <w:sz w:val="18"/>
                <w:szCs w:val="20"/>
                <w:lang w:eastAsia="sk-SK"/>
              </w:rPr>
              <w:t xml:space="preserve">hranicou pred vyhlásením </w:t>
            </w:r>
            <w:r w:rsidR="000D4F98">
              <w:rPr>
                <w:rFonts w:eastAsia="Times New Roman" w:cs="Times New Roman"/>
                <w:color w:val="000000"/>
                <w:sz w:val="18"/>
                <w:szCs w:val="20"/>
                <w:lang w:eastAsia="sk-SK"/>
              </w:rPr>
              <w:t xml:space="preserve">verejného </w:t>
            </w:r>
            <w:r w:rsidRPr="005C2CEC">
              <w:rPr>
                <w:rFonts w:eastAsia="Times New Roman" w:cs="Times New Roman"/>
                <w:color w:val="000000"/>
                <w:sz w:val="18"/>
                <w:szCs w:val="20"/>
                <w:lang w:eastAsia="sk-SK"/>
              </w:rPr>
              <w:t>obstarávania</w:t>
            </w:r>
          </w:p>
          <w:p w14:paraId="07B4DACE" w14:textId="0F690387" w:rsidR="00963544" w:rsidRPr="005C2CEC" w:rsidRDefault="00963544" w:rsidP="00963544">
            <w:pPr>
              <w:keepLines/>
              <w:spacing w:afterLines="30" w:after="72" w:line="240" w:lineRule="auto"/>
              <w:jc w:val="left"/>
              <w:rPr>
                <w:rFonts w:eastAsia="Times New Roman" w:cs="Times New Roman"/>
                <w:i/>
                <w:color w:val="000000"/>
                <w:sz w:val="18"/>
                <w:szCs w:val="20"/>
                <w:lang w:eastAsia="sk-SK"/>
              </w:rPr>
            </w:pPr>
            <w:r w:rsidRPr="005C2CEC">
              <w:rPr>
                <w:rFonts w:eastAsia="Times New Roman" w:cs="Times New Roman"/>
                <w:i/>
                <w:color w:val="000000"/>
                <w:sz w:val="18"/>
                <w:szCs w:val="20"/>
                <w:lang w:eastAsia="sk-SK"/>
              </w:rPr>
              <w:t xml:space="preserve">(kapitola </w:t>
            </w:r>
            <w:r w:rsidRPr="005C2CEC">
              <w:rPr>
                <w:rFonts w:eastAsia="Times New Roman" w:cs="Times New Roman"/>
                <w:i/>
                <w:color w:val="000000"/>
                <w:sz w:val="18"/>
                <w:szCs w:val="20"/>
                <w:lang w:eastAsia="sk-SK"/>
              </w:rPr>
              <w:fldChar w:fldCharType="begin"/>
            </w:r>
            <w:r w:rsidRPr="005C2CEC">
              <w:rPr>
                <w:rFonts w:eastAsia="Times New Roman" w:cs="Times New Roman"/>
                <w:i/>
                <w:color w:val="000000"/>
                <w:sz w:val="18"/>
                <w:szCs w:val="20"/>
                <w:lang w:eastAsia="sk-SK"/>
              </w:rPr>
              <w:instrText xml:space="preserve"> REF _Ref56686999 \r \h </w:instrText>
            </w:r>
            <w:r w:rsidR="005C2CEC">
              <w:rPr>
                <w:rFonts w:eastAsia="Times New Roman" w:cs="Times New Roman"/>
                <w:i/>
                <w:color w:val="000000"/>
                <w:sz w:val="18"/>
                <w:szCs w:val="20"/>
                <w:lang w:eastAsia="sk-SK"/>
              </w:rPr>
              <w:instrText xml:space="preserve"> \* MERGEFORMAT </w:instrText>
            </w:r>
            <w:r w:rsidRPr="005C2CEC">
              <w:rPr>
                <w:rFonts w:eastAsia="Times New Roman" w:cs="Times New Roman"/>
                <w:i/>
                <w:color w:val="000000"/>
                <w:sz w:val="18"/>
                <w:szCs w:val="20"/>
                <w:lang w:eastAsia="sk-SK"/>
              </w:rPr>
            </w:r>
            <w:r w:rsidRPr="005C2CEC">
              <w:rPr>
                <w:rFonts w:eastAsia="Times New Roman" w:cs="Times New Roman"/>
                <w:i/>
                <w:color w:val="000000"/>
                <w:sz w:val="18"/>
                <w:szCs w:val="20"/>
                <w:lang w:eastAsia="sk-SK"/>
              </w:rPr>
              <w:fldChar w:fldCharType="separate"/>
            </w:r>
            <w:r w:rsidR="000D2AF7">
              <w:rPr>
                <w:rFonts w:eastAsia="Times New Roman" w:cs="Times New Roman"/>
                <w:i/>
                <w:color w:val="000000"/>
                <w:sz w:val="18"/>
                <w:szCs w:val="20"/>
                <w:lang w:eastAsia="sk-SK"/>
              </w:rPr>
              <w:t>5.3.1</w:t>
            </w:r>
            <w:r w:rsidRPr="005C2CEC">
              <w:rPr>
                <w:rFonts w:eastAsia="Times New Roman" w:cs="Times New Roman"/>
                <w:i/>
                <w:color w:val="000000"/>
                <w:sz w:val="18"/>
                <w:szCs w:val="20"/>
                <w:lang w:eastAsia="sk-SK"/>
              </w:rPr>
              <w:fldChar w:fldCharType="end"/>
            </w:r>
            <w:r w:rsidRPr="005C2CEC">
              <w:rPr>
                <w:rFonts w:eastAsia="Times New Roman" w:cs="Times New Roman"/>
                <w:i/>
                <w:color w:val="000000"/>
                <w:sz w:val="18"/>
                <w:szCs w:val="20"/>
                <w:lang w:eastAsia="sk-SK"/>
              </w:rPr>
              <w:t>)</w:t>
            </w:r>
          </w:p>
        </w:tc>
        <w:tc>
          <w:tcPr>
            <w:tcW w:w="1285" w:type="pct"/>
            <w:gridSpan w:val="2"/>
            <w:tcBorders>
              <w:top w:val="dashed" w:sz="4" w:space="0" w:color="D0CECE" w:themeColor="background2" w:themeShade="E6"/>
              <w:left w:val="nil"/>
              <w:right w:val="nil"/>
            </w:tcBorders>
            <w:shd w:val="clear" w:color="auto" w:fill="DEEAF6" w:themeFill="accent1" w:themeFillTint="33"/>
            <w:vAlign w:val="center"/>
          </w:tcPr>
          <w:p w14:paraId="652FD83B" w14:textId="624A366E" w:rsidR="00963544" w:rsidRPr="005C2CEC" w:rsidRDefault="00963544" w:rsidP="0091717A">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Investor predkladá MF SR aktualizovanú ŠU</w:t>
            </w:r>
            <w:r w:rsidR="008243D3">
              <w:rPr>
                <w:rFonts w:eastAsia="Times New Roman" w:cs="Times New Roman"/>
                <w:color w:val="000000"/>
                <w:sz w:val="18"/>
                <w:szCs w:val="20"/>
                <w:lang w:eastAsia="sk-SK"/>
              </w:rPr>
              <w:t>,</w:t>
            </w:r>
            <w:r w:rsidRPr="005C2CEC">
              <w:rPr>
                <w:rFonts w:eastAsia="Times New Roman" w:cs="Times New Roman"/>
                <w:color w:val="000000"/>
                <w:sz w:val="18"/>
                <w:szCs w:val="20"/>
                <w:lang w:eastAsia="sk-SK"/>
              </w:rPr>
              <w:t xml:space="preserve"> </w:t>
            </w:r>
            <w:r w:rsidR="008243D3">
              <w:rPr>
                <w:rFonts w:eastAsia="Times New Roman" w:cs="Times New Roman"/>
                <w:color w:val="000000"/>
                <w:sz w:val="18"/>
                <w:szCs w:val="20"/>
                <w:lang w:eastAsia="sk-SK"/>
              </w:rPr>
              <w:t>PHZ</w:t>
            </w:r>
            <w:r w:rsidR="008243D3" w:rsidRPr="005C2CEC">
              <w:rPr>
                <w:rFonts w:eastAsia="Times New Roman" w:cs="Times New Roman"/>
                <w:color w:val="000000"/>
                <w:sz w:val="18"/>
                <w:szCs w:val="20"/>
                <w:lang w:eastAsia="sk-SK"/>
              </w:rPr>
              <w:t xml:space="preserve"> a </w:t>
            </w:r>
            <w:r w:rsidR="008243D3">
              <w:rPr>
                <w:rFonts w:eastAsia="Times New Roman" w:cs="Times New Roman"/>
                <w:color w:val="000000"/>
                <w:sz w:val="18"/>
                <w:szCs w:val="20"/>
                <w:lang w:eastAsia="sk-SK"/>
              </w:rPr>
              <w:t>podklady k použitým</w:t>
            </w:r>
            <w:r w:rsidR="008243D3" w:rsidRPr="004528DC">
              <w:rPr>
                <w:rFonts w:eastAsia="Times New Roman" w:cs="Times New Roman"/>
                <w:color w:val="000000"/>
                <w:sz w:val="18"/>
                <w:szCs w:val="20"/>
                <w:lang w:eastAsia="sk-SK"/>
              </w:rPr>
              <w:t xml:space="preserve"> kvalitatívnym kritériám</w:t>
            </w:r>
          </w:p>
          <w:p w14:paraId="403AB853" w14:textId="778745AB" w:rsidR="00963544" w:rsidRPr="005C2CEC" w:rsidRDefault="00963544" w:rsidP="0091717A">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MF SR zverejní hodnotenie</w:t>
            </w:r>
          </w:p>
        </w:tc>
        <w:tc>
          <w:tcPr>
            <w:tcW w:w="1201" w:type="pct"/>
            <w:gridSpan w:val="2"/>
            <w:tcBorders>
              <w:top w:val="dashed" w:sz="4" w:space="0" w:color="D0CECE" w:themeColor="background2" w:themeShade="E6"/>
              <w:left w:val="nil"/>
              <w:right w:val="nil"/>
            </w:tcBorders>
            <w:shd w:val="clear" w:color="auto" w:fill="DEEAF6" w:themeFill="accent1" w:themeFillTint="33"/>
            <w:vAlign w:val="center"/>
          </w:tcPr>
          <w:p w14:paraId="316D6D96" w14:textId="3C51BADD" w:rsidR="00963544" w:rsidRPr="005C2CEC" w:rsidRDefault="00963544" w:rsidP="0091717A">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 xml:space="preserve">Investor predkladá minimálne 30 dní pred vyhlásením obstarávania </w:t>
            </w:r>
          </w:p>
          <w:p w14:paraId="27BE176E" w14:textId="4E11F0A1" w:rsidR="00963544" w:rsidRPr="005C2CEC" w:rsidRDefault="00963544" w:rsidP="0091717A">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MF SR hodnotí do 30 dní od predloženia všetkých podkladov alebo do 30 dní od doručenia oznámenia o nedodaní podkladov</w:t>
            </w:r>
          </w:p>
        </w:tc>
        <w:tc>
          <w:tcPr>
            <w:tcW w:w="676" w:type="pct"/>
            <w:gridSpan w:val="2"/>
            <w:tcBorders>
              <w:top w:val="dashed" w:sz="4" w:space="0" w:color="D0CECE" w:themeColor="background2" w:themeShade="E6"/>
              <w:left w:val="nil"/>
              <w:right w:val="nil"/>
            </w:tcBorders>
            <w:shd w:val="clear" w:color="auto" w:fill="DEEAF6" w:themeFill="accent1" w:themeFillTint="33"/>
            <w:vAlign w:val="center"/>
          </w:tcPr>
          <w:p w14:paraId="4DC3608A" w14:textId="7E4AEB8B" w:rsidR="00963544" w:rsidRPr="005C2CEC" w:rsidRDefault="00963544" w:rsidP="00480DA4">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Vykoná Investor</w:t>
            </w:r>
          </w:p>
          <w:p w14:paraId="4295912E" w14:textId="5B5B67F9" w:rsidR="00963544" w:rsidRPr="005C2CEC" w:rsidRDefault="00963544" w:rsidP="00480DA4">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Hodnotí MF SR</w:t>
            </w:r>
          </w:p>
        </w:tc>
        <w:tc>
          <w:tcPr>
            <w:tcW w:w="862" w:type="pct"/>
            <w:gridSpan w:val="2"/>
            <w:tcBorders>
              <w:top w:val="dashed" w:sz="4" w:space="0" w:color="D0CECE" w:themeColor="background2" w:themeShade="E6"/>
              <w:left w:val="nil"/>
              <w:right w:val="nil"/>
            </w:tcBorders>
            <w:shd w:val="clear" w:color="auto" w:fill="DEEAF6" w:themeFill="accent1" w:themeFillTint="33"/>
            <w:vAlign w:val="center"/>
          </w:tcPr>
          <w:p w14:paraId="137AC736" w14:textId="7CEB9F55" w:rsidR="00963544" w:rsidRPr="005C2CEC" w:rsidRDefault="00963544" w:rsidP="00480DA4">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Kontrola stanovenia PHZ a zmluvných podmienok</w:t>
            </w:r>
          </w:p>
          <w:p w14:paraId="7EEF70B7" w14:textId="056B026E" w:rsidR="00963544" w:rsidRPr="005C2CEC" w:rsidRDefault="00963544" w:rsidP="00480DA4">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Odpočet odporúčaní z ekonomického hodnotenia</w:t>
            </w:r>
          </w:p>
        </w:tc>
      </w:tr>
      <w:tr w:rsidR="00C519F8" w:rsidRPr="005C2CEC" w14:paraId="4470E5AA" w14:textId="77777777" w:rsidTr="00BF1DCA">
        <w:trPr>
          <w:trHeight w:val="326"/>
        </w:trPr>
        <w:tc>
          <w:tcPr>
            <w:tcW w:w="226" w:type="pct"/>
            <w:vMerge/>
            <w:tcBorders>
              <w:left w:val="nil"/>
              <w:bottom w:val="single" w:sz="4" w:space="0" w:color="000000"/>
              <w:right w:val="dashed" w:sz="4" w:space="0" w:color="BFBFBF" w:themeColor="background1" w:themeShade="BF"/>
            </w:tcBorders>
            <w:shd w:val="clear" w:color="auto" w:fill="auto"/>
            <w:vAlign w:val="center"/>
          </w:tcPr>
          <w:p w14:paraId="30871FA6" w14:textId="77777777" w:rsidR="00C519F8" w:rsidRPr="005C2CEC" w:rsidRDefault="00C519F8" w:rsidP="00C519F8">
            <w:pPr>
              <w:keepLines/>
              <w:spacing w:afterLines="60" w:after="144" w:line="240" w:lineRule="auto"/>
              <w:jc w:val="left"/>
              <w:rPr>
                <w:rFonts w:eastAsia="Times New Roman" w:cs="Times New Roman"/>
                <w:color w:val="000000"/>
                <w:sz w:val="18"/>
                <w:szCs w:val="20"/>
                <w:lang w:eastAsia="sk-SK"/>
              </w:rPr>
            </w:pPr>
          </w:p>
        </w:tc>
        <w:tc>
          <w:tcPr>
            <w:tcW w:w="750" w:type="pct"/>
            <w:gridSpan w:val="4"/>
            <w:tcBorders>
              <w:top w:val="dashed" w:sz="4" w:space="0" w:color="D0CECE" w:themeColor="background2" w:themeShade="E6"/>
              <w:left w:val="dashed" w:sz="4" w:space="0" w:color="BFBFBF" w:themeColor="background1" w:themeShade="BF"/>
              <w:bottom w:val="single" w:sz="4" w:space="0" w:color="auto"/>
              <w:right w:val="single" w:sz="4" w:space="0" w:color="auto"/>
            </w:tcBorders>
            <w:shd w:val="clear" w:color="auto" w:fill="auto"/>
            <w:noWrap/>
            <w:vAlign w:val="center"/>
          </w:tcPr>
          <w:p w14:paraId="4AD5EC0F" w14:textId="267A7ED0" w:rsidR="00C519F8" w:rsidRPr="005C2CEC" w:rsidRDefault="00C519F8" w:rsidP="00DB2838">
            <w:pPr>
              <w:keepLines/>
              <w:spacing w:afterLines="30" w:after="72" w:line="240" w:lineRule="auto"/>
              <w:jc w:val="left"/>
              <w:rPr>
                <w:rFonts w:eastAsia="Times New Roman" w:cs="Times New Roman"/>
                <w:color w:val="000000"/>
                <w:sz w:val="18"/>
                <w:szCs w:val="20"/>
                <w:lang w:eastAsia="sk-SK"/>
              </w:rPr>
            </w:pPr>
            <w:r w:rsidRPr="005C2CEC">
              <w:rPr>
                <w:rFonts w:eastAsia="Times New Roman" w:cs="Times New Roman"/>
                <w:color w:val="000000"/>
                <w:sz w:val="18"/>
                <w:szCs w:val="20"/>
                <w:lang w:eastAsia="sk-SK"/>
              </w:rPr>
              <w:t xml:space="preserve">Obstarávanie realizácie </w:t>
            </w:r>
          </w:p>
        </w:tc>
        <w:tc>
          <w:tcPr>
            <w:tcW w:w="1285" w:type="pct"/>
            <w:gridSpan w:val="2"/>
            <w:tcBorders>
              <w:top w:val="dashed" w:sz="4" w:space="0" w:color="D0CECE" w:themeColor="background2" w:themeShade="E6"/>
              <w:left w:val="nil"/>
              <w:bottom w:val="single" w:sz="4" w:space="0" w:color="auto"/>
              <w:right w:val="nil"/>
            </w:tcBorders>
            <w:shd w:val="clear" w:color="auto" w:fill="auto"/>
            <w:vAlign w:val="center"/>
          </w:tcPr>
          <w:p w14:paraId="0BCDE39A" w14:textId="57393B49" w:rsidR="00C519F8" w:rsidRPr="005C2CEC" w:rsidRDefault="00C519F8" w:rsidP="00C519F8">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Investor obstaráva realizáciu investičného projektu v súlade so zákonom o verejnom obstarávaní</w:t>
            </w:r>
          </w:p>
        </w:tc>
        <w:tc>
          <w:tcPr>
            <w:tcW w:w="1201" w:type="pct"/>
            <w:gridSpan w:val="2"/>
            <w:tcBorders>
              <w:top w:val="dashed" w:sz="4" w:space="0" w:color="D0CECE" w:themeColor="background2" w:themeShade="E6"/>
              <w:left w:val="nil"/>
              <w:bottom w:val="single" w:sz="4" w:space="0" w:color="auto"/>
              <w:right w:val="nil"/>
            </w:tcBorders>
            <w:shd w:val="clear" w:color="auto" w:fill="auto"/>
            <w:vAlign w:val="center"/>
          </w:tcPr>
          <w:p w14:paraId="74A150DA" w14:textId="2CF08DAB" w:rsidR="00C519F8" w:rsidRPr="005C2CEC" w:rsidRDefault="000F6334" w:rsidP="00C519F8">
            <w:pPr>
              <w:keepLines/>
              <w:spacing w:afterLines="60" w:after="144" w:line="240" w:lineRule="auto"/>
              <w:jc w:val="center"/>
              <w:rPr>
                <w:rFonts w:eastAsia="Times New Roman" w:cs="Times New Roman"/>
                <w:color w:val="000000"/>
                <w:sz w:val="18"/>
                <w:szCs w:val="20"/>
                <w:lang w:eastAsia="sk-SK"/>
              </w:rPr>
            </w:pPr>
            <w:r>
              <w:rPr>
                <w:rFonts w:eastAsia="Times New Roman" w:cs="Times New Roman"/>
                <w:color w:val="000000"/>
                <w:sz w:val="18"/>
                <w:szCs w:val="20"/>
                <w:lang w:eastAsia="sk-SK"/>
              </w:rPr>
              <w:t>-</w:t>
            </w:r>
          </w:p>
        </w:tc>
        <w:tc>
          <w:tcPr>
            <w:tcW w:w="676" w:type="pct"/>
            <w:gridSpan w:val="2"/>
            <w:tcBorders>
              <w:top w:val="dashed" w:sz="4" w:space="0" w:color="D0CECE" w:themeColor="background2" w:themeShade="E6"/>
              <w:left w:val="nil"/>
              <w:bottom w:val="single" w:sz="4" w:space="0" w:color="auto"/>
              <w:right w:val="nil"/>
            </w:tcBorders>
            <w:shd w:val="clear" w:color="auto" w:fill="auto"/>
            <w:noWrap/>
            <w:vAlign w:val="center"/>
          </w:tcPr>
          <w:p w14:paraId="6BA7A717" w14:textId="0245D5A1" w:rsidR="00C519F8" w:rsidRPr="005C2CEC" w:rsidRDefault="00C519F8" w:rsidP="00C519F8">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Vykoná Investor</w:t>
            </w:r>
          </w:p>
        </w:tc>
        <w:tc>
          <w:tcPr>
            <w:tcW w:w="862" w:type="pct"/>
            <w:gridSpan w:val="2"/>
            <w:tcBorders>
              <w:top w:val="dashed" w:sz="4" w:space="0" w:color="D0CECE" w:themeColor="background2" w:themeShade="E6"/>
              <w:left w:val="nil"/>
              <w:bottom w:val="single" w:sz="4" w:space="0" w:color="auto"/>
              <w:right w:val="nil"/>
            </w:tcBorders>
            <w:shd w:val="clear" w:color="auto" w:fill="auto"/>
            <w:vAlign w:val="center"/>
          </w:tcPr>
          <w:p w14:paraId="19C20CC7" w14:textId="09656371" w:rsidR="00C519F8" w:rsidRPr="005C2CEC" w:rsidRDefault="00C519F8" w:rsidP="00C519F8">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Vysúťažená cena</w:t>
            </w:r>
          </w:p>
        </w:tc>
      </w:tr>
      <w:tr w:rsidR="00C519F8" w:rsidRPr="005C2CEC" w14:paraId="643B5CCE" w14:textId="77777777" w:rsidTr="0062040E">
        <w:trPr>
          <w:trHeight w:val="326"/>
        </w:trPr>
        <w:tc>
          <w:tcPr>
            <w:tcW w:w="226" w:type="pct"/>
            <w:vMerge/>
            <w:tcBorders>
              <w:left w:val="nil"/>
              <w:bottom w:val="single" w:sz="4" w:space="0" w:color="000000"/>
              <w:right w:val="dashed" w:sz="4" w:space="0" w:color="BFBFBF" w:themeColor="background1" w:themeShade="BF"/>
            </w:tcBorders>
            <w:shd w:val="clear" w:color="auto" w:fill="auto"/>
            <w:vAlign w:val="center"/>
            <w:hideMark/>
          </w:tcPr>
          <w:p w14:paraId="2536C1DC" w14:textId="77777777" w:rsidR="00C519F8" w:rsidRPr="005C2CEC" w:rsidRDefault="00C519F8" w:rsidP="00C519F8">
            <w:pPr>
              <w:keepLines/>
              <w:spacing w:afterLines="60" w:after="144" w:line="240" w:lineRule="auto"/>
              <w:jc w:val="left"/>
              <w:rPr>
                <w:rFonts w:eastAsia="Times New Roman" w:cs="Times New Roman"/>
                <w:color w:val="000000"/>
                <w:sz w:val="18"/>
                <w:szCs w:val="20"/>
                <w:lang w:eastAsia="sk-SK"/>
              </w:rPr>
            </w:pPr>
          </w:p>
        </w:tc>
        <w:tc>
          <w:tcPr>
            <w:tcW w:w="750" w:type="pct"/>
            <w:gridSpan w:val="4"/>
            <w:tcBorders>
              <w:top w:val="dashed" w:sz="4" w:space="0" w:color="D0CECE" w:themeColor="background2" w:themeShade="E6"/>
              <w:left w:val="dashed" w:sz="4" w:space="0" w:color="BFBFBF" w:themeColor="background1" w:themeShade="BF"/>
              <w:bottom w:val="single" w:sz="4" w:space="0" w:color="auto"/>
              <w:right w:val="single" w:sz="4" w:space="0" w:color="auto"/>
            </w:tcBorders>
            <w:shd w:val="clear" w:color="auto" w:fill="DEEAF6" w:themeFill="accent1" w:themeFillTint="33"/>
            <w:noWrap/>
            <w:vAlign w:val="center"/>
            <w:hideMark/>
          </w:tcPr>
          <w:p w14:paraId="66E96C05" w14:textId="1A253FA9" w:rsidR="00C519F8" w:rsidRPr="005C2CEC" w:rsidRDefault="00C519F8" w:rsidP="00C519F8">
            <w:pPr>
              <w:keepLines/>
              <w:spacing w:afterLines="30" w:after="72" w:line="240" w:lineRule="auto"/>
              <w:jc w:val="left"/>
              <w:rPr>
                <w:rFonts w:eastAsia="Times New Roman" w:cs="Times New Roman"/>
                <w:color w:val="000000"/>
                <w:sz w:val="18"/>
                <w:szCs w:val="20"/>
                <w:lang w:eastAsia="sk-SK"/>
              </w:rPr>
            </w:pPr>
            <w:r w:rsidRPr="005C2CEC">
              <w:rPr>
                <w:rFonts w:eastAsia="Times New Roman" w:cs="Times New Roman"/>
                <w:color w:val="000000"/>
                <w:sz w:val="18"/>
                <w:szCs w:val="20"/>
                <w:lang w:eastAsia="sk-SK"/>
              </w:rPr>
              <w:t xml:space="preserve">Hodnotenie investičného projektu nad </w:t>
            </w:r>
            <w:r w:rsidR="006077A0">
              <w:rPr>
                <w:rFonts w:eastAsia="Times New Roman" w:cs="Times New Roman"/>
                <w:color w:val="000000"/>
                <w:sz w:val="18"/>
                <w:szCs w:val="20"/>
                <w:lang w:eastAsia="sk-SK"/>
              </w:rPr>
              <w:t>ustanovenou</w:t>
            </w:r>
            <w:r w:rsidR="006077A0" w:rsidRPr="005C2CEC">
              <w:rPr>
                <w:rFonts w:eastAsia="Times New Roman" w:cs="Times New Roman"/>
                <w:color w:val="000000"/>
                <w:sz w:val="18"/>
                <w:szCs w:val="20"/>
                <w:lang w:eastAsia="sk-SK"/>
              </w:rPr>
              <w:t xml:space="preserve"> </w:t>
            </w:r>
            <w:r w:rsidRPr="005C2CEC">
              <w:rPr>
                <w:rFonts w:eastAsia="Times New Roman" w:cs="Times New Roman"/>
                <w:color w:val="000000"/>
                <w:sz w:val="18"/>
                <w:szCs w:val="20"/>
                <w:lang w:eastAsia="sk-SK"/>
              </w:rPr>
              <w:t>hranicou pred vznikom záväzku</w:t>
            </w:r>
          </w:p>
          <w:p w14:paraId="40B7DF53" w14:textId="36F3128B" w:rsidR="00C519F8" w:rsidRPr="005C2CEC" w:rsidRDefault="00C519F8" w:rsidP="00C519F8">
            <w:pPr>
              <w:keepLines/>
              <w:spacing w:afterLines="30" w:after="72" w:line="240" w:lineRule="auto"/>
              <w:jc w:val="left"/>
              <w:rPr>
                <w:rFonts w:eastAsia="Times New Roman" w:cs="Times New Roman"/>
                <w:color w:val="000000"/>
                <w:sz w:val="18"/>
                <w:szCs w:val="20"/>
                <w:lang w:eastAsia="sk-SK"/>
              </w:rPr>
            </w:pPr>
            <w:r w:rsidRPr="005C2CEC">
              <w:rPr>
                <w:rFonts w:eastAsia="Times New Roman" w:cs="Times New Roman"/>
                <w:i/>
                <w:color w:val="000000"/>
                <w:sz w:val="18"/>
                <w:szCs w:val="20"/>
                <w:lang w:eastAsia="sk-SK"/>
              </w:rPr>
              <w:t xml:space="preserve">(kapitola </w:t>
            </w:r>
            <w:r w:rsidRPr="005C2CEC">
              <w:rPr>
                <w:rFonts w:eastAsia="Times New Roman" w:cs="Times New Roman"/>
                <w:i/>
                <w:color w:val="000000"/>
                <w:sz w:val="18"/>
                <w:szCs w:val="20"/>
                <w:lang w:eastAsia="sk-SK"/>
              </w:rPr>
              <w:fldChar w:fldCharType="begin"/>
            </w:r>
            <w:r w:rsidRPr="005C2CEC">
              <w:rPr>
                <w:rFonts w:eastAsia="Times New Roman" w:cs="Times New Roman"/>
                <w:i/>
                <w:color w:val="000000"/>
                <w:sz w:val="18"/>
                <w:szCs w:val="20"/>
                <w:lang w:eastAsia="sk-SK"/>
              </w:rPr>
              <w:instrText xml:space="preserve"> REF _Ref45288008 \r \h  \* MERGEFORMAT </w:instrText>
            </w:r>
            <w:r w:rsidRPr="005C2CEC">
              <w:rPr>
                <w:rFonts w:eastAsia="Times New Roman" w:cs="Times New Roman"/>
                <w:i/>
                <w:color w:val="000000"/>
                <w:sz w:val="18"/>
                <w:szCs w:val="20"/>
                <w:lang w:eastAsia="sk-SK"/>
              </w:rPr>
            </w:r>
            <w:r w:rsidRPr="005C2CEC">
              <w:rPr>
                <w:rFonts w:eastAsia="Times New Roman" w:cs="Times New Roman"/>
                <w:i/>
                <w:color w:val="000000"/>
                <w:sz w:val="18"/>
                <w:szCs w:val="20"/>
                <w:lang w:eastAsia="sk-SK"/>
              </w:rPr>
              <w:fldChar w:fldCharType="separate"/>
            </w:r>
            <w:r w:rsidR="000D2AF7">
              <w:rPr>
                <w:rFonts w:eastAsia="Times New Roman" w:cs="Times New Roman"/>
                <w:i/>
                <w:color w:val="000000"/>
                <w:sz w:val="18"/>
                <w:szCs w:val="20"/>
                <w:lang w:eastAsia="sk-SK"/>
              </w:rPr>
              <w:t>5.3.2</w:t>
            </w:r>
            <w:r w:rsidRPr="005C2CEC">
              <w:rPr>
                <w:rFonts w:eastAsia="Times New Roman" w:cs="Times New Roman"/>
                <w:i/>
                <w:color w:val="000000"/>
                <w:sz w:val="18"/>
                <w:szCs w:val="20"/>
                <w:lang w:eastAsia="sk-SK"/>
              </w:rPr>
              <w:fldChar w:fldCharType="end"/>
            </w:r>
            <w:r w:rsidRPr="005C2CEC">
              <w:rPr>
                <w:rFonts w:eastAsia="Times New Roman" w:cs="Times New Roman"/>
                <w:i/>
                <w:color w:val="000000"/>
                <w:sz w:val="18"/>
                <w:szCs w:val="20"/>
                <w:lang w:eastAsia="sk-SK"/>
              </w:rPr>
              <w:t>)</w:t>
            </w:r>
          </w:p>
        </w:tc>
        <w:tc>
          <w:tcPr>
            <w:tcW w:w="1285" w:type="pct"/>
            <w:gridSpan w:val="2"/>
            <w:tcBorders>
              <w:top w:val="dashed" w:sz="4" w:space="0" w:color="D0CECE" w:themeColor="background2" w:themeShade="E6"/>
              <w:left w:val="nil"/>
              <w:bottom w:val="single" w:sz="4" w:space="0" w:color="auto"/>
              <w:right w:val="nil"/>
            </w:tcBorders>
            <w:shd w:val="clear" w:color="auto" w:fill="DEEAF6" w:themeFill="accent1" w:themeFillTint="33"/>
            <w:vAlign w:val="center"/>
            <w:hideMark/>
          </w:tcPr>
          <w:p w14:paraId="45DE1E67" w14:textId="717EEF2D" w:rsidR="00C519F8" w:rsidRPr="005C2CEC" w:rsidRDefault="00F52661" w:rsidP="00C519F8">
            <w:pPr>
              <w:keepLines/>
              <w:spacing w:afterLines="60" w:after="144" w:line="240" w:lineRule="auto"/>
              <w:jc w:val="center"/>
              <w:rPr>
                <w:rFonts w:eastAsia="Times New Roman" w:cs="Times New Roman"/>
                <w:color w:val="000000"/>
                <w:sz w:val="18"/>
                <w:szCs w:val="20"/>
                <w:lang w:eastAsia="sk-SK"/>
              </w:rPr>
            </w:pPr>
            <w:r>
              <w:rPr>
                <w:rFonts w:eastAsia="Times New Roman" w:cs="Times New Roman"/>
                <w:color w:val="000000"/>
                <w:sz w:val="18"/>
                <w:szCs w:val="20"/>
                <w:lang w:eastAsia="sk-SK"/>
              </w:rPr>
              <w:t>Investor predkladá MF SR</w:t>
            </w:r>
            <w:r w:rsidR="00C519F8" w:rsidRPr="005C2CEC" w:rsidDel="002C44EC">
              <w:rPr>
                <w:rFonts w:eastAsia="Times New Roman" w:cs="Times New Roman"/>
                <w:color w:val="000000"/>
                <w:sz w:val="18"/>
                <w:szCs w:val="20"/>
                <w:lang w:eastAsia="sk-SK"/>
              </w:rPr>
              <w:t xml:space="preserve"> </w:t>
            </w:r>
            <w:r w:rsidR="00C519F8" w:rsidRPr="005C2CEC">
              <w:rPr>
                <w:rFonts w:eastAsia="Times New Roman" w:cs="Times New Roman"/>
                <w:color w:val="000000"/>
                <w:sz w:val="18"/>
                <w:szCs w:val="20"/>
                <w:lang w:eastAsia="sk-SK"/>
              </w:rPr>
              <w:t>aktualizovanú ŠU</w:t>
            </w:r>
          </w:p>
          <w:p w14:paraId="68FF5B27" w14:textId="31190073" w:rsidR="00C519F8" w:rsidRPr="005C2CEC" w:rsidRDefault="00C519F8" w:rsidP="00C519F8">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MF SR zverejní hodnotenie</w:t>
            </w:r>
          </w:p>
        </w:tc>
        <w:tc>
          <w:tcPr>
            <w:tcW w:w="1201" w:type="pct"/>
            <w:gridSpan w:val="2"/>
            <w:tcBorders>
              <w:top w:val="dashed" w:sz="4" w:space="0" w:color="D0CECE" w:themeColor="background2" w:themeShade="E6"/>
              <w:left w:val="nil"/>
              <w:bottom w:val="single" w:sz="4" w:space="0" w:color="auto"/>
              <w:right w:val="nil"/>
            </w:tcBorders>
            <w:shd w:val="clear" w:color="auto" w:fill="DEEAF6" w:themeFill="accent1" w:themeFillTint="33"/>
            <w:vAlign w:val="center"/>
            <w:hideMark/>
          </w:tcPr>
          <w:p w14:paraId="31E5E621" w14:textId="39860C70" w:rsidR="00C519F8" w:rsidRPr="005C2CEC" w:rsidRDefault="00C519F8" w:rsidP="00C519F8">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Investor aktualizuje Š</w:t>
            </w:r>
            <w:r w:rsidR="008F27EF">
              <w:rPr>
                <w:rFonts w:eastAsia="Times New Roman" w:cs="Times New Roman"/>
                <w:color w:val="000000"/>
                <w:sz w:val="18"/>
                <w:szCs w:val="20"/>
                <w:lang w:eastAsia="sk-SK"/>
              </w:rPr>
              <w:t>U</w:t>
            </w:r>
            <w:r w:rsidRPr="005C2CEC">
              <w:rPr>
                <w:rFonts w:eastAsia="Times New Roman" w:cs="Times New Roman"/>
                <w:color w:val="000000"/>
                <w:sz w:val="18"/>
                <w:szCs w:val="20"/>
                <w:lang w:eastAsia="sk-SK"/>
              </w:rPr>
              <w:t xml:space="preserve"> a predkladá na hodnotenie minimálne 30 dní pred vznikom záväzku </w:t>
            </w:r>
          </w:p>
          <w:p w14:paraId="2758C581" w14:textId="27330DD3" w:rsidR="00C519F8" w:rsidRPr="005C2CEC" w:rsidRDefault="00C519F8" w:rsidP="009D49E3">
            <w:pPr>
              <w:keepLines/>
              <w:spacing w:afterLines="30" w:after="72"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MF SR hodnotí do 30 dní od predloženia všetkých podkladov alebo do 30 dní od doručenia oznámenia o nedodaní podkladov</w:t>
            </w:r>
          </w:p>
        </w:tc>
        <w:tc>
          <w:tcPr>
            <w:tcW w:w="676" w:type="pct"/>
            <w:gridSpan w:val="2"/>
            <w:tcBorders>
              <w:top w:val="dashed" w:sz="4" w:space="0" w:color="D0CECE" w:themeColor="background2" w:themeShade="E6"/>
              <w:left w:val="nil"/>
              <w:bottom w:val="single" w:sz="4" w:space="0" w:color="auto"/>
              <w:right w:val="nil"/>
            </w:tcBorders>
            <w:shd w:val="clear" w:color="auto" w:fill="DEEAF6" w:themeFill="accent1" w:themeFillTint="33"/>
            <w:noWrap/>
            <w:vAlign w:val="center"/>
            <w:hideMark/>
          </w:tcPr>
          <w:p w14:paraId="14A66929" w14:textId="3E2D274D" w:rsidR="00C519F8" w:rsidRPr="005C2CEC" w:rsidRDefault="00C519F8" w:rsidP="00C519F8">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Vykoná Investor</w:t>
            </w:r>
          </w:p>
          <w:p w14:paraId="139DB3A4" w14:textId="4F1CF3DB" w:rsidR="00C519F8" w:rsidRPr="005C2CEC" w:rsidRDefault="00C519F8" w:rsidP="00C519F8">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Hodnotí MF SR</w:t>
            </w:r>
          </w:p>
        </w:tc>
        <w:tc>
          <w:tcPr>
            <w:tcW w:w="862" w:type="pct"/>
            <w:gridSpan w:val="2"/>
            <w:tcBorders>
              <w:top w:val="dashed" w:sz="4" w:space="0" w:color="D0CECE" w:themeColor="background2" w:themeShade="E6"/>
              <w:left w:val="nil"/>
              <w:bottom w:val="single" w:sz="4" w:space="0" w:color="auto"/>
              <w:right w:val="nil"/>
            </w:tcBorders>
            <w:shd w:val="clear" w:color="auto" w:fill="DEEAF6" w:themeFill="accent1" w:themeFillTint="33"/>
            <w:vAlign w:val="center"/>
            <w:hideMark/>
          </w:tcPr>
          <w:p w14:paraId="240162E3" w14:textId="265C2A83" w:rsidR="00C519F8" w:rsidRPr="005C2CEC" w:rsidRDefault="008243D3" w:rsidP="00C519F8">
            <w:pPr>
              <w:keepLines/>
              <w:spacing w:afterLines="60" w:after="144" w:line="240" w:lineRule="auto"/>
              <w:jc w:val="center"/>
              <w:rPr>
                <w:rFonts w:eastAsia="Times New Roman" w:cs="Times New Roman"/>
                <w:color w:val="000000"/>
                <w:sz w:val="18"/>
                <w:szCs w:val="20"/>
                <w:lang w:eastAsia="sk-SK"/>
              </w:rPr>
            </w:pPr>
            <w:r>
              <w:rPr>
                <w:rFonts w:eastAsia="Times New Roman" w:cs="Times New Roman"/>
                <w:color w:val="000000"/>
                <w:sz w:val="18"/>
                <w:szCs w:val="20"/>
                <w:lang w:eastAsia="sk-SK"/>
              </w:rPr>
              <w:t>Porovnanie</w:t>
            </w:r>
            <w:r w:rsidRPr="005C2CEC">
              <w:rPr>
                <w:rFonts w:eastAsia="Times New Roman" w:cs="Times New Roman"/>
                <w:color w:val="000000"/>
                <w:sz w:val="18"/>
                <w:szCs w:val="20"/>
                <w:lang w:eastAsia="sk-SK"/>
              </w:rPr>
              <w:t xml:space="preserve"> </w:t>
            </w:r>
            <w:r w:rsidR="00C519F8" w:rsidRPr="005C2CEC">
              <w:rPr>
                <w:rFonts w:eastAsia="Times New Roman" w:cs="Times New Roman"/>
                <w:color w:val="000000"/>
                <w:sz w:val="18"/>
                <w:szCs w:val="20"/>
                <w:lang w:eastAsia="sk-SK"/>
              </w:rPr>
              <w:t xml:space="preserve">vysúťaženej ceny </w:t>
            </w:r>
            <w:r>
              <w:rPr>
                <w:rFonts w:eastAsia="Times New Roman" w:cs="Times New Roman"/>
                <w:color w:val="000000"/>
                <w:sz w:val="18"/>
                <w:szCs w:val="20"/>
                <w:lang w:eastAsia="sk-SK"/>
              </w:rPr>
              <w:t xml:space="preserve">s PHZ </w:t>
            </w:r>
            <w:r w:rsidR="00C519F8" w:rsidRPr="005C2CEC">
              <w:rPr>
                <w:rFonts w:eastAsia="Times New Roman" w:cs="Times New Roman"/>
                <w:color w:val="000000"/>
                <w:sz w:val="18"/>
                <w:szCs w:val="20"/>
                <w:lang w:eastAsia="sk-SK"/>
              </w:rPr>
              <w:t>a</w:t>
            </w:r>
            <w:r>
              <w:rPr>
                <w:rFonts w:eastAsia="Times New Roman" w:cs="Times New Roman"/>
                <w:color w:val="000000"/>
                <w:sz w:val="18"/>
                <w:szCs w:val="20"/>
                <w:lang w:eastAsia="sk-SK"/>
              </w:rPr>
              <w:t xml:space="preserve"> kontrola </w:t>
            </w:r>
            <w:r w:rsidR="00C519F8" w:rsidRPr="005C2CEC">
              <w:rPr>
                <w:rFonts w:eastAsia="Times New Roman" w:cs="Times New Roman"/>
                <w:color w:val="000000"/>
                <w:sz w:val="18"/>
                <w:szCs w:val="20"/>
                <w:lang w:eastAsia="sk-SK"/>
              </w:rPr>
              <w:t>zapracovania odporúčaní z aktualizovaného hodnotenia</w:t>
            </w:r>
          </w:p>
        </w:tc>
      </w:tr>
      <w:tr w:rsidR="00FF2971" w:rsidRPr="005C2CEC" w14:paraId="384D043A" w14:textId="77777777" w:rsidTr="00FF2971">
        <w:trPr>
          <w:trHeight w:val="326"/>
        </w:trPr>
        <w:tc>
          <w:tcPr>
            <w:tcW w:w="226" w:type="pct"/>
            <w:tcBorders>
              <w:top w:val="single" w:sz="4" w:space="0" w:color="000000"/>
              <w:left w:val="nil"/>
              <w:right w:val="dashed" w:sz="4" w:space="0" w:color="BFBFBF" w:themeColor="background1" w:themeShade="BF"/>
            </w:tcBorders>
            <w:shd w:val="clear" w:color="auto" w:fill="auto"/>
            <w:vAlign w:val="center"/>
          </w:tcPr>
          <w:p w14:paraId="35A1C642" w14:textId="77777777" w:rsidR="00FF2971" w:rsidRDefault="00FF2971" w:rsidP="00FF2971">
            <w:pPr>
              <w:keepLines/>
              <w:spacing w:afterLines="60" w:after="144" w:line="240" w:lineRule="auto"/>
              <w:ind w:left="113" w:right="113"/>
              <w:jc w:val="center"/>
              <w:rPr>
                <w:rFonts w:eastAsia="Times New Roman" w:cs="Times New Roman"/>
                <w:color w:val="000000"/>
                <w:sz w:val="18"/>
                <w:szCs w:val="20"/>
                <w:lang w:eastAsia="sk-SK"/>
              </w:rPr>
            </w:pPr>
          </w:p>
        </w:tc>
        <w:tc>
          <w:tcPr>
            <w:tcW w:w="750" w:type="pct"/>
            <w:gridSpan w:val="4"/>
            <w:tcBorders>
              <w:top w:val="single" w:sz="4" w:space="0" w:color="auto"/>
              <w:left w:val="dashed" w:sz="4" w:space="0" w:color="BFBFBF" w:themeColor="background1" w:themeShade="BF"/>
              <w:bottom w:val="dashed" w:sz="4" w:space="0" w:color="D0CECE" w:themeColor="background2" w:themeShade="E6"/>
              <w:right w:val="single" w:sz="4" w:space="0" w:color="auto"/>
            </w:tcBorders>
            <w:shd w:val="clear" w:color="auto" w:fill="auto"/>
            <w:noWrap/>
            <w:vAlign w:val="center"/>
          </w:tcPr>
          <w:p w14:paraId="63B91ACA" w14:textId="77777777" w:rsidR="00FF2971" w:rsidRPr="005C2CEC" w:rsidRDefault="00FF2971" w:rsidP="00FF2971">
            <w:pPr>
              <w:keepLines/>
              <w:spacing w:afterLines="30" w:after="72" w:line="240" w:lineRule="auto"/>
              <w:jc w:val="left"/>
              <w:rPr>
                <w:rFonts w:eastAsia="Times New Roman" w:cs="Times New Roman"/>
                <w:color w:val="000000"/>
                <w:sz w:val="18"/>
                <w:szCs w:val="20"/>
                <w:lang w:eastAsia="sk-SK"/>
              </w:rPr>
            </w:pPr>
            <w:r>
              <w:rPr>
                <w:rFonts w:eastAsia="Times New Roman" w:cs="Times New Roman"/>
                <w:color w:val="000000"/>
                <w:sz w:val="18"/>
                <w:szCs w:val="20"/>
                <w:lang w:eastAsia="sk-SK"/>
              </w:rPr>
              <w:t>Rozpočtovanie</w:t>
            </w:r>
            <w:r w:rsidRPr="005C2CEC">
              <w:rPr>
                <w:rFonts w:eastAsia="Times New Roman" w:cs="Times New Roman"/>
                <w:color w:val="000000"/>
                <w:sz w:val="18"/>
                <w:szCs w:val="20"/>
                <w:lang w:eastAsia="sk-SK"/>
              </w:rPr>
              <w:t xml:space="preserve"> kapitálových výdavkov</w:t>
            </w:r>
          </w:p>
          <w:p w14:paraId="1A3FB0D7" w14:textId="79257CC3" w:rsidR="00FF2971" w:rsidRPr="005C2CEC" w:rsidRDefault="00FF2971" w:rsidP="00FF2971">
            <w:pPr>
              <w:keepLines/>
              <w:spacing w:afterLines="30" w:after="72" w:line="240" w:lineRule="auto"/>
              <w:jc w:val="left"/>
              <w:rPr>
                <w:rFonts w:eastAsia="Times New Roman" w:cs="Times New Roman"/>
                <w:color w:val="000000"/>
                <w:sz w:val="18"/>
                <w:szCs w:val="20"/>
                <w:lang w:eastAsia="sk-SK"/>
              </w:rPr>
            </w:pPr>
            <w:r w:rsidRPr="005C2CEC">
              <w:rPr>
                <w:rFonts w:eastAsia="Times New Roman" w:cs="Times New Roman"/>
                <w:i/>
                <w:color w:val="000000"/>
                <w:sz w:val="18"/>
                <w:szCs w:val="20"/>
                <w:lang w:eastAsia="sk-SK"/>
              </w:rPr>
              <w:t xml:space="preserve">(kapitola </w:t>
            </w:r>
            <w:r w:rsidRPr="005C2CEC">
              <w:rPr>
                <w:rFonts w:eastAsia="Times New Roman" w:cs="Times New Roman"/>
                <w:i/>
                <w:color w:val="000000"/>
                <w:sz w:val="18"/>
                <w:szCs w:val="20"/>
                <w:lang w:eastAsia="sk-SK"/>
              </w:rPr>
              <w:fldChar w:fldCharType="begin"/>
            </w:r>
            <w:r w:rsidRPr="005C2CEC">
              <w:rPr>
                <w:rFonts w:eastAsia="Times New Roman" w:cs="Times New Roman"/>
                <w:i/>
                <w:color w:val="000000"/>
                <w:sz w:val="18"/>
                <w:szCs w:val="20"/>
                <w:lang w:eastAsia="sk-SK"/>
              </w:rPr>
              <w:instrText xml:space="preserve"> REF _Ref46412562 \r \h </w:instrText>
            </w:r>
            <w:r>
              <w:rPr>
                <w:rFonts w:eastAsia="Times New Roman" w:cs="Times New Roman"/>
                <w:i/>
                <w:color w:val="000000"/>
                <w:sz w:val="18"/>
                <w:szCs w:val="20"/>
                <w:lang w:eastAsia="sk-SK"/>
              </w:rPr>
              <w:instrText xml:space="preserve"> \* MERGEFORMAT </w:instrText>
            </w:r>
            <w:r w:rsidRPr="005C2CEC">
              <w:rPr>
                <w:rFonts w:eastAsia="Times New Roman" w:cs="Times New Roman"/>
                <w:i/>
                <w:color w:val="000000"/>
                <w:sz w:val="18"/>
                <w:szCs w:val="20"/>
                <w:lang w:eastAsia="sk-SK"/>
              </w:rPr>
            </w:r>
            <w:r w:rsidRPr="005C2CEC">
              <w:rPr>
                <w:rFonts w:eastAsia="Times New Roman" w:cs="Times New Roman"/>
                <w:i/>
                <w:color w:val="000000"/>
                <w:sz w:val="18"/>
                <w:szCs w:val="20"/>
                <w:lang w:eastAsia="sk-SK"/>
              </w:rPr>
              <w:fldChar w:fldCharType="separate"/>
            </w:r>
            <w:r w:rsidR="000D2AF7">
              <w:rPr>
                <w:rFonts w:eastAsia="Times New Roman" w:cs="Times New Roman"/>
                <w:i/>
                <w:color w:val="000000"/>
                <w:sz w:val="18"/>
                <w:szCs w:val="20"/>
                <w:lang w:eastAsia="sk-SK"/>
              </w:rPr>
              <w:t>6</w:t>
            </w:r>
            <w:r w:rsidRPr="005C2CEC">
              <w:rPr>
                <w:rFonts w:eastAsia="Times New Roman" w:cs="Times New Roman"/>
                <w:i/>
                <w:color w:val="000000"/>
                <w:sz w:val="18"/>
                <w:szCs w:val="20"/>
                <w:lang w:eastAsia="sk-SK"/>
              </w:rPr>
              <w:fldChar w:fldCharType="end"/>
            </w:r>
            <w:r w:rsidRPr="005C2CEC">
              <w:rPr>
                <w:rFonts w:eastAsia="Times New Roman" w:cs="Times New Roman"/>
                <w:i/>
                <w:color w:val="000000"/>
                <w:sz w:val="18"/>
                <w:szCs w:val="20"/>
                <w:lang w:eastAsia="sk-SK"/>
              </w:rPr>
              <w:t>)</w:t>
            </w:r>
          </w:p>
        </w:tc>
        <w:tc>
          <w:tcPr>
            <w:tcW w:w="1285" w:type="pct"/>
            <w:gridSpan w:val="2"/>
            <w:tcBorders>
              <w:top w:val="single" w:sz="4" w:space="0" w:color="auto"/>
              <w:left w:val="nil"/>
              <w:bottom w:val="dashed" w:sz="4" w:space="0" w:color="D0CECE" w:themeColor="background2" w:themeShade="E6"/>
              <w:right w:val="nil"/>
            </w:tcBorders>
            <w:shd w:val="clear" w:color="auto" w:fill="auto"/>
            <w:noWrap/>
            <w:vAlign w:val="center"/>
          </w:tcPr>
          <w:p w14:paraId="3F22785D" w14:textId="77777777" w:rsidR="00FF2971" w:rsidRDefault="00FF2971" w:rsidP="00FF2971">
            <w:pPr>
              <w:keepLines/>
              <w:spacing w:afterLines="60" w:after="144" w:line="240" w:lineRule="auto"/>
              <w:jc w:val="center"/>
              <w:rPr>
                <w:rFonts w:eastAsia="Times New Roman" w:cs="Times New Roman"/>
                <w:color w:val="000000"/>
                <w:sz w:val="18"/>
                <w:szCs w:val="20"/>
                <w:lang w:eastAsia="sk-SK"/>
              </w:rPr>
            </w:pPr>
            <w:r>
              <w:rPr>
                <w:rFonts w:eastAsia="Times New Roman" w:cs="Times New Roman"/>
                <w:color w:val="000000"/>
                <w:sz w:val="18"/>
                <w:szCs w:val="20"/>
                <w:lang w:eastAsia="sk-SK"/>
              </w:rPr>
              <w:t>Rozpočtová kapitola pripraví návrh rozpočtu kapitoly v súlade s aktuálnou Príručkou na zostavenie návrh rozpočtu verejnej správy</w:t>
            </w:r>
          </w:p>
          <w:p w14:paraId="186FD9EF" w14:textId="28706C31" w:rsidR="00FF2971" w:rsidRPr="005C2CEC" w:rsidRDefault="00FF2971" w:rsidP="00FF2971">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MF SR alokuje zdroje na realizáciu pripraveného a</w:t>
            </w:r>
            <w:r>
              <w:rPr>
                <w:rFonts w:eastAsia="Times New Roman" w:cs="Times New Roman"/>
                <w:color w:val="000000"/>
                <w:sz w:val="18"/>
                <w:szCs w:val="20"/>
                <w:lang w:eastAsia="sk-SK"/>
              </w:rPr>
              <w:t> spoločensky návratného</w:t>
            </w:r>
            <w:r w:rsidRPr="005C2CEC">
              <w:rPr>
                <w:rFonts w:eastAsia="Times New Roman" w:cs="Times New Roman"/>
                <w:color w:val="000000"/>
                <w:sz w:val="18"/>
                <w:szCs w:val="20"/>
                <w:lang w:eastAsia="sk-SK"/>
              </w:rPr>
              <w:t xml:space="preserve"> investičného projektu do </w:t>
            </w:r>
            <w:r>
              <w:rPr>
                <w:rFonts w:eastAsia="Times New Roman" w:cs="Times New Roman"/>
                <w:color w:val="000000"/>
                <w:sz w:val="18"/>
                <w:szCs w:val="20"/>
                <w:lang w:eastAsia="sk-SK"/>
              </w:rPr>
              <w:t xml:space="preserve">návrhu </w:t>
            </w:r>
            <w:r w:rsidRPr="005C2CEC">
              <w:rPr>
                <w:rFonts w:eastAsia="Times New Roman" w:cs="Times New Roman"/>
                <w:color w:val="000000"/>
                <w:sz w:val="18"/>
                <w:szCs w:val="20"/>
                <w:lang w:eastAsia="sk-SK"/>
              </w:rPr>
              <w:t xml:space="preserve">rozpočtu </w:t>
            </w:r>
            <w:r>
              <w:rPr>
                <w:rFonts w:eastAsia="Times New Roman" w:cs="Times New Roman"/>
                <w:color w:val="000000"/>
                <w:sz w:val="18"/>
                <w:szCs w:val="20"/>
                <w:lang w:eastAsia="sk-SK"/>
              </w:rPr>
              <w:t>verejnej správy</w:t>
            </w:r>
          </w:p>
        </w:tc>
        <w:tc>
          <w:tcPr>
            <w:tcW w:w="1201" w:type="pct"/>
            <w:gridSpan w:val="2"/>
            <w:tcBorders>
              <w:top w:val="single" w:sz="4" w:space="0" w:color="auto"/>
              <w:left w:val="nil"/>
              <w:bottom w:val="dashed" w:sz="4" w:space="0" w:color="D0CECE" w:themeColor="background2" w:themeShade="E6"/>
              <w:right w:val="nil"/>
            </w:tcBorders>
            <w:shd w:val="clear" w:color="auto" w:fill="auto"/>
            <w:vAlign w:val="center"/>
          </w:tcPr>
          <w:p w14:paraId="160877A6" w14:textId="7BF3568F" w:rsidR="00FF2971" w:rsidRPr="005C2CEC" w:rsidRDefault="00FF2971" w:rsidP="00FF2971">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w:t>
            </w:r>
          </w:p>
        </w:tc>
        <w:tc>
          <w:tcPr>
            <w:tcW w:w="676" w:type="pct"/>
            <w:gridSpan w:val="2"/>
            <w:tcBorders>
              <w:top w:val="single" w:sz="4" w:space="0" w:color="auto"/>
              <w:left w:val="nil"/>
              <w:bottom w:val="dashed" w:sz="4" w:space="0" w:color="D0CECE" w:themeColor="background2" w:themeShade="E6"/>
              <w:right w:val="nil"/>
            </w:tcBorders>
            <w:shd w:val="clear" w:color="auto" w:fill="auto"/>
            <w:noWrap/>
            <w:vAlign w:val="center"/>
          </w:tcPr>
          <w:p w14:paraId="5DE2DC44" w14:textId="414CA615" w:rsidR="00FF2971" w:rsidRPr="005C2CEC" w:rsidRDefault="00FF2971" w:rsidP="00FF2971">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 xml:space="preserve">Vykoná </w:t>
            </w:r>
            <w:r>
              <w:rPr>
                <w:rFonts w:eastAsia="Times New Roman" w:cs="Times New Roman"/>
                <w:color w:val="000000"/>
                <w:sz w:val="18"/>
                <w:szCs w:val="20"/>
                <w:lang w:eastAsia="sk-SK"/>
              </w:rPr>
              <w:t>rozpočtová kapitola</w:t>
            </w:r>
            <w:r w:rsidRPr="005C2CEC">
              <w:rPr>
                <w:rFonts w:eastAsia="Times New Roman" w:cs="Times New Roman"/>
                <w:color w:val="000000"/>
                <w:sz w:val="18"/>
                <w:szCs w:val="20"/>
                <w:lang w:eastAsia="sk-SK"/>
              </w:rPr>
              <w:t>, MF SR</w:t>
            </w:r>
          </w:p>
        </w:tc>
        <w:tc>
          <w:tcPr>
            <w:tcW w:w="862" w:type="pct"/>
            <w:gridSpan w:val="2"/>
            <w:tcBorders>
              <w:top w:val="single" w:sz="4" w:space="0" w:color="auto"/>
              <w:left w:val="nil"/>
              <w:bottom w:val="dashed" w:sz="4" w:space="0" w:color="D0CECE" w:themeColor="background2" w:themeShade="E6"/>
              <w:right w:val="nil"/>
            </w:tcBorders>
            <w:shd w:val="clear" w:color="auto" w:fill="auto"/>
            <w:vAlign w:val="center"/>
          </w:tcPr>
          <w:p w14:paraId="348C5077" w14:textId="77777777" w:rsidR="00FF2971" w:rsidRDefault="00FF2971" w:rsidP="00FF2971">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Investičná akcia v RIS, rozpočtové opatrenie</w:t>
            </w:r>
          </w:p>
          <w:p w14:paraId="6329090C" w14:textId="05F7C119" w:rsidR="00FF2971" w:rsidRPr="005C2CEC" w:rsidDel="008243D3" w:rsidRDefault="00FF2971" w:rsidP="00FF2971">
            <w:pPr>
              <w:keepLines/>
              <w:spacing w:afterLines="60" w:after="144" w:line="240" w:lineRule="auto"/>
              <w:jc w:val="center"/>
              <w:rPr>
                <w:rFonts w:eastAsia="Times New Roman" w:cs="Times New Roman"/>
                <w:color w:val="000000"/>
                <w:sz w:val="18"/>
                <w:szCs w:val="20"/>
                <w:lang w:eastAsia="sk-SK"/>
              </w:rPr>
            </w:pPr>
            <w:r>
              <w:rPr>
                <w:rFonts w:eastAsia="Times New Roman" w:cs="Times New Roman"/>
                <w:color w:val="000000"/>
                <w:sz w:val="18"/>
                <w:szCs w:val="20"/>
                <w:lang w:eastAsia="sk-SK"/>
              </w:rPr>
              <w:t>Návrh rozpočtu kapitálových výdavkov</w:t>
            </w:r>
          </w:p>
        </w:tc>
      </w:tr>
      <w:tr w:rsidR="00FF2971" w:rsidRPr="005C2CEC" w14:paraId="76783706" w14:textId="77777777" w:rsidTr="00BF1DCA">
        <w:trPr>
          <w:trHeight w:val="326"/>
        </w:trPr>
        <w:tc>
          <w:tcPr>
            <w:tcW w:w="226" w:type="pct"/>
            <w:vMerge w:val="restart"/>
            <w:tcBorders>
              <w:top w:val="single" w:sz="4" w:space="0" w:color="000000"/>
              <w:left w:val="nil"/>
              <w:right w:val="dashed" w:sz="4" w:space="0" w:color="BFBFBF" w:themeColor="background1" w:themeShade="BF"/>
            </w:tcBorders>
            <w:shd w:val="clear" w:color="auto" w:fill="auto"/>
            <w:textDirection w:val="btLr"/>
            <w:vAlign w:val="center"/>
            <w:hideMark/>
          </w:tcPr>
          <w:p w14:paraId="54642978" w14:textId="0D8E4A77" w:rsidR="00FF2971" w:rsidRPr="005C2CEC" w:rsidRDefault="00FF2971" w:rsidP="00FF2971">
            <w:pPr>
              <w:keepLines/>
              <w:spacing w:afterLines="60" w:after="144" w:line="240" w:lineRule="auto"/>
              <w:ind w:left="113" w:right="113"/>
              <w:jc w:val="center"/>
              <w:rPr>
                <w:rFonts w:eastAsia="Times New Roman" w:cs="Times New Roman"/>
                <w:color w:val="000000"/>
                <w:sz w:val="18"/>
                <w:szCs w:val="20"/>
                <w:lang w:eastAsia="sk-SK"/>
              </w:rPr>
            </w:pPr>
            <w:r>
              <w:rPr>
                <w:rFonts w:eastAsia="Times New Roman" w:cs="Times New Roman"/>
                <w:color w:val="000000"/>
                <w:sz w:val="18"/>
                <w:szCs w:val="20"/>
                <w:lang w:eastAsia="sk-SK"/>
              </w:rPr>
              <w:t>Realizácia investičného projektu</w:t>
            </w:r>
          </w:p>
        </w:tc>
        <w:tc>
          <w:tcPr>
            <w:tcW w:w="750" w:type="pct"/>
            <w:gridSpan w:val="4"/>
            <w:tcBorders>
              <w:top w:val="single" w:sz="4" w:space="0" w:color="auto"/>
              <w:left w:val="dashed" w:sz="4" w:space="0" w:color="BFBFBF" w:themeColor="background1" w:themeShade="BF"/>
              <w:bottom w:val="dashed" w:sz="4" w:space="0" w:color="D0CECE" w:themeColor="background2" w:themeShade="E6"/>
              <w:right w:val="single" w:sz="4" w:space="0" w:color="auto"/>
            </w:tcBorders>
            <w:shd w:val="clear" w:color="auto" w:fill="auto"/>
            <w:noWrap/>
            <w:vAlign w:val="center"/>
            <w:hideMark/>
          </w:tcPr>
          <w:p w14:paraId="6CAB2A83" w14:textId="5C5E3D53" w:rsidR="00FF2971" w:rsidRPr="005C2CEC" w:rsidRDefault="00FF2971" w:rsidP="00FF2971">
            <w:pPr>
              <w:keepLines/>
              <w:spacing w:afterLines="30" w:after="72" w:line="240" w:lineRule="auto"/>
              <w:jc w:val="left"/>
              <w:rPr>
                <w:rFonts w:eastAsia="Times New Roman" w:cs="Times New Roman"/>
                <w:color w:val="000000"/>
                <w:sz w:val="18"/>
                <w:szCs w:val="20"/>
                <w:lang w:eastAsia="sk-SK"/>
              </w:rPr>
            </w:pPr>
            <w:r w:rsidRPr="005C2CEC">
              <w:rPr>
                <w:rFonts w:eastAsia="Times New Roman" w:cs="Times New Roman"/>
                <w:color w:val="000000"/>
                <w:sz w:val="18"/>
                <w:szCs w:val="20"/>
                <w:lang w:eastAsia="sk-SK"/>
              </w:rPr>
              <w:t>Realizácia a odovzdanie investičného projektu</w:t>
            </w:r>
          </w:p>
          <w:p w14:paraId="2197CA3F" w14:textId="0B4E9A56" w:rsidR="00FF2971" w:rsidRPr="005C2CEC" w:rsidRDefault="00FF2971" w:rsidP="00FF2971">
            <w:pPr>
              <w:keepLines/>
              <w:spacing w:afterLines="30" w:after="72" w:line="240" w:lineRule="auto"/>
              <w:jc w:val="left"/>
              <w:rPr>
                <w:rFonts w:eastAsia="Times New Roman" w:cs="Times New Roman"/>
                <w:i/>
                <w:color w:val="000000"/>
                <w:sz w:val="18"/>
                <w:szCs w:val="20"/>
                <w:lang w:eastAsia="sk-SK"/>
              </w:rPr>
            </w:pPr>
            <w:r w:rsidRPr="005C2CEC">
              <w:rPr>
                <w:rFonts w:eastAsia="Times New Roman" w:cs="Times New Roman"/>
                <w:i/>
                <w:color w:val="000000"/>
                <w:sz w:val="18"/>
                <w:szCs w:val="20"/>
                <w:lang w:eastAsia="sk-SK"/>
              </w:rPr>
              <w:t xml:space="preserve">(kapitola </w:t>
            </w:r>
            <w:r w:rsidRPr="005C2CEC">
              <w:rPr>
                <w:rFonts w:eastAsia="Times New Roman" w:cs="Times New Roman"/>
                <w:i/>
                <w:color w:val="000000"/>
                <w:sz w:val="18"/>
                <w:szCs w:val="20"/>
                <w:lang w:eastAsia="sk-SK"/>
              </w:rPr>
              <w:fldChar w:fldCharType="begin"/>
            </w:r>
            <w:r w:rsidRPr="005C2CEC">
              <w:rPr>
                <w:rFonts w:eastAsia="Times New Roman" w:cs="Times New Roman"/>
                <w:i/>
                <w:color w:val="000000"/>
                <w:sz w:val="18"/>
                <w:szCs w:val="20"/>
                <w:lang w:eastAsia="sk-SK"/>
              </w:rPr>
              <w:instrText xml:space="preserve"> REF _Ref45288015 \r \h  \* MERGEFORMAT </w:instrText>
            </w:r>
            <w:r w:rsidRPr="005C2CEC">
              <w:rPr>
                <w:rFonts w:eastAsia="Times New Roman" w:cs="Times New Roman"/>
                <w:i/>
                <w:color w:val="000000"/>
                <w:sz w:val="18"/>
                <w:szCs w:val="20"/>
                <w:lang w:eastAsia="sk-SK"/>
              </w:rPr>
            </w:r>
            <w:r w:rsidRPr="005C2CEC">
              <w:rPr>
                <w:rFonts w:eastAsia="Times New Roman" w:cs="Times New Roman"/>
                <w:i/>
                <w:color w:val="000000"/>
                <w:sz w:val="18"/>
                <w:szCs w:val="20"/>
                <w:lang w:eastAsia="sk-SK"/>
              </w:rPr>
              <w:fldChar w:fldCharType="separate"/>
            </w:r>
            <w:r w:rsidR="000D2AF7">
              <w:rPr>
                <w:rFonts w:eastAsia="Times New Roman" w:cs="Times New Roman"/>
                <w:i/>
                <w:color w:val="000000"/>
                <w:sz w:val="18"/>
                <w:szCs w:val="20"/>
                <w:lang w:eastAsia="sk-SK"/>
              </w:rPr>
              <w:t>7.1</w:t>
            </w:r>
            <w:r w:rsidRPr="005C2CEC">
              <w:rPr>
                <w:rFonts w:eastAsia="Times New Roman" w:cs="Times New Roman"/>
                <w:i/>
                <w:color w:val="000000"/>
                <w:sz w:val="18"/>
                <w:szCs w:val="20"/>
                <w:lang w:eastAsia="sk-SK"/>
              </w:rPr>
              <w:fldChar w:fldCharType="end"/>
            </w:r>
            <w:r w:rsidRPr="005C2CEC">
              <w:rPr>
                <w:rFonts w:eastAsia="Times New Roman" w:cs="Times New Roman"/>
                <w:i/>
                <w:color w:val="000000"/>
                <w:sz w:val="18"/>
                <w:szCs w:val="20"/>
                <w:lang w:eastAsia="sk-SK"/>
              </w:rPr>
              <w:t>)</w:t>
            </w:r>
          </w:p>
        </w:tc>
        <w:tc>
          <w:tcPr>
            <w:tcW w:w="1285" w:type="pct"/>
            <w:gridSpan w:val="2"/>
            <w:tcBorders>
              <w:top w:val="single" w:sz="4" w:space="0" w:color="auto"/>
              <w:left w:val="nil"/>
              <w:bottom w:val="dashed" w:sz="4" w:space="0" w:color="D0CECE" w:themeColor="background2" w:themeShade="E6"/>
              <w:right w:val="nil"/>
            </w:tcBorders>
            <w:shd w:val="clear" w:color="auto" w:fill="auto"/>
            <w:noWrap/>
            <w:vAlign w:val="center"/>
            <w:hideMark/>
          </w:tcPr>
          <w:p w14:paraId="21E8A524" w14:textId="3957B516" w:rsidR="00FF2971" w:rsidRPr="005C2CEC" w:rsidRDefault="00FF2971" w:rsidP="00FF2971">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Investor realizuje investičný projekt</w:t>
            </w:r>
          </w:p>
          <w:p w14:paraId="57368AB5" w14:textId="0559880C" w:rsidR="00FF2971" w:rsidRPr="005C2CEC" w:rsidRDefault="00FF2971" w:rsidP="00FF2971">
            <w:pPr>
              <w:keepLines/>
              <w:spacing w:afterLines="30" w:after="72"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MF SR je oprávnené požiadať o všetky informácie a dokumenty týkajúce sa realizácie investičného projektu</w:t>
            </w:r>
          </w:p>
        </w:tc>
        <w:tc>
          <w:tcPr>
            <w:tcW w:w="1201" w:type="pct"/>
            <w:gridSpan w:val="2"/>
            <w:tcBorders>
              <w:top w:val="single" w:sz="4" w:space="0" w:color="auto"/>
              <w:left w:val="nil"/>
              <w:bottom w:val="dashed" w:sz="4" w:space="0" w:color="D0CECE" w:themeColor="background2" w:themeShade="E6"/>
              <w:right w:val="nil"/>
            </w:tcBorders>
            <w:shd w:val="clear" w:color="auto" w:fill="auto"/>
            <w:vAlign w:val="center"/>
            <w:hideMark/>
          </w:tcPr>
          <w:p w14:paraId="627427F4" w14:textId="51C4C4BB" w:rsidR="00FF2971" w:rsidRPr="005C2CEC" w:rsidRDefault="00FF2971" w:rsidP="00FF2971">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w:t>
            </w:r>
          </w:p>
        </w:tc>
        <w:tc>
          <w:tcPr>
            <w:tcW w:w="676" w:type="pct"/>
            <w:gridSpan w:val="2"/>
            <w:tcBorders>
              <w:top w:val="single" w:sz="4" w:space="0" w:color="auto"/>
              <w:left w:val="nil"/>
              <w:bottom w:val="dashed" w:sz="4" w:space="0" w:color="D0CECE" w:themeColor="background2" w:themeShade="E6"/>
              <w:right w:val="nil"/>
            </w:tcBorders>
            <w:shd w:val="clear" w:color="auto" w:fill="auto"/>
            <w:noWrap/>
            <w:vAlign w:val="center"/>
            <w:hideMark/>
          </w:tcPr>
          <w:p w14:paraId="1D2DB28E" w14:textId="27672E0D" w:rsidR="00FF2971" w:rsidRPr="005C2CEC" w:rsidRDefault="00FF2971" w:rsidP="00FF2971">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Riadi Investor</w:t>
            </w:r>
          </w:p>
        </w:tc>
        <w:tc>
          <w:tcPr>
            <w:tcW w:w="862" w:type="pct"/>
            <w:gridSpan w:val="2"/>
            <w:tcBorders>
              <w:top w:val="single" w:sz="4" w:space="0" w:color="auto"/>
              <w:left w:val="nil"/>
              <w:bottom w:val="dashed" w:sz="4" w:space="0" w:color="D0CECE" w:themeColor="background2" w:themeShade="E6"/>
              <w:right w:val="nil"/>
            </w:tcBorders>
            <w:shd w:val="clear" w:color="auto" w:fill="auto"/>
            <w:vAlign w:val="center"/>
            <w:hideMark/>
          </w:tcPr>
          <w:p w14:paraId="7D27AF2C" w14:textId="3AB12A84" w:rsidR="00FF2971" w:rsidRPr="005C2CEC" w:rsidRDefault="00FF2971" w:rsidP="00FF2971">
            <w:pPr>
              <w:keepLines/>
              <w:spacing w:afterLines="60" w:after="144" w:line="240" w:lineRule="auto"/>
              <w:jc w:val="center"/>
              <w:rPr>
                <w:rFonts w:eastAsia="Times New Roman" w:cs="Times New Roman"/>
                <w:color w:val="000000"/>
                <w:sz w:val="18"/>
                <w:szCs w:val="20"/>
                <w:lang w:eastAsia="sk-SK"/>
              </w:rPr>
            </w:pPr>
            <w:r>
              <w:rPr>
                <w:rFonts w:eastAsia="Times New Roman" w:cs="Times New Roman"/>
                <w:color w:val="000000"/>
                <w:sz w:val="18"/>
                <w:szCs w:val="20"/>
                <w:lang w:eastAsia="sk-SK"/>
              </w:rPr>
              <w:t>Informácia o priebehu realizácie projektu</w:t>
            </w:r>
          </w:p>
        </w:tc>
      </w:tr>
      <w:tr w:rsidR="00FF2971" w:rsidRPr="005C2CEC" w14:paraId="0CE81CC7" w14:textId="77777777" w:rsidTr="00CC3847">
        <w:trPr>
          <w:trHeight w:val="326"/>
        </w:trPr>
        <w:tc>
          <w:tcPr>
            <w:tcW w:w="226" w:type="pct"/>
            <w:vMerge/>
            <w:tcBorders>
              <w:left w:val="nil"/>
              <w:bottom w:val="single" w:sz="4" w:space="0" w:color="auto"/>
              <w:right w:val="dashed" w:sz="4" w:space="0" w:color="BFBFBF" w:themeColor="background1" w:themeShade="BF"/>
            </w:tcBorders>
            <w:shd w:val="clear" w:color="auto" w:fill="auto"/>
            <w:vAlign w:val="center"/>
            <w:hideMark/>
          </w:tcPr>
          <w:p w14:paraId="7CE3CDBF" w14:textId="75142127" w:rsidR="00FF2971" w:rsidRPr="005C2CEC" w:rsidRDefault="00FF2971" w:rsidP="00FF2971">
            <w:pPr>
              <w:keepLines/>
              <w:spacing w:afterLines="60" w:after="144" w:line="240" w:lineRule="auto"/>
              <w:jc w:val="left"/>
              <w:rPr>
                <w:rFonts w:eastAsia="Times New Roman" w:cs="Times New Roman"/>
                <w:color w:val="000000"/>
                <w:sz w:val="18"/>
                <w:szCs w:val="20"/>
                <w:lang w:eastAsia="sk-SK"/>
              </w:rPr>
            </w:pPr>
          </w:p>
        </w:tc>
        <w:tc>
          <w:tcPr>
            <w:tcW w:w="750" w:type="pct"/>
            <w:gridSpan w:val="4"/>
            <w:tcBorders>
              <w:top w:val="dashed" w:sz="4" w:space="0" w:color="D0CECE" w:themeColor="background2" w:themeShade="E6"/>
              <w:left w:val="dashed" w:sz="4" w:space="0" w:color="BFBFBF" w:themeColor="background1" w:themeShade="BF"/>
              <w:bottom w:val="single" w:sz="4" w:space="0" w:color="auto"/>
              <w:right w:val="single" w:sz="4" w:space="0" w:color="auto"/>
            </w:tcBorders>
            <w:shd w:val="clear" w:color="auto" w:fill="auto"/>
            <w:noWrap/>
            <w:vAlign w:val="center"/>
            <w:hideMark/>
          </w:tcPr>
          <w:p w14:paraId="2ACD783D" w14:textId="75AC98F8" w:rsidR="00FF2971" w:rsidRPr="005C2CEC" w:rsidRDefault="00FF2971" w:rsidP="00FF2971">
            <w:pPr>
              <w:keepLines/>
              <w:spacing w:afterLines="30" w:after="72" w:line="240" w:lineRule="auto"/>
              <w:jc w:val="left"/>
              <w:rPr>
                <w:rFonts w:eastAsia="Times New Roman" w:cs="Times New Roman"/>
                <w:color w:val="000000"/>
                <w:sz w:val="18"/>
                <w:szCs w:val="20"/>
                <w:lang w:eastAsia="sk-SK"/>
              </w:rPr>
            </w:pPr>
            <w:r w:rsidRPr="005C2CEC">
              <w:rPr>
                <w:rFonts w:eastAsia="Times New Roman" w:cs="Times New Roman"/>
                <w:color w:val="000000"/>
                <w:sz w:val="18"/>
                <w:szCs w:val="20"/>
                <w:lang w:eastAsia="sk-SK"/>
              </w:rPr>
              <w:t>Interné vyhodnotenie investičného projektu</w:t>
            </w:r>
          </w:p>
          <w:p w14:paraId="4A59203B" w14:textId="0CDBFB22" w:rsidR="00FF2971" w:rsidRPr="005C2CEC" w:rsidRDefault="00FF2971" w:rsidP="00FF2971">
            <w:pPr>
              <w:keepLines/>
              <w:spacing w:afterLines="30" w:after="72" w:line="240" w:lineRule="auto"/>
              <w:jc w:val="left"/>
              <w:rPr>
                <w:rFonts w:eastAsia="Times New Roman" w:cs="Times New Roman"/>
                <w:i/>
                <w:color w:val="000000"/>
                <w:sz w:val="18"/>
                <w:szCs w:val="20"/>
                <w:lang w:eastAsia="sk-SK"/>
              </w:rPr>
            </w:pPr>
            <w:r w:rsidRPr="005C2CEC">
              <w:rPr>
                <w:rFonts w:eastAsia="Times New Roman" w:cs="Times New Roman"/>
                <w:i/>
                <w:color w:val="000000"/>
                <w:sz w:val="18"/>
                <w:szCs w:val="20"/>
                <w:lang w:eastAsia="sk-SK"/>
              </w:rPr>
              <w:t xml:space="preserve">(kapitola </w:t>
            </w:r>
            <w:r w:rsidRPr="005C2CEC">
              <w:rPr>
                <w:rFonts w:eastAsia="Times New Roman" w:cs="Times New Roman"/>
                <w:i/>
                <w:color w:val="000000"/>
                <w:sz w:val="18"/>
                <w:szCs w:val="20"/>
                <w:lang w:eastAsia="sk-SK"/>
              </w:rPr>
              <w:fldChar w:fldCharType="begin"/>
            </w:r>
            <w:r w:rsidRPr="005C2CEC">
              <w:rPr>
                <w:rFonts w:eastAsia="Times New Roman" w:cs="Times New Roman"/>
                <w:i/>
                <w:color w:val="000000"/>
                <w:sz w:val="18"/>
                <w:szCs w:val="20"/>
                <w:lang w:eastAsia="sk-SK"/>
              </w:rPr>
              <w:instrText xml:space="preserve"> REF _Ref45288025 \r \h  \* MERGEFORMAT </w:instrText>
            </w:r>
            <w:r w:rsidRPr="005C2CEC">
              <w:rPr>
                <w:rFonts w:eastAsia="Times New Roman" w:cs="Times New Roman"/>
                <w:i/>
                <w:color w:val="000000"/>
                <w:sz w:val="18"/>
                <w:szCs w:val="20"/>
                <w:lang w:eastAsia="sk-SK"/>
              </w:rPr>
            </w:r>
            <w:r w:rsidRPr="005C2CEC">
              <w:rPr>
                <w:rFonts w:eastAsia="Times New Roman" w:cs="Times New Roman"/>
                <w:i/>
                <w:color w:val="000000"/>
                <w:sz w:val="18"/>
                <w:szCs w:val="20"/>
                <w:lang w:eastAsia="sk-SK"/>
              </w:rPr>
              <w:fldChar w:fldCharType="separate"/>
            </w:r>
            <w:r w:rsidR="000D2AF7">
              <w:rPr>
                <w:rFonts w:eastAsia="Times New Roman" w:cs="Times New Roman"/>
                <w:i/>
                <w:color w:val="000000"/>
                <w:sz w:val="18"/>
                <w:szCs w:val="20"/>
                <w:lang w:eastAsia="sk-SK"/>
              </w:rPr>
              <w:t>7.2</w:t>
            </w:r>
            <w:r w:rsidRPr="005C2CEC">
              <w:rPr>
                <w:rFonts w:eastAsia="Times New Roman" w:cs="Times New Roman"/>
                <w:i/>
                <w:color w:val="000000"/>
                <w:sz w:val="18"/>
                <w:szCs w:val="20"/>
                <w:lang w:eastAsia="sk-SK"/>
              </w:rPr>
              <w:fldChar w:fldCharType="end"/>
            </w:r>
            <w:r w:rsidRPr="005C2CEC">
              <w:rPr>
                <w:rFonts w:eastAsia="Times New Roman" w:cs="Times New Roman"/>
                <w:i/>
                <w:color w:val="000000"/>
                <w:sz w:val="18"/>
                <w:szCs w:val="20"/>
                <w:lang w:eastAsia="sk-SK"/>
              </w:rPr>
              <w:t>)</w:t>
            </w:r>
          </w:p>
        </w:tc>
        <w:tc>
          <w:tcPr>
            <w:tcW w:w="1285" w:type="pct"/>
            <w:gridSpan w:val="2"/>
            <w:tcBorders>
              <w:top w:val="dashed" w:sz="4" w:space="0" w:color="D0CECE" w:themeColor="background2" w:themeShade="E6"/>
              <w:left w:val="nil"/>
              <w:bottom w:val="single" w:sz="4" w:space="0" w:color="auto"/>
              <w:right w:val="nil"/>
            </w:tcBorders>
            <w:shd w:val="clear" w:color="auto" w:fill="auto"/>
            <w:vAlign w:val="center"/>
            <w:hideMark/>
          </w:tcPr>
          <w:p w14:paraId="58365D69" w14:textId="032180D1" w:rsidR="00FF2971" w:rsidRPr="005C2CEC" w:rsidRDefault="00FF2971" w:rsidP="00FF2971">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Príslušné ministerstvo môže vykonať ex-post spoločensko-ekonomické hodnotenie projektu a zverejniť správu z následného hodnotenia</w:t>
            </w:r>
          </w:p>
        </w:tc>
        <w:tc>
          <w:tcPr>
            <w:tcW w:w="1201" w:type="pct"/>
            <w:gridSpan w:val="2"/>
            <w:tcBorders>
              <w:top w:val="dashed" w:sz="4" w:space="0" w:color="D0CECE" w:themeColor="background2" w:themeShade="E6"/>
              <w:left w:val="nil"/>
              <w:bottom w:val="single" w:sz="4" w:space="0" w:color="auto"/>
              <w:right w:val="nil"/>
            </w:tcBorders>
            <w:shd w:val="clear" w:color="auto" w:fill="auto"/>
            <w:vAlign w:val="center"/>
            <w:hideMark/>
          </w:tcPr>
          <w:p w14:paraId="2DE117BE" w14:textId="338033C6" w:rsidR="00FF2971" w:rsidRPr="005C2CEC" w:rsidRDefault="00FF2971" w:rsidP="00FF2971">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do 12 mesiacov od odovzdania investičného projektu v informatizácii</w:t>
            </w:r>
          </w:p>
          <w:p w14:paraId="1168EA6A" w14:textId="00F597B0" w:rsidR="00FF2971" w:rsidRPr="005C2CEC" w:rsidRDefault="00FF2971" w:rsidP="00FF2971">
            <w:pPr>
              <w:keepLines/>
              <w:spacing w:afterLines="60" w:after="144" w:line="240" w:lineRule="auto"/>
              <w:jc w:val="center"/>
              <w:rPr>
                <w:rFonts w:eastAsia="Times New Roman" w:cs="Times New Roman"/>
                <w:i/>
                <w:color w:val="000000"/>
                <w:sz w:val="18"/>
                <w:szCs w:val="20"/>
                <w:lang w:eastAsia="sk-SK"/>
              </w:rPr>
            </w:pPr>
            <w:r w:rsidRPr="005C2CEC">
              <w:rPr>
                <w:rFonts w:eastAsia="Times New Roman" w:cs="Times New Roman"/>
                <w:i/>
                <w:color w:val="000000"/>
                <w:sz w:val="18"/>
                <w:szCs w:val="20"/>
                <w:lang w:eastAsia="sk-SK"/>
              </w:rPr>
              <w:t>alebo</w:t>
            </w:r>
          </w:p>
          <w:p w14:paraId="38AA6727" w14:textId="498F3F05" w:rsidR="00FF2971" w:rsidRPr="005C2CEC" w:rsidRDefault="00FF2971" w:rsidP="00FF2971">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do 24 mesiacov od odovzdania investičného projektu v ostatných oblastiach</w:t>
            </w:r>
          </w:p>
        </w:tc>
        <w:tc>
          <w:tcPr>
            <w:tcW w:w="676" w:type="pct"/>
            <w:gridSpan w:val="2"/>
            <w:tcBorders>
              <w:top w:val="dashed" w:sz="4" w:space="0" w:color="D0CECE" w:themeColor="background2" w:themeShade="E6"/>
              <w:left w:val="nil"/>
              <w:bottom w:val="single" w:sz="4" w:space="0" w:color="auto"/>
              <w:right w:val="nil"/>
            </w:tcBorders>
            <w:shd w:val="clear" w:color="auto" w:fill="auto"/>
            <w:vAlign w:val="center"/>
            <w:hideMark/>
          </w:tcPr>
          <w:p w14:paraId="7C440D1E" w14:textId="28F76388" w:rsidR="00FF2971" w:rsidRPr="005C2CEC" w:rsidRDefault="00FF2971" w:rsidP="00DB5DE6">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 xml:space="preserve">Hodnotí </w:t>
            </w:r>
            <w:r w:rsidR="00DB5DE6">
              <w:rPr>
                <w:rFonts w:eastAsia="Times New Roman" w:cs="Times New Roman"/>
                <w:color w:val="000000"/>
                <w:sz w:val="18"/>
                <w:szCs w:val="20"/>
                <w:lang w:eastAsia="sk-SK"/>
              </w:rPr>
              <w:t>AJ príslušného ministerstva</w:t>
            </w:r>
            <w:r w:rsidRPr="005C2CEC">
              <w:rPr>
                <w:rFonts w:eastAsia="Times New Roman" w:cs="Times New Roman"/>
                <w:color w:val="000000"/>
                <w:sz w:val="18"/>
                <w:szCs w:val="20"/>
                <w:lang w:eastAsia="sk-SK"/>
              </w:rPr>
              <w:t xml:space="preserve"> alebo NKÚ</w:t>
            </w:r>
          </w:p>
        </w:tc>
        <w:tc>
          <w:tcPr>
            <w:tcW w:w="862" w:type="pct"/>
            <w:gridSpan w:val="2"/>
            <w:tcBorders>
              <w:top w:val="dashed" w:sz="4" w:space="0" w:color="D0CECE" w:themeColor="background2" w:themeShade="E6"/>
              <w:left w:val="nil"/>
              <w:bottom w:val="single" w:sz="4" w:space="0" w:color="auto"/>
              <w:right w:val="nil"/>
            </w:tcBorders>
            <w:shd w:val="clear" w:color="auto" w:fill="auto"/>
            <w:vAlign w:val="center"/>
            <w:hideMark/>
          </w:tcPr>
          <w:p w14:paraId="54BD0C7A" w14:textId="586F0618" w:rsidR="00FF2971" w:rsidRPr="005C2CEC" w:rsidRDefault="00FF2971" w:rsidP="00FF2971">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Správa z následného hodnotenia</w:t>
            </w:r>
          </w:p>
          <w:p w14:paraId="59B842D0" w14:textId="72AA6DAD" w:rsidR="00FF2971" w:rsidRPr="005C2CEC" w:rsidRDefault="00FF2971" w:rsidP="00FF2971">
            <w:pPr>
              <w:keepLines/>
              <w:spacing w:afterLines="60" w:after="144" w:line="240" w:lineRule="auto"/>
              <w:jc w:val="center"/>
              <w:rPr>
                <w:rFonts w:eastAsia="Times New Roman" w:cs="Times New Roman"/>
                <w:color w:val="000000"/>
                <w:sz w:val="18"/>
                <w:szCs w:val="20"/>
                <w:lang w:eastAsia="sk-SK"/>
              </w:rPr>
            </w:pPr>
            <w:r w:rsidRPr="005C2CEC">
              <w:rPr>
                <w:rFonts w:eastAsia="Times New Roman" w:cs="Times New Roman"/>
                <w:color w:val="000000"/>
                <w:sz w:val="18"/>
                <w:szCs w:val="20"/>
                <w:lang w:eastAsia="sk-SK"/>
              </w:rPr>
              <w:t>Aktualizácia sektorových metodík</w:t>
            </w:r>
          </w:p>
        </w:tc>
      </w:tr>
      <w:tr w:rsidR="00FF2971" w:rsidRPr="005C2CEC" w14:paraId="7CF865C6" w14:textId="77777777" w:rsidTr="009D49E3">
        <w:trPr>
          <w:trHeight w:val="113"/>
        </w:trPr>
        <w:tc>
          <w:tcPr>
            <w:tcW w:w="301" w:type="pct"/>
            <w:gridSpan w:val="2"/>
            <w:tcBorders>
              <w:top w:val="single" w:sz="4" w:space="0" w:color="auto"/>
              <w:left w:val="nil"/>
            </w:tcBorders>
            <w:shd w:val="clear" w:color="auto" w:fill="auto"/>
            <w:vAlign w:val="bottom"/>
          </w:tcPr>
          <w:p w14:paraId="5F5C274C" w14:textId="77777777" w:rsidR="00FF2971" w:rsidRPr="005C2CEC" w:rsidRDefault="00FF2971" w:rsidP="00FF2971">
            <w:pPr>
              <w:keepLines/>
              <w:spacing w:after="0" w:line="240" w:lineRule="auto"/>
              <w:jc w:val="left"/>
              <w:rPr>
                <w:rFonts w:eastAsia="Times New Roman" w:cs="Times New Roman"/>
                <w:color w:val="000000"/>
                <w:sz w:val="6"/>
                <w:szCs w:val="20"/>
                <w:lang w:eastAsia="sk-SK"/>
              </w:rPr>
            </w:pPr>
          </w:p>
        </w:tc>
        <w:tc>
          <w:tcPr>
            <w:tcW w:w="525" w:type="pct"/>
            <w:gridSpan w:val="2"/>
            <w:tcBorders>
              <w:top w:val="single" w:sz="4" w:space="0" w:color="auto"/>
            </w:tcBorders>
            <w:shd w:val="clear" w:color="auto" w:fill="auto"/>
            <w:noWrap/>
            <w:vAlign w:val="bottom"/>
          </w:tcPr>
          <w:p w14:paraId="6D5C86DE" w14:textId="77777777" w:rsidR="00FF2971" w:rsidRPr="005C2CEC" w:rsidRDefault="00FF2971" w:rsidP="00FF2971">
            <w:pPr>
              <w:keepLines/>
              <w:spacing w:after="0" w:line="240" w:lineRule="auto"/>
              <w:jc w:val="left"/>
              <w:rPr>
                <w:rFonts w:eastAsia="Times New Roman" w:cs="Times New Roman"/>
                <w:color w:val="000000"/>
                <w:sz w:val="6"/>
                <w:szCs w:val="20"/>
                <w:lang w:eastAsia="sk-SK"/>
              </w:rPr>
            </w:pPr>
          </w:p>
        </w:tc>
        <w:tc>
          <w:tcPr>
            <w:tcW w:w="4174" w:type="pct"/>
            <w:gridSpan w:val="9"/>
            <w:tcBorders>
              <w:top w:val="single" w:sz="4" w:space="0" w:color="auto"/>
              <w:right w:val="nil"/>
            </w:tcBorders>
            <w:shd w:val="clear" w:color="auto" w:fill="auto"/>
            <w:vAlign w:val="bottom"/>
          </w:tcPr>
          <w:p w14:paraId="11AEE0F2" w14:textId="77777777" w:rsidR="00FF2971" w:rsidRPr="005C2CEC" w:rsidRDefault="00FF2971" w:rsidP="00FF2971">
            <w:pPr>
              <w:keepLines/>
              <w:spacing w:after="0" w:line="240" w:lineRule="auto"/>
              <w:jc w:val="left"/>
              <w:rPr>
                <w:rFonts w:eastAsia="Times New Roman" w:cs="Times New Roman"/>
                <w:color w:val="000000"/>
                <w:sz w:val="6"/>
                <w:szCs w:val="20"/>
                <w:lang w:eastAsia="sk-SK"/>
              </w:rPr>
            </w:pPr>
          </w:p>
        </w:tc>
      </w:tr>
      <w:tr w:rsidR="00FF2971" w:rsidRPr="005C2CEC" w14:paraId="1D2CD4B0" w14:textId="77777777" w:rsidTr="009D49E3">
        <w:trPr>
          <w:trHeight w:val="326"/>
        </w:trPr>
        <w:tc>
          <w:tcPr>
            <w:tcW w:w="301" w:type="pct"/>
            <w:gridSpan w:val="2"/>
            <w:tcBorders>
              <w:left w:val="nil"/>
            </w:tcBorders>
            <w:shd w:val="clear" w:color="auto" w:fill="auto"/>
            <w:vAlign w:val="bottom"/>
          </w:tcPr>
          <w:p w14:paraId="3A7D8756" w14:textId="50C12292" w:rsidR="00FF2971" w:rsidRPr="005C2CEC" w:rsidRDefault="00FF2971" w:rsidP="00FF2971">
            <w:pPr>
              <w:keepLines/>
              <w:spacing w:after="0" w:line="240" w:lineRule="auto"/>
              <w:jc w:val="left"/>
              <w:rPr>
                <w:rFonts w:eastAsia="Times New Roman" w:cs="Times New Roman"/>
                <w:color w:val="000000"/>
                <w:sz w:val="18"/>
                <w:szCs w:val="20"/>
                <w:lang w:eastAsia="sk-SK"/>
              </w:rPr>
            </w:pPr>
            <w:r w:rsidRPr="005C2CEC">
              <w:rPr>
                <w:rFonts w:eastAsia="Times New Roman" w:cs="Times New Roman"/>
                <w:color w:val="000000"/>
                <w:sz w:val="18"/>
                <w:szCs w:val="20"/>
                <w:lang w:eastAsia="sk-SK"/>
              </w:rPr>
              <w:t>Pozn.:</w:t>
            </w:r>
          </w:p>
        </w:tc>
        <w:tc>
          <w:tcPr>
            <w:tcW w:w="450" w:type="pct"/>
            <w:shd w:val="clear" w:color="auto" w:fill="DEEAF6" w:themeFill="accent1" w:themeFillTint="33"/>
            <w:noWrap/>
            <w:tcMar>
              <w:left w:w="0" w:type="dxa"/>
              <w:right w:w="28" w:type="dxa"/>
            </w:tcMar>
            <w:vAlign w:val="bottom"/>
          </w:tcPr>
          <w:p w14:paraId="7CBDB831" w14:textId="2EF5F448" w:rsidR="00FF2971" w:rsidRPr="005C2CEC" w:rsidRDefault="00FF2971" w:rsidP="00FF2971">
            <w:pPr>
              <w:keepLines/>
              <w:spacing w:after="0" w:line="240" w:lineRule="auto"/>
              <w:jc w:val="left"/>
              <w:rPr>
                <w:rFonts w:eastAsia="Times New Roman" w:cs="Times New Roman"/>
                <w:color w:val="000000"/>
                <w:sz w:val="18"/>
                <w:szCs w:val="20"/>
                <w:lang w:eastAsia="sk-SK"/>
              </w:rPr>
            </w:pPr>
            <w:r w:rsidRPr="005C2CEC">
              <w:rPr>
                <w:rFonts w:eastAsia="Times New Roman" w:cs="Times New Roman"/>
                <w:color w:val="000000"/>
                <w:sz w:val="18"/>
                <w:szCs w:val="20"/>
                <w:lang w:eastAsia="sk-SK"/>
              </w:rPr>
              <w:t>Zvýraznenie</w:t>
            </w:r>
          </w:p>
        </w:tc>
        <w:tc>
          <w:tcPr>
            <w:tcW w:w="4249" w:type="pct"/>
            <w:gridSpan w:val="10"/>
            <w:tcBorders>
              <w:right w:val="nil"/>
            </w:tcBorders>
            <w:shd w:val="clear" w:color="auto" w:fill="auto"/>
            <w:tcMar>
              <w:left w:w="0" w:type="dxa"/>
              <w:right w:w="28" w:type="dxa"/>
            </w:tcMar>
            <w:vAlign w:val="bottom"/>
          </w:tcPr>
          <w:p w14:paraId="373F9466" w14:textId="2208042C" w:rsidR="00FF2971" w:rsidRPr="005C2CEC" w:rsidRDefault="00FF2971" w:rsidP="00FF2971">
            <w:pPr>
              <w:keepLines/>
              <w:spacing w:after="0" w:line="240" w:lineRule="auto"/>
              <w:jc w:val="left"/>
              <w:rPr>
                <w:rFonts w:eastAsia="Times New Roman" w:cs="Times New Roman"/>
                <w:color w:val="000000"/>
                <w:sz w:val="18"/>
                <w:szCs w:val="20"/>
                <w:lang w:eastAsia="sk-SK"/>
              </w:rPr>
            </w:pPr>
            <w:r w:rsidRPr="005C2CEC">
              <w:rPr>
                <w:rFonts w:eastAsia="Times New Roman" w:cs="Times New Roman"/>
                <w:color w:val="000000"/>
                <w:sz w:val="18"/>
                <w:szCs w:val="20"/>
                <w:lang w:eastAsia="sk-SK"/>
              </w:rPr>
              <w:t xml:space="preserve">identifikuje kroky povinné pre </w:t>
            </w:r>
            <w:r>
              <w:rPr>
                <w:rFonts w:eastAsia="Times New Roman" w:cs="Times New Roman"/>
                <w:color w:val="000000"/>
                <w:sz w:val="18"/>
                <w:szCs w:val="20"/>
                <w:lang w:eastAsia="sk-SK"/>
              </w:rPr>
              <w:t xml:space="preserve">investičné </w:t>
            </w:r>
            <w:r w:rsidRPr="005C2CEC">
              <w:rPr>
                <w:rFonts w:eastAsia="Times New Roman" w:cs="Times New Roman"/>
                <w:color w:val="000000"/>
                <w:sz w:val="18"/>
                <w:szCs w:val="20"/>
                <w:lang w:eastAsia="sk-SK"/>
              </w:rPr>
              <w:t xml:space="preserve">projekty </w:t>
            </w:r>
            <w:r>
              <w:rPr>
                <w:rFonts w:eastAsia="Times New Roman" w:cs="Times New Roman"/>
                <w:color w:val="000000"/>
                <w:sz w:val="18"/>
                <w:szCs w:val="20"/>
                <w:lang w:eastAsia="sk-SK"/>
              </w:rPr>
              <w:t xml:space="preserve">s hodnotou </w:t>
            </w:r>
            <w:r w:rsidRPr="005C2CEC">
              <w:rPr>
                <w:rFonts w:eastAsia="Times New Roman" w:cs="Times New Roman"/>
                <w:color w:val="000000"/>
                <w:sz w:val="18"/>
                <w:szCs w:val="20"/>
                <w:lang w:eastAsia="sk-SK"/>
              </w:rPr>
              <w:t xml:space="preserve">nad </w:t>
            </w:r>
            <w:r>
              <w:rPr>
                <w:rFonts w:eastAsia="Times New Roman" w:cs="Times New Roman"/>
                <w:color w:val="000000"/>
                <w:sz w:val="18"/>
                <w:szCs w:val="20"/>
                <w:lang w:eastAsia="sk-SK"/>
              </w:rPr>
              <w:t>ustanovenou</w:t>
            </w:r>
            <w:r w:rsidRPr="005C2CEC">
              <w:rPr>
                <w:rFonts w:eastAsia="Times New Roman" w:cs="Times New Roman"/>
                <w:color w:val="000000"/>
                <w:sz w:val="18"/>
                <w:szCs w:val="20"/>
                <w:lang w:eastAsia="sk-SK"/>
              </w:rPr>
              <w:t xml:space="preserve"> hranicou</w:t>
            </w:r>
          </w:p>
        </w:tc>
      </w:tr>
    </w:tbl>
    <w:p w14:paraId="2C1A9336" w14:textId="6895A572" w:rsidR="00890D85" w:rsidRPr="005C2CEC" w:rsidRDefault="00092A31" w:rsidP="00890D85">
      <w:pPr>
        <w:pStyle w:val="Nadpis1"/>
      </w:pPr>
      <w:bookmarkStart w:id="93" w:name="_Toc62580552"/>
      <w:bookmarkStart w:id="94" w:name="_Toc62653813"/>
      <w:bookmarkStart w:id="95" w:name="_Toc83651077"/>
      <w:bookmarkEnd w:id="93"/>
      <w:bookmarkEnd w:id="94"/>
      <w:r w:rsidRPr="005C2CEC">
        <w:lastRenderedPageBreak/>
        <w:t>Strategické</w:t>
      </w:r>
      <w:r w:rsidR="00890D85" w:rsidRPr="005C2CEC">
        <w:t xml:space="preserve"> plánovanie</w:t>
      </w:r>
      <w:r w:rsidR="0064740F" w:rsidRPr="005C2CEC">
        <w:t xml:space="preserve"> investícií</w:t>
      </w:r>
      <w:bookmarkEnd w:id="95"/>
    </w:p>
    <w:p w14:paraId="05A72C87" w14:textId="7C713E2C" w:rsidR="0090710F" w:rsidRPr="005C2CEC" w:rsidRDefault="00AD0B58" w:rsidP="000F10B6">
      <w:r w:rsidRPr="005C2CEC">
        <w:t xml:space="preserve">Účelom tejto kapitoly je nastaviť jasné pravidlá </w:t>
      </w:r>
      <w:r w:rsidR="002D2539" w:rsidRPr="005C2CEC">
        <w:t xml:space="preserve">a zodpovednosti </w:t>
      </w:r>
      <w:r w:rsidRPr="005C2CEC">
        <w:t xml:space="preserve">pre subjekty verejnej správy v procese plánovania </w:t>
      </w:r>
      <w:r w:rsidR="002D2539" w:rsidRPr="005C2CEC">
        <w:t xml:space="preserve">verejných </w:t>
      </w:r>
      <w:r w:rsidRPr="005C2CEC">
        <w:t>investičných projektov.</w:t>
      </w:r>
      <w:r w:rsidR="00264860" w:rsidRPr="005C2CEC">
        <w:t xml:space="preserve"> Základným strategickým dokumentom </w:t>
      </w:r>
      <w:r w:rsidR="00FF2971">
        <w:t>štátu</w:t>
      </w:r>
      <w:r w:rsidR="008243D3">
        <w:t xml:space="preserve"> </w:t>
      </w:r>
      <w:r w:rsidR="00264860" w:rsidRPr="005C2CEC">
        <w:t xml:space="preserve">pre oblasť investícií je </w:t>
      </w:r>
      <w:r w:rsidR="008243D3">
        <w:t>n</w:t>
      </w:r>
      <w:r w:rsidR="00264860" w:rsidRPr="005C2CEC">
        <w:t xml:space="preserve">árodná investičná stratégia. Na ňu nadväzujú sektorové investičné stratégie. Sektorová investičná stratégia obsahuje tri základné časti: metodiku pre určovanie priorít, priorizovaný zoznam investičných projektov a investičný plán. Stratégia nemusí byť samostatný dokument, môže byť súčasťou iných </w:t>
      </w:r>
      <w:r w:rsidR="008243D3">
        <w:t xml:space="preserve">už existujúcich </w:t>
      </w:r>
      <w:r w:rsidR="00264860" w:rsidRPr="005C2CEC">
        <w:t xml:space="preserve">strategických dokumentov. Sektorovú investičnú stratégiu schvaľuje ministerstvo zodpovedné za daný sektor, prípadne vláda SR. </w:t>
      </w:r>
    </w:p>
    <w:p w14:paraId="6EB6D17F" w14:textId="6C77FECA" w:rsidR="00E52689" w:rsidRPr="005C2CEC" w:rsidRDefault="00E52689" w:rsidP="00E52689">
      <w:pPr>
        <w:pStyle w:val="Popis"/>
      </w:pPr>
      <w:bookmarkStart w:id="96" w:name="_Toc83651099"/>
      <w:r w:rsidRPr="005C2CEC">
        <w:t xml:space="preserve">Schéma </w:t>
      </w:r>
      <w:r w:rsidR="00E516AE">
        <w:fldChar w:fldCharType="begin"/>
      </w:r>
      <w:r w:rsidR="00E516AE">
        <w:instrText xml:space="preserve"> SEQ Schéma \* ARABIC </w:instrText>
      </w:r>
      <w:r w:rsidR="00E516AE">
        <w:fldChar w:fldCharType="separate"/>
      </w:r>
      <w:r w:rsidR="000D2AF7">
        <w:rPr>
          <w:noProof/>
        </w:rPr>
        <w:t>3</w:t>
      </w:r>
      <w:r w:rsidR="00E516AE">
        <w:rPr>
          <w:noProof/>
        </w:rPr>
        <w:fldChar w:fldCharType="end"/>
      </w:r>
      <w:r w:rsidRPr="005C2CEC">
        <w:t xml:space="preserve">: </w:t>
      </w:r>
      <w:r w:rsidR="00CC43B8" w:rsidRPr="005C2CEC">
        <w:t>Proces strategického plánovania</w:t>
      </w:r>
      <w:r w:rsidR="00A97517" w:rsidRPr="005C2CEC">
        <w:t xml:space="preserve"> verejných</w:t>
      </w:r>
      <w:r w:rsidR="00CC43B8" w:rsidRPr="005C2CEC">
        <w:t xml:space="preserve"> </w:t>
      </w:r>
      <w:r w:rsidR="00FC1A9F" w:rsidRPr="005C2CEC">
        <w:t>investičných projektov</w:t>
      </w:r>
      <w:bookmarkEnd w:id="96"/>
    </w:p>
    <w:p w14:paraId="38EFC7C1" w14:textId="1086F336" w:rsidR="00B722FE" w:rsidRPr="005C2CEC" w:rsidRDefault="00982788" w:rsidP="00C87833">
      <w:pPr>
        <w:ind w:left="-567"/>
      </w:pPr>
      <w:r w:rsidRPr="005C2CEC">
        <w:rPr>
          <w:noProof/>
          <w:lang w:eastAsia="sk-SK"/>
        </w:rPr>
        <w:drawing>
          <wp:inline distT="0" distB="0" distL="0" distR="0" wp14:anchorId="4354080A" wp14:editId="341CD557">
            <wp:extent cx="6438900" cy="2287887"/>
            <wp:effectExtent l="0" t="0" r="0" b="0"/>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449077" cy="2291503"/>
                    </a:xfrm>
                    <a:prstGeom prst="rect">
                      <a:avLst/>
                    </a:prstGeom>
                    <a:noFill/>
                  </pic:spPr>
                </pic:pic>
              </a:graphicData>
            </a:graphic>
          </wp:inline>
        </w:drawing>
      </w:r>
    </w:p>
    <w:p w14:paraId="466D8428" w14:textId="67E5A8FA" w:rsidR="004B5CA1" w:rsidRPr="005C2CEC" w:rsidRDefault="00544E74" w:rsidP="00890D85">
      <w:pPr>
        <w:pStyle w:val="Nadpis2"/>
      </w:pPr>
      <w:bookmarkStart w:id="97" w:name="_Ref45287852"/>
      <w:bookmarkStart w:id="98" w:name="_Toc83651078"/>
      <w:r w:rsidRPr="005C2CEC">
        <w:t xml:space="preserve">Národná </w:t>
      </w:r>
      <w:r w:rsidR="0064740F" w:rsidRPr="005C2CEC">
        <w:t xml:space="preserve">investičná </w:t>
      </w:r>
      <w:r w:rsidR="008916CB" w:rsidRPr="005C2CEC">
        <w:t>stratégia</w:t>
      </w:r>
      <w:bookmarkEnd w:id="97"/>
      <w:bookmarkEnd w:id="98"/>
    </w:p>
    <w:p w14:paraId="653EB857" w14:textId="77777777" w:rsidR="003D5A6E" w:rsidRDefault="00BE3546" w:rsidP="00F41E8B">
      <w:r w:rsidRPr="005C2CEC">
        <w:t xml:space="preserve">Strategické priority </w:t>
      </w:r>
      <w:r w:rsidR="002652E3" w:rsidRPr="005C2CEC">
        <w:t xml:space="preserve">Slovenska </w:t>
      </w:r>
      <w:r w:rsidRPr="005C2CEC">
        <w:t>sú</w:t>
      </w:r>
      <w:r w:rsidR="00F41E8B" w:rsidRPr="005C2CEC">
        <w:t xml:space="preserve"> stanovené v dokumente nadrezortného charakteru, ktorého účelom je </w:t>
      </w:r>
      <w:r w:rsidRPr="005C2CEC">
        <w:t>formulovať</w:t>
      </w:r>
      <w:r w:rsidR="00F41E8B" w:rsidRPr="005C2CEC">
        <w:t xml:space="preserve"> </w:t>
      </w:r>
      <w:r w:rsidRPr="005C2CEC">
        <w:t xml:space="preserve">celonárodné </w:t>
      </w:r>
      <w:r w:rsidR="00FD0989" w:rsidRPr="005C2CEC">
        <w:t>investičné priority</w:t>
      </w:r>
      <w:r w:rsidRPr="005C2CEC">
        <w:t xml:space="preserve"> </w:t>
      </w:r>
      <w:r w:rsidR="00634CCF" w:rsidRPr="005C2CEC">
        <w:t>pre</w:t>
      </w:r>
      <w:r w:rsidR="00051C26" w:rsidRPr="005C2CEC">
        <w:t xml:space="preserve"> </w:t>
      </w:r>
      <w:r w:rsidR="00634CCF" w:rsidRPr="005C2CEC">
        <w:t>jednotlivé</w:t>
      </w:r>
      <w:r w:rsidR="00F12696" w:rsidRPr="005C2CEC">
        <w:t xml:space="preserve"> oblasti</w:t>
      </w:r>
      <w:r w:rsidR="00051C26" w:rsidRPr="005C2CEC">
        <w:t xml:space="preserve"> verejnej politiky</w:t>
      </w:r>
      <w:r w:rsidR="00045BF4" w:rsidRPr="005C2CEC">
        <w:t xml:space="preserve"> (ďalej len „národná </w:t>
      </w:r>
      <w:r w:rsidR="006D54AC" w:rsidRPr="005C2CEC">
        <w:t xml:space="preserve">investičná </w:t>
      </w:r>
      <w:r w:rsidR="00045BF4" w:rsidRPr="005C2CEC">
        <w:t>stratégia“)</w:t>
      </w:r>
      <w:r w:rsidR="00051C26" w:rsidRPr="005C2CEC">
        <w:t>.</w:t>
      </w:r>
      <w:r w:rsidR="008D0D64">
        <w:t xml:space="preserve"> </w:t>
      </w:r>
      <w:r w:rsidR="00295569">
        <w:t>Stanovenie</w:t>
      </w:r>
      <w:r w:rsidR="00295569" w:rsidRPr="005C2CEC">
        <w:t xml:space="preserve"> </w:t>
      </w:r>
      <w:r w:rsidR="00D52E93" w:rsidRPr="005C2CEC">
        <w:t>priorít dôležitých pre ďalší rozvoj je potrebné</w:t>
      </w:r>
      <w:r w:rsidR="00295569">
        <w:t xml:space="preserve"> analyticky podložiť a</w:t>
      </w:r>
      <w:r w:rsidR="00D52E93" w:rsidRPr="005C2CEC">
        <w:t xml:space="preserve"> plánovať v dlhodobom horizonte tak, aby nepodliehali náhlym zmenám podľa </w:t>
      </w:r>
      <w:r w:rsidR="00367C3C" w:rsidRPr="005C2CEC">
        <w:t>krátkodobých</w:t>
      </w:r>
      <w:r w:rsidR="00D52E93" w:rsidRPr="005C2CEC">
        <w:t xml:space="preserve"> preferencií. </w:t>
      </w:r>
      <w:r w:rsidR="00934F65" w:rsidRPr="00934F65">
        <w:t xml:space="preserve">Národná investičná stratégia by mala definovať vrcholové celoštátne investičné ciele, na ktoré budú nadväzovať sektorové investičné </w:t>
      </w:r>
      <w:r w:rsidR="00934F65">
        <w:t>ciele</w:t>
      </w:r>
      <w:r w:rsidR="00934F65" w:rsidRPr="00934F65">
        <w:t xml:space="preserve">. </w:t>
      </w:r>
      <w:r w:rsidR="00C45692">
        <w:t xml:space="preserve">Pri </w:t>
      </w:r>
      <w:r w:rsidR="00974DC1">
        <w:t>definovaní cieľov</w:t>
      </w:r>
      <w:r w:rsidR="00C45692">
        <w:t xml:space="preserve"> národnej investičnej stratégie je </w:t>
      </w:r>
      <w:r w:rsidR="003D5A6E">
        <w:t>potrebné</w:t>
      </w:r>
      <w:r w:rsidR="00C45692">
        <w:t xml:space="preserve"> zohľadniť relevantné sektorové strategické dokumen</w:t>
      </w:r>
      <w:r w:rsidR="003D5A6E">
        <w:t>ty a plány v ich platnom znení.</w:t>
      </w:r>
    </w:p>
    <w:p w14:paraId="1AFC00B8" w14:textId="1B674E97" w:rsidR="00051C26" w:rsidRPr="005C2CEC" w:rsidRDefault="00E36647" w:rsidP="00F41E8B">
      <w:r w:rsidRPr="005C2CEC">
        <w:t>Gesto</w:t>
      </w:r>
      <w:r w:rsidR="00FA4091" w:rsidRPr="005C2CEC">
        <w:t>r</w:t>
      </w:r>
      <w:r w:rsidR="00E73191">
        <w:t>om</w:t>
      </w:r>
      <w:r w:rsidRPr="005C2CEC">
        <w:t xml:space="preserve"> národnej</w:t>
      </w:r>
      <w:r w:rsidR="006D54AC" w:rsidRPr="005C2CEC">
        <w:t xml:space="preserve"> investičnej</w:t>
      </w:r>
      <w:r w:rsidRPr="005C2CEC">
        <w:t xml:space="preserve"> stratégie</w:t>
      </w:r>
      <w:r w:rsidR="00176C5E" w:rsidRPr="00176C5E">
        <w:t xml:space="preserve"> </w:t>
      </w:r>
      <w:r w:rsidR="00176C5E">
        <w:t>je</w:t>
      </w:r>
      <w:r w:rsidR="00176C5E" w:rsidRPr="005C2CEC">
        <w:t xml:space="preserve"> Ministerstvo investícií, regionálneho rozvoja a informatizácie SR (ďalej len „MIRRI S</w:t>
      </w:r>
      <w:bookmarkStart w:id="99" w:name="_GoBack"/>
      <w:bookmarkEnd w:id="99"/>
      <w:r w:rsidR="00176C5E" w:rsidRPr="005C2CEC">
        <w:t>R“)</w:t>
      </w:r>
      <w:r w:rsidR="00FA4091" w:rsidRPr="005C2CEC">
        <w:t>, ktor</w:t>
      </w:r>
      <w:r w:rsidR="00176C5E">
        <w:t>é</w:t>
      </w:r>
      <w:r w:rsidR="00FA4091" w:rsidRPr="005C2CEC">
        <w:t xml:space="preserve"> zabezpečuj</w:t>
      </w:r>
      <w:r w:rsidR="00E73191">
        <w:t>e</w:t>
      </w:r>
      <w:r w:rsidR="00FA4091" w:rsidRPr="005C2CEC">
        <w:t xml:space="preserve"> jej prípravu a aktualizáciu</w:t>
      </w:r>
      <w:r w:rsidR="00045BF4" w:rsidRPr="005C2CEC">
        <w:t xml:space="preserve"> </w:t>
      </w:r>
      <w:r w:rsidR="0005307B">
        <w:t>v spolupráci s</w:t>
      </w:r>
      <w:r w:rsidR="00FA4091" w:rsidRPr="005C2CEC">
        <w:t> MF SR.</w:t>
      </w:r>
      <w:r w:rsidR="00045BF4" w:rsidRPr="005C2CEC">
        <w:t xml:space="preserve"> Národná </w:t>
      </w:r>
      <w:r w:rsidR="006D54AC" w:rsidRPr="005C2CEC">
        <w:t xml:space="preserve">investičná </w:t>
      </w:r>
      <w:r w:rsidR="00045BF4" w:rsidRPr="005C2CEC">
        <w:t xml:space="preserve">stratégia </w:t>
      </w:r>
      <w:r w:rsidR="00BE3546" w:rsidRPr="005C2CEC">
        <w:t xml:space="preserve">podlieha </w:t>
      </w:r>
      <w:r w:rsidR="00634CCF" w:rsidRPr="005C2CEC">
        <w:t>schváleniu</w:t>
      </w:r>
      <w:r w:rsidR="003E6A0A" w:rsidRPr="005C2CEC">
        <w:t xml:space="preserve"> </w:t>
      </w:r>
      <w:r w:rsidR="00BE3546" w:rsidRPr="005C2CEC">
        <w:t xml:space="preserve">zo strany </w:t>
      </w:r>
      <w:r w:rsidR="003E6A0A" w:rsidRPr="005C2CEC">
        <w:t>vl</w:t>
      </w:r>
      <w:r w:rsidR="00634CCF" w:rsidRPr="005C2CEC">
        <w:t>ády</w:t>
      </w:r>
      <w:r w:rsidR="00F12696" w:rsidRPr="005C2CEC">
        <w:t xml:space="preserve"> SR</w:t>
      </w:r>
      <w:r w:rsidR="003E6A0A" w:rsidRPr="005C2CEC">
        <w:t>.</w:t>
      </w:r>
      <w:r w:rsidR="00C45692">
        <w:t xml:space="preserve"> Po schválení vládou SR sa národná investičná stratégia stane nadradenou sektorovým investičným stratégiám. V prípade, že schválením národnej stratégie vznikne potreba</w:t>
      </w:r>
      <w:r w:rsidR="00295569">
        <w:t xml:space="preserve"> prehodnotiť sektorové investičné stratégie</w:t>
      </w:r>
      <w:r w:rsidR="00C45692">
        <w:t xml:space="preserve">, </w:t>
      </w:r>
      <w:r w:rsidR="00295569">
        <w:t>príslušné</w:t>
      </w:r>
      <w:r w:rsidR="00C45692">
        <w:t xml:space="preserve"> ministerstvá </w:t>
      </w:r>
      <w:r w:rsidR="00295569">
        <w:t>zabezpečia ich aktualizáciu.</w:t>
      </w:r>
    </w:p>
    <w:p w14:paraId="17648EC1" w14:textId="705897B4" w:rsidR="00EA3759" w:rsidRPr="005C2CEC" w:rsidRDefault="00EA3759" w:rsidP="00EA3759">
      <w:r w:rsidRPr="005C2CEC">
        <w:t xml:space="preserve">Súčasťou </w:t>
      </w:r>
      <w:r w:rsidR="000F118D" w:rsidRPr="005C2CEC">
        <w:t>národnej investičnej stratégie</w:t>
      </w:r>
      <w:r w:rsidRPr="005C2CEC">
        <w:t xml:space="preserve"> je kalkulácia investičnej medzery, ktorá určí hrubý odhad zdrojov potrebných na splnenie stanovených</w:t>
      </w:r>
      <w:r w:rsidR="000F118D" w:rsidRPr="005C2CEC">
        <w:t xml:space="preserve"> investičných</w:t>
      </w:r>
      <w:r w:rsidRPr="005C2CEC">
        <w:t xml:space="preserve"> cieľov. Vhodným nástrojom je využitie tzv. GAP analýzy, ktorá umožní identifikovať priestor medzi súčasným a želaným stavom v jednotlivých oblastiach zvažovanej intervencie.</w:t>
      </w:r>
    </w:p>
    <w:p w14:paraId="36428182" w14:textId="2FAD6201" w:rsidR="00D52E93" w:rsidRPr="005C2CEC" w:rsidRDefault="00D52E93" w:rsidP="00D52E93">
      <w:pPr>
        <w:pStyle w:val="Popis"/>
      </w:pPr>
      <w:r w:rsidRPr="005C2CEC">
        <w:t xml:space="preserve">Box </w:t>
      </w:r>
      <w:r w:rsidR="001F2F09" w:rsidRPr="005C2CEC">
        <w:rPr>
          <w:noProof/>
        </w:rPr>
        <w:fldChar w:fldCharType="begin"/>
      </w:r>
      <w:r w:rsidR="001F2F09" w:rsidRPr="005C2CEC">
        <w:rPr>
          <w:noProof/>
        </w:rPr>
        <w:instrText xml:space="preserve"> SEQ Box \* ARABIC </w:instrText>
      </w:r>
      <w:r w:rsidR="001F2F09" w:rsidRPr="005C2CEC">
        <w:rPr>
          <w:noProof/>
        </w:rPr>
        <w:fldChar w:fldCharType="separate"/>
      </w:r>
      <w:r w:rsidR="000D2AF7">
        <w:rPr>
          <w:noProof/>
        </w:rPr>
        <w:t>2</w:t>
      </w:r>
      <w:r w:rsidR="001F2F09" w:rsidRPr="005C2CEC">
        <w:rPr>
          <w:noProof/>
        </w:rPr>
        <w:fldChar w:fldCharType="end"/>
      </w:r>
      <w:r w:rsidRPr="005C2CEC">
        <w:t>: Príklad národného investičného plánu</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Look w:val="04A0" w:firstRow="1" w:lastRow="0" w:firstColumn="1" w:lastColumn="0" w:noHBand="0" w:noVBand="1"/>
      </w:tblPr>
      <w:tblGrid>
        <w:gridCol w:w="9062"/>
      </w:tblGrid>
      <w:tr w:rsidR="00D52E93" w:rsidRPr="005C2CEC" w14:paraId="3E5CF89F" w14:textId="77777777" w:rsidTr="00D52E93">
        <w:tc>
          <w:tcPr>
            <w:tcW w:w="9062" w:type="dxa"/>
            <w:shd w:val="clear" w:color="auto" w:fill="DEEAF6" w:themeFill="accent1" w:themeFillTint="33"/>
          </w:tcPr>
          <w:p w14:paraId="1CCB0F39" w14:textId="5C45B0D6" w:rsidR="00553F60" w:rsidRDefault="00D5169B" w:rsidP="00D52E93">
            <w:r>
              <w:t>Najlepšou</w:t>
            </w:r>
            <w:r w:rsidR="005675F4">
              <w:t xml:space="preserve"> praxou v strategickom plánovaní verejných investícií a centrálnom dohľade nad kvalitou ich prípravy sú Veľká Británia</w:t>
            </w:r>
            <w:r>
              <w:t xml:space="preserve"> </w:t>
            </w:r>
            <w:r w:rsidR="005675F4">
              <w:t xml:space="preserve">a Írsko. </w:t>
            </w:r>
            <w:r w:rsidR="00D52E93" w:rsidRPr="005C2CEC">
              <w:t xml:space="preserve">Najrozsiahlejším plánom, ktorý pomenováva priority naprieč sektormi v horizonte 10-30 rokov je </w:t>
            </w:r>
            <w:hyperlink r:id="rId24" w:history="1">
              <w:r w:rsidR="00D52E93" w:rsidRPr="00B220F7">
                <w:rPr>
                  <w:rStyle w:val="Hypertextovprepojenie"/>
                </w:rPr>
                <w:t>National Infrastructure Asse</w:t>
              </w:r>
              <w:r w:rsidR="007E531F" w:rsidRPr="00B220F7">
                <w:rPr>
                  <w:rStyle w:val="Hypertextovprepojenie"/>
                </w:rPr>
                <w:t>s</w:t>
              </w:r>
              <w:r w:rsidR="00D52E93" w:rsidRPr="00B220F7">
                <w:rPr>
                  <w:rStyle w:val="Hypertextovprepojenie"/>
                </w:rPr>
                <w:t>sment</w:t>
              </w:r>
            </w:hyperlink>
            <w:r w:rsidR="00D52E93" w:rsidRPr="005C2CEC">
              <w:t xml:space="preserve"> v UK. </w:t>
            </w:r>
            <w:r w:rsidR="001462F1">
              <w:t xml:space="preserve">Na základe odporúčaní tohto dokumentu vznikla v roku 2020 </w:t>
            </w:r>
            <w:hyperlink r:id="rId25" w:history="1">
              <w:r w:rsidR="001462F1" w:rsidRPr="00B220F7">
                <w:rPr>
                  <w:rStyle w:val="Hypertextovprepojenie"/>
                </w:rPr>
                <w:t>National Infrastructure</w:t>
              </w:r>
              <w:r w:rsidR="001462F1" w:rsidRPr="00B220F7">
                <w:rPr>
                  <w:rStyle w:val="Hypertextovprepojenie"/>
                </w:rPr>
                <w:t xml:space="preserve"> </w:t>
              </w:r>
              <w:r w:rsidR="001462F1" w:rsidRPr="00B220F7">
                <w:rPr>
                  <w:rStyle w:val="Hypertextovprepojenie"/>
                </w:rPr>
                <w:t>Strategy</w:t>
              </w:r>
            </w:hyperlink>
            <w:r w:rsidR="001462F1">
              <w:t xml:space="preserve">. </w:t>
            </w:r>
            <w:r w:rsidR="005675F4">
              <w:t xml:space="preserve">V Írsku </w:t>
            </w:r>
            <w:r w:rsidR="001462F1">
              <w:t xml:space="preserve">zas </w:t>
            </w:r>
            <w:r w:rsidR="005675F4">
              <w:t xml:space="preserve">v rámci projektu Ireland 2040 </w:t>
            </w:r>
            <w:r w:rsidR="00C203CA">
              <w:t xml:space="preserve">vznikol </w:t>
            </w:r>
            <w:hyperlink r:id="rId26" w:history="1">
              <w:r w:rsidR="005675F4" w:rsidRPr="00B220F7">
                <w:rPr>
                  <w:rStyle w:val="Hypertextovprepojenie"/>
                </w:rPr>
                <w:t xml:space="preserve">National </w:t>
              </w:r>
              <w:r w:rsidR="007E7BFE" w:rsidRPr="00B220F7">
                <w:rPr>
                  <w:rStyle w:val="Hypertextovprepojenie"/>
                </w:rPr>
                <w:t>Development Plan</w:t>
              </w:r>
              <w:r w:rsidRPr="00B220F7">
                <w:rPr>
                  <w:rStyle w:val="Hypertextovprepojenie"/>
                </w:rPr>
                <w:t xml:space="preserve"> 2018 - 2027</w:t>
              </w:r>
            </w:hyperlink>
            <w:r w:rsidR="005675F4">
              <w:t>.</w:t>
            </w:r>
          </w:p>
          <w:p w14:paraId="5C308677" w14:textId="75812214" w:rsidR="00D52E93" w:rsidRPr="005C2CEC" w:rsidRDefault="00D52E93" w:rsidP="00D52E93">
            <w:r w:rsidRPr="005C2CEC">
              <w:lastRenderedPageBreak/>
              <w:t>Na Slovensku</w:t>
            </w:r>
            <w:r w:rsidR="001462F1">
              <w:t xml:space="preserve"> bol</w:t>
            </w:r>
            <w:r w:rsidRPr="005C2CEC">
              <w:t xml:space="preserve"> </w:t>
            </w:r>
            <w:r w:rsidR="001462F1">
              <w:t xml:space="preserve">v roku 2018 </w:t>
            </w:r>
            <w:r w:rsidRPr="005C2CEC">
              <w:t xml:space="preserve">za </w:t>
            </w:r>
            <w:r w:rsidR="001462F1">
              <w:t>podobným</w:t>
            </w:r>
            <w:r w:rsidR="001462F1" w:rsidRPr="005C2CEC">
              <w:t xml:space="preserve"> </w:t>
            </w:r>
            <w:r w:rsidRPr="005C2CEC">
              <w:t>účelom</w:t>
            </w:r>
            <w:r w:rsidR="001462F1">
              <w:t xml:space="preserve"> vytvorený</w:t>
            </w:r>
            <w:r w:rsidRPr="005C2CEC">
              <w:t xml:space="preserve"> </w:t>
            </w:r>
            <w:hyperlink r:id="rId27" w:history="1">
              <w:r w:rsidRPr="00B220F7">
                <w:rPr>
                  <w:rStyle w:val="Hypertextovprepojenie"/>
                </w:rPr>
                <w:t>Národný investičný plán</w:t>
              </w:r>
            </w:hyperlink>
            <w:r w:rsidRPr="005C2CEC">
              <w:t xml:space="preserve"> (NIP). NIP vychádza z dlhodobých strategických cieľov Agendy 2030 pre Slovensko. Dobrým základom v</w:t>
            </w:r>
            <w:r w:rsidR="00C203CA">
              <w:t> pilotnej verzii</w:t>
            </w:r>
            <w:r w:rsidRPr="005C2CEC">
              <w:t> dokument</w:t>
            </w:r>
            <w:r w:rsidR="00C203CA">
              <w:t>u je</w:t>
            </w:r>
            <w:r w:rsidRPr="005C2CEC">
              <w:t xml:space="preserve"> rozdelenie</w:t>
            </w:r>
            <w:r w:rsidR="00C203CA">
              <w:t xml:space="preserve"> investičných potrieb do</w:t>
            </w:r>
            <w:r w:rsidRPr="005C2CEC">
              <w:t xml:space="preserve"> prioritných oblastí a ich mapovanie na</w:t>
            </w:r>
            <w:r w:rsidR="00C203CA">
              <w:t xml:space="preserve"> konkrétne</w:t>
            </w:r>
            <w:r w:rsidRPr="005C2CEC">
              <w:t xml:space="preserve"> ciele</w:t>
            </w:r>
            <w:r w:rsidR="00C203CA">
              <w:t xml:space="preserve"> Agendy 2030</w:t>
            </w:r>
            <w:r w:rsidRPr="005C2CEC">
              <w:t>.</w:t>
            </w:r>
            <w:r w:rsidR="00C203CA">
              <w:t xml:space="preserve"> Dokument zároveň ponúka odhad potrebných finančných prostriedkov</w:t>
            </w:r>
            <w:r w:rsidR="001462F1">
              <w:t xml:space="preserve"> na dosiahnutie želaného stavu v jednotlivých oblastiach</w:t>
            </w:r>
            <w:r w:rsidR="00C203CA">
              <w:t>.</w:t>
            </w:r>
            <w:r w:rsidR="00437F31">
              <w:t xml:space="preserve"> V aktuálnej podobe však dokument nie je dostatočne rozpracovaný</w:t>
            </w:r>
            <w:r w:rsidR="00C45692">
              <w:t>,</w:t>
            </w:r>
            <w:r w:rsidR="00437F31">
              <w:t xml:space="preserve"> aby napĺňal </w:t>
            </w:r>
            <w:r w:rsidR="00C45692">
              <w:t>podstatu národnej investičnej stratégie</w:t>
            </w:r>
            <w:r w:rsidR="00437F31">
              <w:t>.</w:t>
            </w:r>
          </w:p>
          <w:p w14:paraId="1A1943EB" w14:textId="4F66792A" w:rsidR="007A6AEF" w:rsidRDefault="00D52E93" w:rsidP="00EB0B7A">
            <w:r w:rsidRPr="005C2CEC">
              <w:t xml:space="preserve">Na </w:t>
            </w:r>
            <w:r w:rsidR="009423DE">
              <w:t>vy</w:t>
            </w:r>
            <w:r w:rsidRPr="005C2CEC">
              <w:t xml:space="preserve">pracovanie </w:t>
            </w:r>
            <w:r w:rsidR="00C203CA">
              <w:t>ná</w:t>
            </w:r>
            <w:r w:rsidR="009423DE">
              <w:t>rodnej investičnej</w:t>
            </w:r>
            <w:r w:rsidR="00C203CA">
              <w:t xml:space="preserve"> </w:t>
            </w:r>
            <w:r w:rsidR="009423DE">
              <w:t>stratégie</w:t>
            </w:r>
            <w:r w:rsidR="00C45692">
              <w:t xml:space="preserve"> </w:t>
            </w:r>
            <w:r w:rsidRPr="005C2CEC">
              <w:t xml:space="preserve">po vzore </w:t>
            </w:r>
            <w:r w:rsidR="001462F1">
              <w:t xml:space="preserve">krajín s dobrou praxou </w:t>
            </w:r>
            <w:r w:rsidRPr="005C2CEC">
              <w:t>je potrebné</w:t>
            </w:r>
            <w:r w:rsidR="001462F1">
              <w:t xml:space="preserve"> </w:t>
            </w:r>
            <w:r w:rsidR="008E5D0D">
              <w:t xml:space="preserve">NIP </w:t>
            </w:r>
            <w:r w:rsidR="001462F1">
              <w:t>previazať so sektorovými strategickými dokumentmi a cieľmi,</w:t>
            </w:r>
            <w:r w:rsidRPr="005C2CEC">
              <w:t xml:space="preserve"> analyticky </w:t>
            </w:r>
            <w:r w:rsidR="0005307B">
              <w:t>z</w:t>
            </w:r>
            <w:r w:rsidR="008E5D0D">
              <w:t>dôvodniť</w:t>
            </w:r>
            <w:r w:rsidR="001462F1" w:rsidRPr="005C2CEC">
              <w:t xml:space="preserve"> </w:t>
            </w:r>
            <w:r w:rsidR="009423DE">
              <w:t>výber navrhovaných</w:t>
            </w:r>
            <w:r w:rsidR="001462F1">
              <w:t xml:space="preserve"> </w:t>
            </w:r>
            <w:r w:rsidR="00367C3C" w:rsidRPr="005C2CEC">
              <w:t>investičn</w:t>
            </w:r>
            <w:r w:rsidR="009423DE">
              <w:t>ých</w:t>
            </w:r>
            <w:r w:rsidR="000C63FD" w:rsidRPr="005C2CEC">
              <w:t xml:space="preserve"> </w:t>
            </w:r>
            <w:r w:rsidR="005054BC">
              <w:t xml:space="preserve">priorít </w:t>
            </w:r>
            <w:r w:rsidR="00EB0B7A">
              <w:t xml:space="preserve">a zabezpečiť formálne </w:t>
            </w:r>
            <w:r w:rsidR="008E5D0D">
              <w:t>prijatie</w:t>
            </w:r>
            <w:r w:rsidR="00EB0B7A">
              <w:t xml:space="preserve"> </w:t>
            </w:r>
            <w:r w:rsidR="008E5D0D">
              <w:t xml:space="preserve">strategického dokumentu </w:t>
            </w:r>
            <w:r w:rsidR="00EB0B7A">
              <w:t>na nadrezortnej úrovni</w:t>
            </w:r>
            <w:r w:rsidR="008E5D0D">
              <w:t xml:space="preserve"> schválením zo strany vlády SR</w:t>
            </w:r>
            <w:r w:rsidRPr="005C2CEC">
              <w:t>.</w:t>
            </w:r>
          </w:p>
          <w:p w14:paraId="34586665" w14:textId="60F6744B" w:rsidR="00D52E93" w:rsidRPr="005C2CEC" w:rsidRDefault="00EB0B7A" w:rsidP="00EB0B7A">
            <w:r>
              <w:t>Gestorom prípravy národného investičného plánu by v zmysle kompetenčného zákona</w:t>
            </w:r>
            <w:r>
              <w:rPr>
                <w:rStyle w:val="Odkaznapoznmkupodiarou"/>
              </w:rPr>
              <w:footnoteReference w:id="5"/>
            </w:r>
            <w:r>
              <w:t xml:space="preserve"> malo byť MIRRI SR, ktoré je ústredným orgánom štátnej správy pre </w:t>
            </w:r>
            <w:r w:rsidRPr="00EB0B7A">
              <w:t>oblasť investícií v rozsahu strategického plánovania a strategického projektového riadenia, ako aj koordináciu investičných projektov a vypracovanie národného strategického investičného rámca</w:t>
            </w:r>
            <w:r>
              <w:t>,</w:t>
            </w:r>
            <w:r w:rsidRPr="00EB0B7A">
              <w:t xml:space="preserve"> </w:t>
            </w:r>
            <w:r>
              <w:t>v spolupráci s MF SR, ktoré zabezpečuje tvorbu a uskutočňovanie rozpočtovej politiky v oblasti spravovania majetku verejnej správy.</w:t>
            </w:r>
          </w:p>
        </w:tc>
      </w:tr>
    </w:tbl>
    <w:p w14:paraId="35F4CB00" w14:textId="18F6EE90" w:rsidR="0064740F" w:rsidRPr="005C2CEC" w:rsidRDefault="0064740F" w:rsidP="008916CB">
      <w:pPr>
        <w:pStyle w:val="Nadpis2"/>
      </w:pPr>
      <w:bookmarkStart w:id="100" w:name="_Ref55902407"/>
      <w:bookmarkStart w:id="101" w:name="_Toc83651079"/>
      <w:bookmarkStart w:id="102" w:name="_Ref45287859"/>
      <w:r w:rsidRPr="005C2CEC">
        <w:lastRenderedPageBreak/>
        <w:t>Sektorov</w:t>
      </w:r>
      <w:r w:rsidR="00676C48" w:rsidRPr="005C2CEC">
        <w:t>é</w:t>
      </w:r>
      <w:r w:rsidRPr="005C2CEC">
        <w:t xml:space="preserve"> investičn</w:t>
      </w:r>
      <w:r w:rsidR="00676C48" w:rsidRPr="005C2CEC">
        <w:t>é</w:t>
      </w:r>
      <w:r w:rsidRPr="005C2CEC">
        <w:t xml:space="preserve"> stratégi</w:t>
      </w:r>
      <w:r w:rsidR="00676C48" w:rsidRPr="005C2CEC">
        <w:t>e</w:t>
      </w:r>
      <w:bookmarkEnd w:id="100"/>
      <w:bookmarkEnd w:id="101"/>
      <w:r w:rsidRPr="005C2CEC">
        <w:t xml:space="preserve"> </w:t>
      </w:r>
    </w:p>
    <w:p w14:paraId="007BBFFB" w14:textId="6D81C8E1" w:rsidR="00A36239" w:rsidRDefault="00544E74" w:rsidP="00B66908">
      <w:r w:rsidRPr="005C2CEC">
        <w:t>V nadväznosti na národnú investičnú stratégiu ministerstvá vypracujú sektorové investičné stratégie, ktoré pomenujú konkrétne investičné ciele sektoru v</w:t>
      </w:r>
      <w:r>
        <w:t> najdlhšom možnom</w:t>
      </w:r>
      <w:r w:rsidRPr="005C2CEC">
        <w:t> horizonte</w:t>
      </w:r>
      <w:r>
        <w:t>, ktorý je ministerstvu na základe platných strategických dokumentov dostupný</w:t>
      </w:r>
      <w:r w:rsidRPr="005C2CEC">
        <w:t xml:space="preserve"> </w:t>
      </w:r>
      <w:r>
        <w:t xml:space="preserve">(optimálny horizont je </w:t>
      </w:r>
      <w:r w:rsidRPr="005C2CEC">
        <w:t>6 – 15 rokov</w:t>
      </w:r>
      <w:r>
        <w:t>)</w:t>
      </w:r>
      <w:r w:rsidRPr="005C2CEC">
        <w:t>.</w:t>
      </w:r>
      <w:r w:rsidR="000F6513" w:rsidRPr="005C2CEC">
        <w:t xml:space="preserve"> </w:t>
      </w:r>
      <w:r w:rsidR="00B66908" w:rsidRPr="005C2CEC">
        <w:t xml:space="preserve">Sektorové investičné stratégie môžu byť dopracované do už existujúcich strategických dokumentov ministerstiev. </w:t>
      </w:r>
      <w:r w:rsidR="00A36239">
        <w:t xml:space="preserve">Jedno ministerstvo </w:t>
      </w:r>
      <w:r w:rsidR="00A36239" w:rsidRPr="005C2CEC">
        <w:t>môž</w:t>
      </w:r>
      <w:r w:rsidR="00A36239">
        <w:t>e</w:t>
      </w:r>
      <w:r w:rsidR="00A36239" w:rsidRPr="005C2CEC">
        <w:t xml:space="preserve"> vypracovať </w:t>
      </w:r>
      <w:r w:rsidR="00A36239">
        <w:t xml:space="preserve">aj </w:t>
      </w:r>
      <w:r w:rsidR="00A36239" w:rsidRPr="005C2CEC">
        <w:t>viaceré investičné stratégie v členení podľa jednotlivých sektorov</w:t>
      </w:r>
      <w:r w:rsidR="00A36239">
        <w:t>, za ktoré zodpovedá</w:t>
      </w:r>
      <w:r w:rsidR="00A36239" w:rsidRPr="005C2CEC">
        <w:t xml:space="preserve"> (napr. MŽP SR môže vypracovať investičnú stratégiu samostatne pre </w:t>
      </w:r>
      <w:r w:rsidR="00A36239">
        <w:t>ochranu pred povodňami, ochranu ovzdušia,</w:t>
      </w:r>
      <w:r w:rsidR="00A36239" w:rsidRPr="005C2CEC">
        <w:t xml:space="preserve"> odpadové hospodárstvo</w:t>
      </w:r>
      <w:r w:rsidR="00A36239">
        <w:t xml:space="preserve"> a pod.</w:t>
      </w:r>
      <w:r w:rsidR="00A36239" w:rsidRPr="005C2CEC">
        <w:t>).</w:t>
      </w:r>
      <w:r w:rsidR="00A36239">
        <w:t xml:space="preserve"> </w:t>
      </w:r>
      <w:r w:rsidR="00B66908" w:rsidRPr="005C2CEC">
        <w:t xml:space="preserve">Ministerstvá </w:t>
      </w:r>
      <w:r w:rsidR="000264AF" w:rsidRPr="005C2CEC">
        <w:t>pripravia</w:t>
      </w:r>
      <w:r w:rsidR="00B66908" w:rsidRPr="005C2CEC">
        <w:t xml:space="preserve"> sektorové investičné stratégie za všetky </w:t>
      </w:r>
      <w:r w:rsidR="00676C48" w:rsidRPr="005C2CEC">
        <w:t xml:space="preserve">rozpočtové </w:t>
      </w:r>
      <w:r w:rsidR="002E6B73">
        <w:t>organizácie,</w:t>
      </w:r>
      <w:r w:rsidR="00676C48" w:rsidRPr="005C2CEC">
        <w:t xml:space="preserve"> príspevkové </w:t>
      </w:r>
      <w:r w:rsidR="00B66908" w:rsidRPr="005C2CEC">
        <w:t>organizácie a</w:t>
      </w:r>
      <w:r w:rsidR="00676C48" w:rsidRPr="005C2CEC">
        <w:t> ostatné subjekty verejnej správy v</w:t>
      </w:r>
      <w:r w:rsidR="002E6B73">
        <w:t xml:space="preserve"> ich </w:t>
      </w:r>
      <w:r w:rsidR="00676C48" w:rsidRPr="005C2CEC">
        <w:t xml:space="preserve">riadiacej pôsobnosti </w:t>
      </w:r>
      <w:r w:rsidR="00BF284D">
        <w:t>(vrátane štátnych podnikov)</w:t>
      </w:r>
      <w:r w:rsidR="002E6B73">
        <w:t>.</w:t>
      </w:r>
      <w:r w:rsidR="008B0F71" w:rsidRPr="005C2CEC">
        <w:t xml:space="preserve"> </w:t>
      </w:r>
      <w:r w:rsidR="00940FFB" w:rsidRPr="005C2CEC">
        <w:t>Podriadené organizácie zapracujú schválenú sektorovú investičnú stratégiu do svojich interných predpisov.</w:t>
      </w:r>
      <w:r w:rsidR="00C51D1B" w:rsidRPr="00C51D1B">
        <w:t xml:space="preserve"> </w:t>
      </w:r>
      <w:r w:rsidR="00C51D1B" w:rsidRPr="005C2CEC">
        <w:t xml:space="preserve">Do tvorby sektorovej investičnej stratégie je </w:t>
      </w:r>
      <w:r w:rsidR="00C51D1B">
        <w:t>potrebné</w:t>
      </w:r>
      <w:r w:rsidR="00C51D1B" w:rsidRPr="005C2CEC">
        <w:t xml:space="preserve"> zapojiť analytickú jednotku príslušného ministerstva.</w:t>
      </w:r>
    </w:p>
    <w:p w14:paraId="06B84998" w14:textId="685B9B42" w:rsidR="002506A8" w:rsidRPr="005C2CEC" w:rsidRDefault="009573AC" w:rsidP="00B95174">
      <w:r w:rsidRPr="005C2CEC">
        <w:t>V prípade, že ministerstvo vykonáva verejnú politiku, ktorá je svojim charakterom nadrezortná</w:t>
      </w:r>
      <w:r>
        <w:t xml:space="preserve"> (t.j. investície v danej oblasti sa týkajú viacerých alebo všetkých ministerstiev)</w:t>
      </w:r>
      <w:r w:rsidRPr="005C2CEC">
        <w:t>, pripravuje sektorovú investičnú stratégiu v spolupráci s relevantnými subjektmi z iných rezortov a predloží ju na schválenie vláde.</w:t>
      </w:r>
      <w:r>
        <w:t xml:space="preserve"> V oblasti informatizácie verejnej správy je plánovaná príprava nadrezortnej investičnej stratégie v gescii MIRRI SR.</w:t>
      </w:r>
    </w:p>
    <w:p w14:paraId="6199BA86" w14:textId="3C97D456" w:rsidR="00A67E20" w:rsidRPr="005C2CEC" w:rsidRDefault="00A67E20" w:rsidP="00A67E20">
      <w:r w:rsidRPr="005C2CEC">
        <w:t>Ministerstvá vrátane rozpočtových a príspevkových organizácií a ostatných subjektov verejnej správy v ich riadiacej pôsobnosti, ktorých priemerné ročné kapitálové výdavky za posledných päť rokov nepresiahli 20 mil. eur, samostatnú sektorovú stratégiu nepripravujú. Tieto ministerstvá spolupracujú</w:t>
      </w:r>
      <w:r w:rsidR="00C51D1B">
        <w:t xml:space="preserve"> alebo poskytujú súčinnosť</w:t>
      </w:r>
      <w:r w:rsidRPr="005C2CEC">
        <w:t xml:space="preserve"> na príprave nadrezortných sektorových investičných stratégií v oblastiach, v ktorých </w:t>
      </w:r>
      <w:r w:rsidR="00C51D1B">
        <w:t>plánujú</w:t>
      </w:r>
      <w:r w:rsidR="00C51D1B" w:rsidRPr="005C2CEC">
        <w:t xml:space="preserve"> </w:t>
      </w:r>
      <w:r w:rsidRPr="005C2CEC">
        <w:t xml:space="preserve">investície. </w:t>
      </w:r>
    </w:p>
    <w:p w14:paraId="76FBB83C" w14:textId="6CA49195" w:rsidR="00B66908" w:rsidRPr="005C2CEC" w:rsidRDefault="00B9011E" w:rsidP="00B66908">
      <w:r w:rsidRPr="005C2CEC">
        <w:t>Sektorová i</w:t>
      </w:r>
      <w:r w:rsidR="00B66908" w:rsidRPr="005C2CEC">
        <w:t>nvestičná stratégia obsahuje minimálne nasledujúce časti:</w:t>
      </w:r>
    </w:p>
    <w:p w14:paraId="31D7D8FF" w14:textId="6F6F1CAF" w:rsidR="00B66908" w:rsidRPr="005C2CEC" w:rsidRDefault="00B66908" w:rsidP="00414ACD">
      <w:pPr>
        <w:pStyle w:val="Odsekzoznamu"/>
        <w:numPr>
          <w:ilvl w:val="0"/>
          <w:numId w:val="22"/>
        </w:numPr>
      </w:pPr>
      <w:r w:rsidRPr="005C2CEC">
        <w:t>Pomenovanie cieľov – opis investičných cieľov vyplývajúcich zo strategických dokumentov a stanovenie merateľných ukazovateľov (KPI), prostredníctvom ktorých bude možné sledovať mieru napĺňania cieľov,</w:t>
      </w:r>
    </w:p>
    <w:p w14:paraId="40AC8A93" w14:textId="1FFC2DF1" w:rsidR="00B66908" w:rsidRPr="005C2CEC" w:rsidRDefault="00B66908" w:rsidP="00414ACD">
      <w:pPr>
        <w:pStyle w:val="Odsekzoznamu"/>
        <w:numPr>
          <w:ilvl w:val="0"/>
          <w:numId w:val="22"/>
        </w:numPr>
      </w:pPr>
      <w:r w:rsidRPr="005C2CEC">
        <w:t xml:space="preserve">Zásobník investičných </w:t>
      </w:r>
      <w:r w:rsidR="00B9011E" w:rsidRPr="005C2CEC">
        <w:t>zámerov</w:t>
      </w:r>
      <w:r w:rsidRPr="005C2CEC">
        <w:t xml:space="preserve"> – úplný zoznam známych investičných zámerov</w:t>
      </w:r>
      <w:r w:rsidR="004163B3" w:rsidRPr="005C2CEC">
        <w:t xml:space="preserve"> nad 1 mil. eur</w:t>
      </w:r>
      <w:r w:rsidRPr="005C2CEC">
        <w:t xml:space="preserve"> vrátane variantných riešení</w:t>
      </w:r>
      <w:r w:rsidR="000328D7" w:rsidRPr="005C2CEC">
        <w:t>,</w:t>
      </w:r>
    </w:p>
    <w:p w14:paraId="1B000062" w14:textId="299A797D" w:rsidR="00B66908" w:rsidRPr="005C2CEC" w:rsidRDefault="00B66908" w:rsidP="00414ACD">
      <w:pPr>
        <w:pStyle w:val="Odsekzoznamu"/>
        <w:numPr>
          <w:ilvl w:val="0"/>
          <w:numId w:val="22"/>
        </w:numPr>
      </w:pPr>
      <w:r w:rsidRPr="005C2CEC">
        <w:lastRenderedPageBreak/>
        <w:t xml:space="preserve">Metodika pre určovanie investičných priorít – opis </w:t>
      </w:r>
      <w:r w:rsidR="000328D7" w:rsidRPr="005C2CEC">
        <w:t xml:space="preserve">jasných </w:t>
      </w:r>
      <w:r w:rsidRPr="005C2CEC">
        <w:t>pravidiel, podľa ktorých bude investičným projektom a zámerom priradená dôležitosť,</w:t>
      </w:r>
    </w:p>
    <w:p w14:paraId="7F85D5D9" w14:textId="6378201B" w:rsidR="000328D7" w:rsidRPr="005C2CEC" w:rsidRDefault="00B66908" w:rsidP="00414ACD">
      <w:pPr>
        <w:pStyle w:val="Odsekzoznamu"/>
        <w:numPr>
          <w:ilvl w:val="0"/>
          <w:numId w:val="22"/>
        </w:numPr>
      </w:pPr>
      <w:r w:rsidRPr="005C2CEC">
        <w:t xml:space="preserve">Určenie investičných priorít – vytvorenie zoznamu investičných projektov a zámerov zoradených podľa </w:t>
      </w:r>
      <w:r w:rsidR="000328D7" w:rsidRPr="005C2CEC">
        <w:t>priority</w:t>
      </w:r>
      <w:r w:rsidRPr="005C2CEC">
        <w:t xml:space="preserve"> na základe </w:t>
      </w:r>
      <w:r w:rsidR="000328D7" w:rsidRPr="005C2CEC">
        <w:t>metodiky pre určovanie investičných priorít,</w:t>
      </w:r>
    </w:p>
    <w:p w14:paraId="13D0317C" w14:textId="2AC1DBFC" w:rsidR="00414ACD" w:rsidRDefault="000328D7" w:rsidP="00414ACD">
      <w:pPr>
        <w:pStyle w:val="Odsekzoznamu"/>
        <w:numPr>
          <w:ilvl w:val="0"/>
          <w:numId w:val="22"/>
        </w:numPr>
      </w:pPr>
      <w:r w:rsidRPr="005C2CEC">
        <w:t xml:space="preserve">Investičný plán – príprava priorizovaného investičného plánu s harmonogramom investičných projektov </w:t>
      </w:r>
      <w:r w:rsidR="004163B3" w:rsidRPr="005C2CEC">
        <w:t>nad 1 mil. eur so zohľadnením možností a zdrojov financovania</w:t>
      </w:r>
      <w:r w:rsidR="00B66908" w:rsidRPr="005C2CEC">
        <w:t>.</w:t>
      </w:r>
    </w:p>
    <w:p w14:paraId="5F0E7DBE" w14:textId="4FA4FA56" w:rsidR="00A36239" w:rsidRDefault="00A36239" w:rsidP="00577F95">
      <w:r w:rsidRPr="005C2CEC">
        <w:t xml:space="preserve">MF SR vykonáva pri tvorbe sektorových stratégii koordinačnú úlohu, </w:t>
      </w:r>
      <w:r w:rsidR="00C51D1B">
        <w:t xml:space="preserve">ministerstvám </w:t>
      </w:r>
      <w:r w:rsidRPr="005C2CEC">
        <w:t>poskytuj</w:t>
      </w:r>
      <w:r>
        <w:t>e</w:t>
      </w:r>
      <w:r w:rsidRPr="005C2CEC">
        <w:t xml:space="preserve"> metodické usmernenia</w:t>
      </w:r>
      <w:r w:rsidR="00C51D1B">
        <w:t>, návrh sektorovej investičnej stratégie pripomienkuje</w:t>
      </w:r>
      <w:r w:rsidRPr="005C2CEC">
        <w:t xml:space="preserve"> a zabezpečuj</w:t>
      </w:r>
      <w:r>
        <w:t>e</w:t>
      </w:r>
      <w:r w:rsidRPr="005C2CEC">
        <w:t xml:space="preserve"> súlad s cieľmi národnej investičnej stratégie. </w:t>
      </w:r>
      <w:r>
        <w:t xml:space="preserve">Podľa kapacitných možností bude ministerstvám pri vypracovaní sektorových investičných stratégií poskytovať súčinnosť </w:t>
      </w:r>
      <w:r w:rsidR="00C51D1B">
        <w:t xml:space="preserve">aj </w:t>
      </w:r>
      <w:r>
        <w:t>jednotka technickej asistencie</w:t>
      </w:r>
      <w:r w:rsidR="00C51D1B">
        <w:t>, ktorá vznikne</w:t>
      </w:r>
      <w:r>
        <w:t xml:space="preserve"> pod zastrešením MIRRI SR. </w:t>
      </w:r>
      <w:r w:rsidRPr="005C2CEC">
        <w:t>Finálnu verziu sektorovej investičnej stratégie schváli príslušný minister.</w:t>
      </w:r>
    </w:p>
    <w:p w14:paraId="1B190758" w14:textId="3063CDA7" w:rsidR="008916CB" w:rsidRPr="005C2CEC" w:rsidRDefault="0064740F" w:rsidP="00A67E20">
      <w:pPr>
        <w:pStyle w:val="Nadpis3"/>
      </w:pPr>
      <w:bookmarkStart w:id="103" w:name="_Ref54876107"/>
      <w:r w:rsidRPr="005C2CEC">
        <w:t xml:space="preserve">Pomenovanie </w:t>
      </w:r>
      <w:r w:rsidR="008916CB" w:rsidRPr="005C2CEC">
        <w:t>cieľov</w:t>
      </w:r>
      <w:bookmarkEnd w:id="102"/>
      <w:bookmarkEnd w:id="103"/>
      <w:r w:rsidR="00A67E20" w:rsidRPr="005C2CEC">
        <w:t xml:space="preserve"> a zásobník investičných zámerov</w:t>
      </w:r>
    </w:p>
    <w:p w14:paraId="30145B02" w14:textId="7AB02D89" w:rsidR="00811103" w:rsidRPr="005C2CEC" w:rsidRDefault="009F4EE3" w:rsidP="00F41E8B">
      <w:r w:rsidRPr="005C2CEC">
        <w:t>C</w:t>
      </w:r>
      <w:r w:rsidR="00BE3546" w:rsidRPr="005C2CEC">
        <w:t xml:space="preserve">iele </w:t>
      </w:r>
      <w:r w:rsidRPr="005C2CEC">
        <w:t>v </w:t>
      </w:r>
      <w:r w:rsidR="00E01CC7" w:rsidRPr="005C2CEC">
        <w:t>sektorov</w:t>
      </w:r>
      <w:r w:rsidR="00B73026">
        <w:t>ej</w:t>
      </w:r>
      <w:r w:rsidR="00E01CC7" w:rsidRPr="005C2CEC">
        <w:t xml:space="preserve"> investičn</w:t>
      </w:r>
      <w:r w:rsidR="00B73026">
        <w:t>ej</w:t>
      </w:r>
      <w:r w:rsidR="00E01CC7" w:rsidRPr="005C2CEC">
        <w:t xml:space="preserve"> stratégi</w:t>
      </w:r>
      <w:r w:rsidR="00B73026">
        <w:t>i</w:t>
      </w:r>
      <w:r w:rsidRPr="005C2CEC">
        <w:t xml:space="preserve"> </w:t>
      </w:r>
      <w:r w:rsidR="006D54AC" w:rsidRPr="005C2CEC">
        <w:t>urč</w:t>
      </w:r>
      <w:r w:rsidR="00B73026">
        <w:t>í</w:t>
      </w:r>
      <w:r w:rsidR="006D54AC" w:rsidRPr="005C2CEC">
        <w:t xml:space="preserve"> </w:t>
      </w:r>
      <w:r w:rsidR="00BF4D5B" w:rsidRPr="005C2CEC">
        <w:t>ministerstv</w:t>
      </w:r>
      <w:r w:rsidR="00B73026">
        <w:t>o</w:t>
      </w:r>
      <w:r w:rsidR="00BE3546" w:rsidRPr="005C2CEC">
        <w:t xml:space="preserve"> tak, aby sa pri ich dosahovaní napĺňali celonárodné ciele definované v národnej </w:t>
      </w:r>
      <w:r w:rsidR="006D54AC" w:rsidRPr="005C2CEC">
        <w:t xml:space="preserve">investičnej </w:t>
      </w:r>
      <w:r w:rsidR="00BE3546" w:rsidRPr="005C2CEC">
        <w:t>stratégii.</w:t>
      </w:r>
      <w:r w:rsidR="00AD6831" w:rsidRPr="005C2CEC">
        <w:t xml:space="preserve"> Plnenie </w:t>
      </w:r>
      <w:r w:rsidR="006D54AC" w:rsidRPr="005C2CEC">
        <w:t xml:space="preserve">investičných </w:t>
      </w:r>
      <w:r w:rsidR="00AD6831" w:rsidRPr="005C2CEC">
        <w:t xml:space="preserve">cieľov je vykonávané pomocou kľúčových ukazovateľov v programovom rozpočte </w:t>
      </w:r>
      <w:r w:rsidR="00AD670C" w:rsidRPr="005C2CEC">
        <w:t>ministerstva</w:t>
      </w:r>
      <w:r w:rsidR="00AD6831" w:rsidRPr="005C2CEC">
        <w:t>.</w:t>
      </w:r>
    </w:p>
    <w:p w14:paraId="5FEC5745" w14:textId="05E2D3D8" w:rsidR="009D414F" w:rsidRPr="005C2CEC" w:rsidRDefault="009D414F" w:rsidP="009D414F">
      <w:pPr>
        <w:pStyle w:val="Popis"/>
      </w:pPr>
      <w:r w:rsidRPr="005C2CEC">
        <w:t xml:space="preserve">Box </w:t>
      </w:r>
      <w:r w:rsidRPr="005C2CEC">
        <w:rPr>
          <w:noProof/>
        </w:rPr>
        <w:fldChar w:fldCharType="begin"/>
      </w:r>
      <w:r w:rsidRPr="005C2CEC">
        <w:rPr>
          <w:noProof/>
        </w:rPr>
        <w:instrText xml:space="preserve"> SEQ Box \* ARABIC </w:instrText>
      </w:r>
      <w:r w:rsidRPr="005C2CEC">
        <w:rPr>
          <w:noProof/>
        </w:rPr>
        <w:fldChar w:fldCharType="separate"/>
      </w:r>
      <w:r w:rsidR="000D2AF7">
        <w:rPr>
          <w:noProof/>
        </w:rPr>
        <w:t>3</w:t>
      </w:r>
      <w:r w:rsidRPr="005C2CEC">
        <w:rPr>
          <w:noProof/>
        </w:rPr>
        <w:fldChar w:fldCharType="end"/>
      </w:r>
      <w:r w:rsidRPr="005C2CEC">
        <w:t>: Príklad pomenovania strategických cieľov</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Look w:val="04A0" w:firstRow="1" w:lastRow="0" w:firstColumn="1" w:lastColumn="0" w:noHBand="0" w:noVBand="1"/>
      </w:tblPr>
      <w:tblGrid>
        <w:gridCol w:w="9062"/>
      </w:tblGrid>
      <w:tr w:rsidR="009D414F" w:rsidRPr="005C2CEC" w14:paraId="7DFED259" w14:textId="77777777" w:rsidTr="00FB7126">
        <w:tc>
          <w:tcPr>
            <w:tcW w:w="9062" w:type="dxa"/>
            <w:shd w:val="clear" w:color="auto" w:fill="DEEAF6" w:themeFill="accent1" w:themeFillTint="33"/>
          </w:tcPr>
          <w:p w14:paraId="08DCEBD4" w14:textId="1648FB7C" w:rsidR="009D414F" w:rsidRPr="005C2CEC" w:rsidRDefault="009D414F" w:rsidP="00FB7126">
            <w:r w:rsidRPr="005C2CEC">
              <w:t xml:space="preserve">Príkladom strategického dokumentu v kontexte Slovenskej republiky je </w:t>
            </w:r>
            <w:hyperlink r:id="rId28" w:history="1">
              <w:r w:rsidRPr="007434E4">
                <w:rPr>
                  <w:rStyle w:val="Hypertextovprepojenie"/>
                </w:rPr>
                <w:t>Envirostratégia 2030</w:t>
              </w:r>
            </w:hyperlink>
            <w:r w:rsidRPr="005C2CEC">
              <w:t>, ktorá pomenúva konkrétne strategické ciele v ochrane životného prostredia, ako napríklad:</w:t>
            </w:r>
          </w:p>
          <w:p w14:paraId="1E4FDDDD" w14:textId="77777777" w:rsidR="009D414F" w:rsidRPr="005C2CEC" w:rsidRDefault="009D414F" w:rsidP="00FB7126">
            <w:pPr>
              <w:ind w:left="284" w:right="284"/>
            </w:pPr>
            <w:r w:rsidRPr="005C2CEC">
              <w:t>„Slovensko tak zvýši mieru pripojenia obyvateľstva k čistiarňam odpadových vôd a do roku 2030 dosiahnu aglomerácie s viac ako 2 000 ekvivalentnými obyvateľmi 100 % a aglomerácie s nižším počtom ekvivalentných obyvateľov 50 % odvádzanie a čistenie odpadových vôd.“</w:t>
            </w:r>
          </w:p>
          <w:p w14:paraId="78FF2373" w14:textId="77777777" w:rsidR="009D414F" w:rsidRPr="005C2CEC" w:rsidRDefault="009D414F" w:rsidP="00FB7126">
            <w:pPr>
              <w:ind w:left="284" w:right="284"/>
            </w:pPr>
            <w:r w:rsidRPr="005C2CEC">
              <w:t>„Do roku 2030 bude obnovených minimálne 15 % degradovaných ekosystémov na Slovensku ako napríklad nad hornou hranicou lesa, ale najmä slanísk, mokradí, rašelinísk a lužných lesov, výrazne ovplyvnených ľudskou činnosťou.“</w:t>
            </w:r>
          </w:p>
          <w:p w14:paraId="6EFFED82" w14:textId="6DA94642" w:rsidR="009D414F" w:rsidRPr="005C2CEC" w:rsidRDefault="009D414F" w:rsidP="00FB7126">
            <w:r w:rsidRPr="005C2CEC">
              <w:t xml:space="preserve">Potreba jasného pomenovania strategických cieľov bola znázornená aj v dokumente </w:t>
            </w:r>
            <w:hyperlink r:id="rId29" w:history="1">
              <w:r w:rsidRPr="007434E4">
                <w:rPr>
                  <w:rStyle w:val="Hypertextovprepojenie"/>
                </w:rPr>
                <w:t>Priority vo výstavbe cestnej infraštruktúry</w:t>
              </w:r>
            </w:hyperlink>
            <w:r w:rsidRPr="005C2CEC">
              <w:t>, ktorý pripravil Útvar hodnoty za peniaze MF SR v spolupráci s Ministerstvom dopravy a výstavby SR. Pre stanovenie priorít v cestnej doprave boli zvolené štyri ciele:</w:t>
            </w:r>
          </w:p>
          <w:p w14:paraId="6B478272" w14:textId="2164076D" w:rsidR="009D414F" w:rsidRPr="005C2CEC" w:rsidRDefault="009D414F" w:rsidP="00FB7126">
            <w:pPr>
              <w:pStyle w:val="Odsekzoznamu"/>
              <w:numPr>
                <w:ilvl w:val="0"/>
                <w:numId w:val="37"/>
              </w:numPr>
            </w:pPr>
            <w:r w:rsidRPr="005C2CEC">
              <w:t>Skrátenie cestovného času</w:t>
            </w:r>
            <w:r w:rsidR="009A1EA3">
              <w:t>,</w:t>
            </w:r>
          </w:p>
          <w:p w14:paraId="316430BF" w14:textId="54ED9041" w:rsidR="009D414F" w:rsidRPr="005C2CEC" w:rsidRDefault="009D414F" w:rsidP="00FB7126">
            <w:pPr>
              <w:pStyle w:val="Odsekzoznamu"/>
              <w:numPr>
                <w:ilvl w:val="0"/>
                <w:numId w:val="37"/>
              </w:numPr>
            </w:pPr>
            <w:r w:rsidRPr="005C2CEC">
              <w:t>Zníženie smrteľných a vážnych nehôd na cestách</w:t>
            </w:r>
            <w:r w:rsidR="009A1EA3">
              <w:t>,</w:t>
            </w:r>
          </w:p>
          <w:p w14:paraId="6BAEE76D" w14:textId="55A18802" w:rsidR="009D414F" w:rsidRPr="005C2CEC" w:rsidRDefault="009D414F" w:rsidP="00FB7126">
            <w:pPr>
              <w:pStyle w:val="Odsekzoznamu"/>
              <w:numPr>
                <w:ilvl w:val="0"/>
                <w:numId w:val="37"/>
              </w:numPr>
            </w:pPr>
            <w:r w:rsidRPr="005C2CEC">
              <w:t>Zníženie negatívnych externalít (emisie, hluk, spotreba paliva)</w:t>
            </w:r>
            <w:r w:rsidR="009A1EA3">
              <w:t>,</w:t>
            </w:r>
          </w:p>
          <w:p w14:paraId="2FF12AD9" w14:textId="3B03CDFE" w:rsidR="009D414F" w:rsidRPr="005C2CEC" w:rsidRDefault="009D414F" w:rsidP="00FB7126">
            <w:pPr>
              <w:pStyle w:val="Odsekzoznamu"/>
              <w:numPr>
                <w:ilvl w:val="0"/>
                <w:numId w:val="37"/>
              </w:numPr>
            </w:pPr>
            <w:r w:rsidRPr="005C2CEC">
              <w:t>Rozvoj regiónov znížením nezamestnanosti</w:t>
            </w:r>
            <w:r w:rsidR="009A1EA3">
              <w:t>.</w:t>
            </w:r>
          </w:p>
          <w:p w14:paraId="52059030" w14:textId="77777777" w:rsidR="009D414F" w:rsidRPr="005C2CEC" w:rsidRDefault="009D414F" w:rsidP="00FB7126">
            <w:r w:rsidRPr="005C2CEC">
              <w:t>V dokumente bola však zároveň komunikovaná potreba dopracovania spoľahlivých merateľných ukazovateľov, na základe ktorých je možné sledovať plnenie pomenovaných cieľov. Autori materiálu navrhli konkrétne merateľné ukazovatele pre ciele dopravnej politiky stanovené v revízii výdavkov na dopravu.</w:t>
            </w:r>
          </w:p>
          <w:p w14:paraId="3A79549C" w14:textId="0F91647C" w:rsidR="009D414F" w:rsidRDefault="009D414F" w:rsidP="00FB7126">
            <w:pPr>
              <w:pStyle w:val="Popis"/>
            </w:pPr>
            <w:bookmarkStart w:id="104" w:name="_Toc83651108"/>
            <w:r w:rsidRPr="005C2CEC">
              <w:t xml:space="preserve">Tabuľka </w:t>
            </w:r>
            <w:r w:rsidRPr="005C2CEC">
              <w:rPr>
                <w:noProof/>
              </w:rPr>
              <w:fldChar w:fldCharType="begin"/>
            </w:r>
            <w:r w:rsidRPr="005C2CEC">
              <w:rPr>
                <w:noProof/>
              </w:rPr>
              <w:instrText xml:space="preserve"> SEQ Tabuľka \* ARABIC </w:instrText>
            </w:r>
            <w:r w:rsidRPr="005C2CEC">
              <w:rPr>
                <w:noProof/>
              </w:rPr>
              <w:fldChar w:fldCharType="separate"/>
            </w:r>
            <w:r w:rsidR="003B5091">
              <w:rPr>
                <w:noProof/>
              </w:rPr>
              <w:t>3</w:t>
            </w:r>
            <w:r w:rsidRPr="005C2CEC">
              <w:rPr>
                <w:noProof/>
              </w:rPr>
              <w:fldChar w:fldCharType="end"/>
            </w:r>
            <w:r w:rsidRPr="005C2CEC">
              <w:t xml:space="preserve"> Navrhované ciele revízie výdavkov a možné merateľné ukazovatele</w:t>
            </w:r>
            <w:bookmarkEnd w:id="104"/>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03"/>
              <w:gridCol w:w="4833"/>
            </w:tblGrid>
            <w:tr w:rsidR="007434E4" w:rsidRPr="007434E4" w14:paraId="5F7AB426" w14:textId="77777777" w:rsidTr="00FC70D5">
              <w:trPr>
                <w:trHeight w:val="178"/>
              </w:trPr>
              <w:tc>
                <w:tcPr>
                  <w:tcW w:w="4003" w:type="dxa"/>
                  <w:tcBorders>
                    <w:top w:val="single" w:sz="4" w:space="0" w:color="auto"/>
                    <w:bottom w:val="single" w:sz="4" w:space="0" w:color="auto"/>
                  </w:tcBorders>
                </w:tcPr>
                <w:p w14:paraId="7202C1F4" w14:textId="08BC839D" w:rsidR="007434E4" w:rsidRPr="00234581" w:rsidRDefault="007434E4" w:rsidP="00234581">
                  <w:pPr>
                    <w:spacing w:after="0"/>
                    <w:jc w:val="left"/>
                    <w:rPr>
                      <w:b/>
                      <w:sz w:val="20"/>
                      <w:szCs w:val="20"/>
                    </w:rPr>
                  </w:pPr>
                  <w:r w:rsidRPr="00234581">
                    <w:rPr>
                      <w:b/>
                      <w:sz w:val="20"/>
                      <w:szCs w:val="20"/>
                    </w:rPr>
                    <w:t>Cieľ dopravnej politiky</w:t>
                  </w:r>
                </w:p>
              </w:tc>
              <w:tc>
                <w:tcPr>
                  <w:tcW w:w="4833" w:type="dxa"/>
                  <w:tcBorders>
                    <w:top w:val="single" w:sz="4" w:space="0" w:color="auto"/>
                    <w:bottom w:val="single" w:sz="4" w:space="0" w:color="auto"/>
                  </w:tcBorders>
                </w:tcPr>
                <w:p w14:paraId="6ED794F7" w14:textId="0AA1298E" w:rsidR="007434E4" w:rsidRPr="00234581" w:rsidRDefault="007434E4" w:rsidP="00234581">
                  <w:pPr>
                    <w:spacing w:after="0"/>
                    <w:jc w:val="left"/>
                    <w:rPr>
                      <w:b/>
                      <w:sz w:val="20"/>
                      <w:szCs w:val="20"/>
                    </w:rPr>
                  </w:pPr>
                  <w:r w:rsidRPr="00234581">
                    <w:rPr>
                      <w:b/>
                      <w:sz w:val="20"/>
                      <w:szCs w:val="20"/>
                    </w:rPr>
                    <w:t>Merateľný ukazovateľ</w:t>
                  </w:r>
                </w:p>
              </w:tc>
            </w:tr>
            <w:tr w:rsidR="007434E4" w:rsidRPr="007434E4" w14:paraId="25568FA2" w14:textId="77777777" w:rsidTr="00FC70D5">
              <w:tc>
                <w:tcPr>
                  <w:tcW w:w="4003" w:type="dxa"/>
                  <w:tcBorders>
                    <w:top w:val="single" w:sz="4" w:space="0" w:color="auto"/>
                  </w:tcBorders>
                </w:tcPr>
                <w:p w14:paraId="015E0FB8" w14:textId="1B3CCD4F" w:rsidR="007434E4" w:rsidRPr="00234581" w:rsidRDefault="007434E4" w:rsidP="00234581">
                  <w:pPr>
                    <w:spacing w:after="0"/>
                    <w:jc w:val="left"/>
                    <w:rPr>
                      <w:sz w:val="20"/>
                      <w:szCs w:val="20"/>
                    </w:rPr>
                  </w:pPr>
                  <w:r w:rsidRPr="00234581">
                    <w:rPr>
                      <w:sz w:val="20"/>
                      <w:szCs w:val="20"/>
                    </w:rPr>
                    <w:t>Riešenie kongescií vo vybraných (geografických) oblastiach</w:t>
                  </w:r>
                </w:p>
              </w:tc>
              <w:tc>
                <w:tcPr>
                  <w:tcW w:w="4833" w:type="dxa"/>
                  <w:tcBorders>
                    <w:top w:val="single" w:sz="4" w:space="0" w:color="auto"/>
                  </w:tcBorders>
                </w:tcPr>
                <w:p w14:paraId="108DA744" w14:textId="22957259" w:rsidR="007434E4" w:rsidRPr="00234581" w:rsidRDefault="007434E4" w:rsidP="00234581">
                  <w:pPr>
                    <w:spacing w:after="0"/>
                    <w:jc w:val="left"/>
                    <w:rPr>
                      <w:sz w:val="20"/>
                      <w:szCs w:val="20"/>
                    </w:rPr>
                  </w:pPr>
                  <w:r w:rsidRPr="00234581">
                    <w:rPr>
                      <w:sz w:val="20"/>
                      <w:szCs w:val="20"/>
                    </w:rPr>
                    <w:t>Čas, strávený ročne v kongesciách (hod.)</w:t>
                  </w:r>
                </w:p>
              </w:tc>
            </w:tr>
            <w:tr w:rsidR="007434E4" w:rsidRPr="007434E4" w14:paraId="0EA656EF" w14:textId="77777777" w:rsidTr="00FC70D5">
              <w:tc>
                <w:tcPr>
                  <w:tcW w:w="4003" w:type="dxa"/>
                </w:tcPr>
                <w:p w14:paraId="04D0F41D" w14:textId="2CEF4AAC" w:rsidR="007434E4" w:rsidRPr="00234581" w:rsidRDefault="007434E4" w:rsidP="00234581">
                  <w:pPr>
                    <w:spacing w:after="0"/>
                    <w:jc w:val="left"/>
                    <w:rPr>
                      <w:sz w:val="20"/>
                      <w:szCs w:val="20"/>
                    </w:rPr>
                  </w:pPr>
                  <w:r w:rsidRPr="00234581">
                    <w:rPr>
                      <w:sz w:val="20"/>
                      <w:szCs w:val="20"/>
                    </w:rPr>
                    <w:t>Skrátenie cestovného času medzi ekonomickými centram</w:t>
                  </w:r>
                  <w:r>
                    <w:rPr>
                      <w:sz w:val="20"/>
                      <w:szCs w:val="20"/>
                    </w:rPr>
                    <w:t>i</w:t>
                  </w:r>
                </w:p>
              </w:tc>
              <w:tc>
                <w:tcPr>
                  <w:tcW w:w="4833" w:type="dxa"/>
                </w:tcPr>
                <w:p w14:paraId="5F31A57B" w14:textId="6FC34179" w:rsidR="007434E4" w:rsidRPr="00234581" w:rsidRDefault="007434E4" w:rsidP="00234581">
                  <w:pPr>
                    <w:spacing w:after="0"/>
                    <w:jc w:val="left"/>
                    <w:rPr>
                      <w:sz w:val="20"/>
                      <w:szCs w:val="20"/>
                    </w:rPr>
                  </w:pPr>
                  <w:r w:rsidRPr="00234581">
                    <w:rPr>
                      <w:sz w:val="20"/>
                      <w:szCs w:val="20"/>
                    </w:rPr>
                    <w:t>Cestovný čas medzi centrami v pracovný deň (vážený priemer podľa počtu vozidiel v hodine) (min.)</w:t>
                  </w:r>
                </w:p>
              </w:tc>
            </w:tr>
            <w:tr w:rsidR="007434E4" w:rsidRPr="007434E4" w14:paraId="452CCDDC" w14:textId="77777777" w:rsidTr="00FC70D5">
              <w:trPr>
                <w:trHeight w:val="293"/>
              </w:trPr>
              <w:tc>
                <w:tcPr>
                  <w:tcW w:w="4003" w:type="dxa"/>
                </w:tcPr>
                <w:p w14:paraId="1E61D88E" w14:textId="34F45F56" w:rsidR="007434E4" w:rsidRPr="00234581" w:rsidRDefault="007434E4" w:rsidP="00234581">
                  <w:pPr>
                    <w:spacing w:after="0"/>
                    <w:jc w:val="left"/>
                    <w:rPr>
                      <w:sz w:val="20"/>
                      <w:szCs w:val="20"/>
                    </w:rPr>
                  </w:pPr>
                  <w:r w:rsidRPr="00234581">
                    <w:rPr>
                      <w:sz w:val="20"/>
                      <w:szCs w:val="20"/>
                    </w:rPr>
                    <w:t>Zvýšenie bezpečnosti v doprave</w:t>
                  </w:r>
                </w:p>
              </w:tc>
              <w:tc>
                <w:tcPr>
                  <w:tcW w:w="4833" w:type="dxa"/>
                </w:tcPr>
                <w:p w14:paraId="2ABD8F3D" w14:textId="374897F2" w:rsidR="007434E4" w:rsidRPr="00234581" w:rsidRDefault="007434E4" w:rsidP="00234581">
                  <w:pPr>
                    <w:spacing w:after="0"/>
                    <w:jc w:val="left"/>
                    <w:rPr>
                      <w:sz w:val="20"/>
                      <w:szCs w:val="20"/>
                    </w:rPr>
                  </w:pPr>
                  <w:r w:rsidRPr="00234581">
                    <w:rPr>
                      <w:sz w:val="20"/>
                      <w:szCs w:val="20"/>
                    </w:rPr>
                    <w:t>Počet smrteľných a vážnych nehôd na tisíc osobokm</w:t>
                  </w:r>
                </w:p>
              </w:tc>
            </w:tr>
            <w:tr w:rsidR="007434E4" w:rsidRPr="007434E4" w14:paraId="64870180" w14:textId="77777777" w:rsidTr="00FC70D5">
              <w:trPr>
                <w:trHeight w:val="877"/>
              </w:trPr>
              <w:tc>
                <w:tcPr>
                  <w:tcW w:w="4003" w:type="dxa"/>
                </w:tcPr>
                <w:p w14:paraId="62E23B53" w14:textId="72F98395" w:rsidR="007434E4" w:rsidRPr="00234581" w:rsidRDefault="007434E4" w:rsidP="00234581">
                  <w:pPr>
                    <w:spacing w:after="0"/>
                    <w:jc w:val="left"/>
                    <w:rPr>
                      <w:sz w:val="20"/>
                      <w:szCs w:val="20"/>
                    </w:rPr>
                  </w:pPr>
                  <w:r w:rsidRPr="00234581">
                    <w:rPr>
                      <w:sz w:val="20"/>
                      <w:szCs w:val="20"/>
                    </w:rPr>
                    <w:t>Rozvoj regiónov s nízkou ekonomickou aktivitou</w:t>
                  </w:r>
                </w:p>
              </w:tc>
              <w:tc>
                <w:tcPr>
                  <w:tcW w:w="4833" w:type="dxa"/>
                </w:tcPr>
                <w:p w14:paraId="23B4C6A3" w14:textId="77777777" w:rsidR="007434E4" w:rsidRPr="00234581" w:rsidRDefault="007434E4" w:rsidP="00234581">
                  <w:pPr>
                    <w:spacing w:after="0"/>
                    <w:jc w:val="left"/>
                    <w:rPr>
                      <w:sz w:val="20"/>
                      <w:szCs w:val="20"/>
                    </w:rPr>
                  </w:pPr>
                  <w:r w:rsidRPr="00234581">
                    <w:rPr>
                      <w:sz w:val="20"/>
                      <w:szCs w:val="20"/>
                    </w:rPr>
                    <w:t>Nezamestnanosť podľa okresu (%)</w:t>
                  </w:r>
                </w:p>
                <w:p w14:paraId="1EFF08A5" w14:textId="77777777" w:rsidR="007434E4" w:rsidRPr="00234581" w:rsidRDefault="007434E4" w:rsidP="00234581">
                  <w:pPr>
                    <w:spacing w:after="0"/>
                    <w:jc w:val="left"/>
                    <w:rPr>
                      <w:sz w:val="20"/>
                      <w:szCs w:val="20"/>
                    </w:rPr>
                  </w:pPr>
                  <w:r w:rsidRPr="00234581">
                    <w:rPr>
                      <w:sz w:val="20"/>
                      <w:szCs w:val="20"/>
                    </w:rPr>
                    <w:t>Migrácia obyvateľstva z/do okresu</w:t>
                  </w:r>
                </w:p>
                <w:p w14:paraId="1C0AC728" w14:textId="54B42BBE" w:rsidR="007434E4" w:rsidRPr="00234581" w:rsidRDefault="007434E4" w:rsidP="00234581">
                  <w:pPr>
                    <w:spacing w:after="0"/>
                    <w:jc w:val="left"/>
                    <w:rPr>
                      <w:sz w:val="20"/>
                      <w:szCs w:val="20"/>
                    </w:rPr>
                  </w:pPr>
                  <w:r w:rsidRPr="00234581">
                    <w:rPr>
                      <w:sz w:val="20"/>
                      <w:szCs w:val="20"/>
                    </w:rPr>
                    <w:t>Priemerná mzda v okrese (eur)</w:t>
                  </w:r>
                </w:p>
              </w:tc>
            </w:tr>
            <w:tr w:rsidR="007434E4" w:rsidRPr="007434E4" w14:paraId="290288CF" w14:textId="77777777" w:rsidTr="00FC70D5">
              <w:trPr>
                <w:trHeight w:val="649"/>
              </w:trPr>
              <w:tc>
                <w:tcPr>
                  <w:tcW w:w="4003" w:type="dxa"/>
                </w:tcPr>
                <w:p w14:paraId="2A517FA4" w14:textId="47A79E27" w:rsidR="007434E4" w:rsidRPr="00234581" w:rsidRDefault="007434E4" w:rsidP="00234581">
                  <w:pPr>
                    <w:spacing w:after="0"/>
                    <w:jc w:val="left"/>
                    <w:rPr>
                      <w:sz w:val="20"/>
                      <w:szCs w:val="20"/>
                    </w:rPr>
                  </w:pPr>
                  <w:r w:rsidRPr="00234581">
                    <w:rPr>
                      <w:sz w:val="20"/>
                      <w:szCs w:val="20"/>
                    </w:rPr>
                    <w:t>Rozvoj a zatraktívnenie verejnej dopravy</w:t>
                  </w:r>
                </w:p>
              </w:tc>
              <w:tc>
                <w:tcPr>
                  <w:tcW w:w="4833" w:type="dxa"/>
                </w:tcPr>
                <w:p w14:paraId="5B646334" w14:textId="77777777" w:rsidR="007434E4" w:rsidRPr="00234581" w:rsidRDefault="007434E4" w:rsidP="00234581">
                  <w:pPr>
                    <w:spacing w:after="0"/>
                    <w:jc w:val="left"/>
                    <w:rPr>
                      <w:sz w:val="20"/>
                      <w:szCs w:val="20"/>
                    </w:rPr>
                  </w:pPr>
                  <w:r w:rsidRPr="00234581">
                    <w:rPr>
                      <w:sz w:val="20"/>
                      <w:szCs w:val="20"/>
                    </w:rPr>
                    <w:t>Podiel prepravnej práce VOD (%)</w:t>
                  </w:r>
                </w:p>
                <w:p w14:paraId="139A7EE3" w14:textId="60C40799" w:rsidR="007434E4" w:rsidRPr="00234581" w:rsidRDefault="007434E4" w:rsidP="00234581">
                  <w:pPr>
                    <w:spacing w:after="0"/>
                    <w:jc w:val="left"/>
                    <w:rPr>
                      <w:sz w:val="20"/>
                      <w:szCs w:val="20"/>
                    </w:rPr>
                  </w:pPr>
                  <w:r w:rsidRPr="00234581">
                    <w:rPr>
                      <w:sz w:val="20"/>
                      <w:szCs w:val="20"/>
                    </w:rPr>
                    <w:t>Miera spoľahlivosti VOD v plnení grafikonu (%)</w:t>
                  </w:r>
                </w:p>
              </w:tc>
            </w:tr>
            <w:tr w:rsidR="007434E4" w:rsidRPr="007434E4" w14:paraId="0D7A66B6" w14:textId="77777777" w:rsidTr="00FC70D5">
              <w:tc>
                <w:tcPr>
                  <w:tcW w:w="4003" w:type="dxa"/>
                  <w:tcBorders>
                    <w:bottom w:val="single" w:sz="4" w:space="0" w:color="auto"/>
                  </w:tcBorders>
                </w:tcPr>
                <w:p w14:paraId="61472578" w14:textId="0E6DDBA3" w:rsidR="007434E4" w:rsidRPr="00234581" w:rsidRDefault="007434E4" w:rsidP="00234581">
                  <w:pPr>
                    <w:spacing w:after="0"/>
                    <w:jc w:val="left"/>
                    <w:rPr>
                      <w:sz w:val="20"/>
                      <w:szCs w:val="20"/>
                    </w:rPr>
                  </w:pPr>
                  <w:r w:rsidRPr="00234581">
                    <w:rPr>
                      <w:sz w:val="20"/>
                      <w:szCs w:val="20"/>
                    </w:rPr>
                    <w:t>Zníženie negatívnych vplyvov na životné prostredie</w:t>
                  </w:r>
                </w:p>
              </w:tc>
              <w:tc>
                <w:tcPr>
                  <w:tcW w:w="4833" w:type="dxa"/>
                  <w:tcBorders>
                    <w:bottom w:val="single" w:sz="4" w:space="0" w:color="auto"/>
                  </w:tcBorders>
                </w:tcPr>
                <w:p w14:paraId="72CD7A68" w14:textId="77777777" w:rsidR="007434E4" w:rsidRPr="00234581" w:rsidRDefault="007434E4" w:rsidP="00234581">
                  <w:pPr>
                    <w:spacing w:after="0"/>
                    <w:jc w:val="left"/>
                    <w:rPr>
                      <w:sz w:val="20"/>
                      <w:szCs w:val="20"/>
                    </w:rPr>
                  </w:pPr>
                  <w:r w:rsidRPr="00234581">
                    <w:rPr>
                      <w:sz w:val="20"/>
                      <w:szCs w:val="20"/>
                    </w:rPr>
                    <w:t>Podiel prepravnej práce módmi bez spaľovacích motorov (%)</w:t>
                  </w:r>
                </w:p>
                <w:p w14:paraId="33AE6EDF" w14:textId="02CC4DB3" w:rsidR="007434E4" w:rsidRPr="00234581" w:rsidRDefault="007434E4" w:rsidP="00234581">
                  <w:pPr>
                    <w:spacing w:after="0"/>
                    <w:jc w:val="left"/>
                    <w:rPr>
                      <w:sz w:val="20"/>
                      <w:szCs w:val="20"/>
                    </w:rPr>
                  </w:pPr>
                  <w:r w:rsidRPr="00234581">
                    <w:rPr>
                      <w:sz w:val="20"/>
                      <w:szCs w:val="20"/>
                    </w:rPr>
                    <w:t>Podiel prepravnej práce v aktívnej doprave (%)</w:t>
                  </w:r>
                </w:p>
                <w:p w14:paraId="0175563F" w14:textId="4FFCE372" w:rsidR="007434E4" w:rsidRPr="00234581" w:rsidRDefault="007434E4" w:rsidP="00234581">
                  <w:pPr>
                    <w:spacing w:after="0"/>
                    <w:jc w:val="left"/>
                    <w:rPr>
                      <w:sz w:val="20"/>
                      <w:szCs w:val="20"/>
                    </w:rPr>
                  </w:pPr>
                  <w:r w:rsidRPr="00234581">
                    <w:rPr>
                      <w:sz w:val="20"/>
                      <w:szCs w:val="20"/>
                    </w:rPr>
                    <w:t>Podiel dieselových motorov na celkovom vozidlovom parku (%)</w:t>
                  </w:r>
                </w:p>
              </w:tc>
            </w:tr>
          </w:tbl>
          <w:p w14:paraId="5BAFAFF9" w14:textId="5913EC30" w:rsidR="009D414F" w:rsidRPr="005C2CEC" w:rsidRDefault="007434E4" w:rsidP="00234581">
            <w:pPr>
              <w:jc w:val="right"/>
            </w:pPr>
            <w:r w:rsidRPr="00234581">
              <w:rPr>
                <w:i/>
                <w:sz w:val="16"/>
              </w:rPr>
              <w:t>Zdroj: Revízia výdavkov na dopravu (2016), návrh ÚHP</w:t>
            </w:r>
          </w:p>
        </w:tc>
      </w:tr>
    </w:tbl>
    <w:p w14:paraId="1EBD9430" w14:textId="4E39390E" w:rsidR="00C51D1B" w:rsidRDefault="00491AAF" w:rsidP="00491AAF">
      <w:r w:rsidRPr="005C2CEC">
        <w:lastRenderedPageBreak/>
        <w:t xml:space="preserve">V rámci prípravy </w:t>
      </w:r>
      <w:r w:rsidR="006D54AC" w:rsidRPr="005C2CEC">
        <w:t>s</w:t>
      </w:r>
      <w:r w:rsidRPr="005C2CEC">
        <w:t xml:space="preserve">ektorovej investičnej stratégie ministerstvo vytvorí zásobník investičných </w:t>
      </w:r>
      <w:r w:rsidR="004163B3" w:rsidRPr="005C2CEC">
        <w:t>zámerov</w:t>
      </w:r>
      <w:r w:rsidR="00544E74">
        <w:t>. Zásobník investičných zámerov</w:t>
      </w:r>
      <w:r w:rsidRPr="005C2CEC">
        <w:t xml:space="preserve"> predstavuje úplný zoznam známych a v dlhodobom horizonte plánovaných </w:t>
      </w:r>
      <w:r w:rsidR="00137310">
        <w:t xml:space="preserve">investičných projektov </w:t>
      </w:r>
      <w:r w:rsidRPr="005C2CEC">
        <w:t>s hodnotou rovnou alebo vyššou ako 1 mil. eur</w:t>
      </w:r>
      <w:r w:rsidR="00B9011E" w:rsidRPr="005C2CEC">
        <w:t xml:space="preserve"> vrátane ich variantných riešení</w:t>
      </w:r>
      <w:r w:rsidR="00544E74">
        <w:t>, ktoré plánuje ministerstvo alebo Investor v riadiacej pôsobnosti ministerstva (t.j. rozpočtové organizácie, príspevkové organizácie a ostatné subjekty verejnej správy v riadiacej pôsobnosti ministerstva)</w:t>
      </w:r>
      <w:r w:rsidR="00544E74" w:rsidRPr="005C2CEC">
        <w:t>.</w:t>
      </w:r>
      <w:r w:rsidR="00544E74">
        <w:t xml:space="preserve"> Investor v riadiacej pôsobnosti ministerstva za týmto účelom informuje ministerstvo o všetkých známych investičných projektoch s hodnotou rovnou alebo vyššou ako 1 mil. eur, ktoré plánuje pripravovať a realizovať z verejných prostriedkov.</w:t>
      </w:r>
    </w:p>
    <w:p w14:paraId="7376D60E" w14:textId="5BA09D55" w:rsidR="00491AAF" w:rsidRPr="005C2CEC" w:rsidRDefault="009C64AF" w:rsidP="00491AAF">
      <w:r>
        <w:t xml:space="preserve">Cieľom tvorby zásobníka je príprava kvalitných podkladov už v úvodných fázach pre strednodobé a dlhodobé plánovanie verejných investícií. </w:t>
      </w:r>
      <w:r w:rsidR="00491AAF" w:rsidRPr="005C2CEC">
        <w:t xml:space="preserve">Zásobník investičných </w:t>
      </w:r>
      <w:r w:rsidR="004163B3" w:rsidRPr="005C2CEC">
        <w:t>zámerov</w:t>
      </w:r>
      <w:r w:rsidR="00491AAF" w:rsidRPr="005C2CEC">
        <w:t xml:space="preserve"> ministerstvo aktualizuje na pravidelnej báze a používa ho ako hlavný vstup pri určovaní investičných priorít za účelom tvorby </w:t>
      </w:r>
      <w:r w:rsidR="004163B3" w:rsidRPr="005C2CEC">
        <w:t>i</w:t>
      </w:r>
      <w:r w:rsidR="00491AAF" w:rsidRPr="005C2CEC">
        <w:t>nvestičného plánu.</w:t>
      </w:r>
    </w:p>
    <w:p w14:paraId="30FEC23C" w14:textId="0E62454B" w:rsidR="00491AAF" w:rsidRPr="005C2CEC" w:rsidRDefault="00491AAF" w:rsidP="00491AAF">
      <w:r w:rsidRPr="005C2CEC">
        <w:t xml:space="preserve">Do zásobníka investičných </w:t>
      </w:r>
      <w:r w:rsidR="004163B3" w:rsidRPr="005C2CEC">
        <w:t>zámerov</w:t>
      </w:r>
      <w:r w:rsidRPr="005C2CEC">
        <w:t xml:space="preserve"> sú</w:t>
      </w:r>
      <w:r w:rsidR="00137310">
        <w:t> investičné projekty</w:t>
      </w:r>
      <w:r w:rsidRPr="005C2CEC">
        <w:t xml:space="preserve"> zaradené na základe zozbieraných investičných zámerov, v ktorých Investori uvedú minimálne nasledujúce základné informácie:</w:t>
      </w:r>
    </w:p>
    <w:p w14:paraId="386E480C" w14:textId="29687357" w:rsidR="00491AAF" w:rsidRPr="005C2CEC" w:rsidRDefault="00491AAF" w:rsidP="00591D2F">
      <w:pPr>
        <w:pStyle w:val="Odsekzoznamu"/>
        <w:numPr>
          <w:ilvl w:val="0"/>
          <w:numId w:val="21"/>
        </w:numPr>
      </w:pPr>
      <w:r w:rsidRPr="005C2CEC">
        <w:t xml:space="preserve">preukázanie súladu investičného </w:t>
      </w:r>
      <w:r w:rsidR="004163B3" w:rsidRPr="005C2CEC">
        <w:t>zámeru</w:t>
      </w:r>
      <w:r w:rsidRPr="005C2CEC">
        <w:t xml:space="preserve"> s</w:t>
      </w:r>
      <w:r w:rsidR="00FC5E75" w:rsidRPr="005C2CEC">
        <w:t>o sektorovou</w:t>
      </w:r>
      <w:r w:rsidR="008B0968" w:rsidRPr="005C2CEC">
        <w:t xml:space="preserve"> i</w:t>
      </w:r>
      <w:r w:rsidRPr="005C2CEC">
        <w:t>nvestičnou stratégiou,</w:t>
      </w:r>
    </w:p>
    <w:p w14:paraId="79CEBC70" w14:textId="1089E91F" w:rsidR="00491AAF" w:rsidRPr="005C2CEC" w:rsidRDefault="004163B3" w:rsidP="00591D2F">
      <w:pPr>
        <w:pStyle w:val="Odsekzoznamu"/>
        <w:numPr>
          <w:ilvl w:val="0"/>
          <w:numId w:val="21"/>
        </w:numPr>
      </w:pPr>
      <w:r w:rsidRPr="005C2CEC">
        <w:t xml:space="preserve">stručné </w:t>
      </w:r>
      <w:r w:rsidR="00491AAF" w:rsidRPr="005C2CEC">
        <w:t xml:space="preserve">zdôvodnenie potreby investičného </w:t>
      </w:r>
      <w:r w:rsidRPr="005C2CEC">
        <w:t>zámeru</w:t>
      </w:r>
      <w:r w:rsidR="00491AAF" w:rsidRPr="005C2CEC">
        <w:t>,</w:t>
      </w:r>
    </w:p>
    <w:p w14:paraId="0B200ADA" w14:textId="50CCBD0E" w:rsidR="00491AAF" w:rsidRPr="005C2CEC" w:rsidRDefault="00491AAF" w:rsidP="00591D2F">
      <w:pPr>
        <w:pStyle w:val="Odsekzoznamu"/>
        <w:numPr>
          <w:ilvl w:val="0"/>
          <w:numId w:val="21"/>
        </w:numPr>
      </w:pPr>
      <w:r w:rsidRPr="005C2CEC">
        <w:t>opis a</w:t>
      </w:r>
      <w:r w:rsidR="004163B3" w:rsidRPr="005C2CEC">
        <w:t> </w:t>
      </w:r>
      <w:r w:rsidR="00485207">
        <w:t>rámcové</w:t>
      </w:r>
      <w:r w:rsidR="00485207" w:rsidRPr="005C2CEC">
        <w:t xml:space="preserve"> </w:t>
      </w:r>
      <w:r w:rsidRPr="005C2CEC">
        <w:t>porovnanie zvažovaných alternatív realizácie,</w:t>
      </w:r>
    </w:p>
    <w:p w14:paraId="674D11E7" w14:textId="77777777" w:rsidR="00491AAF" w:rsidRPr="005C2CEC" w:rsidRDefault="00491AAF" w:rsidP="00591D2F">
      <w:pPr>
        <w:pStyle w:val="Odsekzoznamu"/>
        <w:numPr>
          <w:ilvl w:val="0"/>
          <w:numId w:val="21"/>
        </w:numPr>
      </w:pPr>
      <w:r w:rsidRPr="005C2CEC">
        <w:t>odhad predpokladaných nákladov na realizáciu,</w:t>
      </w:r>
    </w:p>
    <w:p w14:paraId="12B4BA6A" w14:textId="294F6B27" w:rsidR="00491AAF" w:rsidRPr="005C2CEC" w:rsidRDefault="00491AAF" w:rsidP="00591D2F">
      <w:pPr>
        <w:pStyle w:val="Odsekzoznamu"/>
        <w:numPr>
          <w:ilvl w:val="0"/>
          <w:numId w:val="21"/>
        </w:numPr>
      </w:pPr>
      <w:r w:rsidRPr="005C2CEC">
        <w:t xml:space="preserve">zhrnutie predpokladaných prínosov investičného </w:t>
      </w:r>
      <w:r w:rsidR="004163B3" w:rsidRPr="005C2CEC">
        <w:t>zámeru</w:t>
      </w:r>
      <w:r w:rsidRPr="005C2CEC">
        <w:t>,</w:t>
      </w:r>
    </w:p>
    <w:p w14:paraId="26F15380" w14:textId="69DC44DD" w:rsidR="00544E74" w:rsidRDefault="00491AAF" w:rsidP="00591D2F">
      <w:pPr>
        <w:pStyle w:val="Odsekzoznamu"/>
        <w:numPr>
          <w:ilvl w:val="0"/>
          <w:numId w:val="21"/>
        </w:numPr>
      </w:pPr>
      <w:r w:rsidRPr="005C2CEC">
        <w:t xml:space="preserve">preukázanie nadväznosti na konkrétny </w:t>
      </w:r>
      <w:r w:rsidR="008B0968" w:rsidRPr="005C2CEC">
        <w:t>investičný</w:t>
      </w:r>
      <w:r w:rsidRPr="005C2CEC">
        <w:t xml:space="preserve"> cieľ</w:t>
      </w:r>
      <w:r w:rsidR="00544E74">
        <w:t>,</w:t>
      </w:r>
    </w:p>
    <w:p w14:paraId="424AD15D" w14:textId="7D54A6B6" w:rsidR="00805505" w:rsidRDefault="00805505" w:rsidP="00591D2F">
      <w:pPr>
        <w:pStyle w:val="Odsekzoznamu"/>
        <w:numPr>
          <w:ilvl w:val="0"/>
          <w:numId w:val="21"/>
        </w:numPr>
      </w:pPr>
      <w:r>
        <w:t xml:space="preserve">plánovaný termín vyhlásenia </w:t>
      </w:r>
      <w:r w:rsidR="00B73026">
        <w:t xml:space="preserve">verejného </w:t>
      </w:r>
      <w:r>
        <w:t>obstarávania,</w:t>
      </w:r>
    </w:p>
    <w:p w14:paraId="3A6032C6" w14:textId="6B0913DA" w:rsidR="00491AAF" w:rsidRDefault="00544E74" w:rsidP="00591D2F">
      <w:pPr>
        <w:pStyle w:val="Odsekzoznamu"/>
        <w:numPr>
          <w:ilvl w:val="0"/>
          <w:numId w:val="21"/>
        </w:numPr>
      </w:pPr>
      <w:r>
        <w:t>predpokladaný harmonogram prípravy a realizácie investičného zámeru</w:t>
      </w:r>
      <w:r w:rsidRPr="005C2CEC">
        <w:t>.</w:t>
      </w:r>
    </w:p>
    <w:p w14:paraId="30724010" w14:textId="096BDA5A" w:rsidR="006905D1" w:rsidRPr="005C2CEC" w:rsidRDefault="006905D1" w:rsidP="006905D1">
      <w:pPr>
        <w:pStyle w:val="Popis"/>
      </w:pPr>
      <w:r w:rsidRPr="005C2CEC">
        <w:t xml:space="preserve">Box </w:t>
      </w:r>
      <w:r w:rsidR="001F2F09" w:rsidRPr="005C2CEC">
        <w:rPr>
          <w:noProof/>
        </w:rPr>
        <w:fldChar w:fldCharType="begin"/>
      </w:r>
      <w:r w:rsidR="001F2F09" w:rsidRPr="005C2CEC">
        <w:rPr>
          <w:noProof/>
        </w:rPr>
        <w:instrText xml:space="preserve"> SEQ Box \* ARABIC </w:instrText>
      </w:r>
      <w:r w:rsidR="001F2F09" w:rsidRPr="005C2CEC">
        <w:rPr>
          <w:noProof/>
        </w:rPr>
        <w:fldChar w:fldCharType="separate"/>
      </w:r>
      <w:r w:rsidR="000D2AF7">
        <w:rPr>
          <w:noProof/>
        </w:rPr>
        <w:t>4</w:t>
      </w:r>
      <w:r w:rsidR="001F2F09" w:rsidRPr="005C2CEC">
        <w:rPr>
          <w:noProof/>
        </w:rPr>
        <w:fldChar w:fldCharType="end"/>
      </w:r>
      <w:r w:rsidRPr="005C2CEC">
        <w:t xml:space="preserve">: </w:t>
      </w:r>
      <w:r w:rsidR="00A533D2">
        <w:t>Rozsah informácií</w:t>
      </w:r>
      <w:r w:rsidR="009D414F">
        <w:t xml:space="preserve"> v zásobníku investičných zámerov</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Look w:val="04A0" w:firstRow="1" w:lastRow="0" w:firstColumn="1" w:lastColumn="0" w:noHBand="0" w:noVBand="1"/>
      </w:tblPr>
      <w:tblGrid>
        <w:gridCol w:w="9062"/>
      </w:tblGrid>
      <w:tr w:rsidR="006905D1" w:rsidRPr="005C2CEC" w14:paraId="64FE7D3C" w14:textId="77777777" w:rsidTr="007E54E6">
        <w:tc>
          <w:tcPr>
            <w:tcW w:w="9062" w:type="dxa"/>
            <w:shd w:val="clear" w:color="auto" w:fill="DEEAF6" w:themeFill="accent1" w:themeFillTint="33"/>
          </w:tcPr>
          <w:p w14:paraId="63AD7878" w14:textId="54855E62" w:rsidR="009D414F" w:rsidRDefault="009D414F">
            <w:r w:rsidRPr="009C64AF">
              <w:t xml:space="preserve">Miera detailu </w:t>
            </w:r>
            <w:r>
              <w:t>uvedených informácií zodpovedá</w:t>
            </w:r>
            <w:r w:rsidRPr="009C64AF">
              <w:t xml:space="preserve"> stavu rozpracovanosti investičného projektu</w:t>
            </w:r>
            <w:r>
              <w:t>, ako aj vlastným kapacitám Investora</w:t>
            </w:r>
            <w:r w:rsidRPr="009C64AF">
              <w:t xml:space="preserve">. V </w:t>
            </w:r>
            <w:r>
              <w:t>počiatočných</w:t>
            </w:r>
            <w:r w:rsidRPr="009C64AF">
              <w:t xml:space="preserve"> fázach </w:t>
            </w:r>
            <w:r>
              <w:t>Investor</w:t>
            </w:r>
            <w:r w:rsidRPr="009C64AF">
              <w:t xml:space="preserve"> </w:t>
            </w:r>
            <w:r>
              <w:t xml:space="preserve">uvádza </w:t>
            </w:r>
            <w:r w:rsidRPr="009C64AF">
              <w:t xml:space="preserve">hrubé predpoklady, ktoré budú </w:t>
            </w:r>
            <w:r>
              <w:t>v procese prípravy investičného projektu spresňované.</w:t>
            </w:r>
          </w:p>
          <w:p w14:paraId="66D4E112" w14:textId="38B1BD65" w:rsidR="009D414F" w:rsidRDefault="009D414F" w:rsidP="009D414F">
            <w:r>
              <w:t xml:space="preserve">Potrebu investičného projektu </w:t>
            </w:r>
            <w:r w:rsidRPr="009C64AF">
              <w:t xml:space="preserve">Investor </w:t>
            </w:r>
            <w:r>
              <w:t>preukáže</w:t>
            </w:r>
            <w:r w:rsidRPr="009C64AF">
              <w:t xml:space="preserve"> </w:t>
            </w:r>
            <w:r>
              <w:t xml:space="preserve">identifikáciou existujúceho problému alebo nedostatku (napr. </w:t>
            </w:r>
            <w:r w:rsidRPr="00F565FA">
              <w:rPr>
                <w:szCs w:val="24"/>
              </w:rPr>
              <w:t>nedostatky v existujúcej verejnej infraštruktúre a s nimi spojené nežiadúce spoločenské javy</w:t>
            </w:r>
            <w:r>
              <w:t>) v súlade s platnými strategickými dokumentmi a sektorovou investičnou stratégiou. Príkladmi problémov, ktoré môžu odôvodňovať potrebu verejnej investície, sú:</w:t>
            </w:r>
          </w:p>
          <w:p w14:paraId="0FCB6C39" w14:textId="65442A6B" w:rsidR="009D414F" w:rsidRDefault="009D414F" w:rsidP="009D414F">
            <w:pPr>
              <w:pStyle w:val="Odsekzoznamu"/>
              <w:numPr>
                <w:ilvl w:val="0"/>
                <w:numId w:val="44"/>
              </w:numPr>
            </w:pPr>
            <w:r>
              <w:t>nedostatočná dopravná infraštruktúra v regióne, ktorá obmedzuje pracovnú mobilitu, limituje rozvoj a prehlbuje regionálne rozdiely;</w:t>
            </w:r>
          </w:p>
          <w:p w14:paraId="0A0383C7" w14:textId="3995C868" w:rsidR="009D414F" w:rsidRDefault="009D414F" w:rsidP="009D414F">
            <w:pPr>
              <w:pStyle w:val="Odsekzoznamu"/>
              <w:numPr>
                <w:ilvl w:val="0"/>
                <w:numId w:val="44"/>
              </w:numPr>
            </w:pPr>
            <w:r>
              <w:t>vysoká miera infekcií a reoperovanosti vo verejnej nemocnici;</w:t>
            </w:r>
          </w:p>
          <w:p w14:paraId="43E31E31" w14:textId="169CB701" w:rsidR="009D414F" w:rsidRDefault="009D414F" w:rsidP="009D414F">
            <w:pPr>
              <w:pStyle w:val="Odsekzoznamu"/>
              <w:numPr>
                <w:ilvl w:val="0"/>
                <w:numId w:val="44"/>
              </w:numPr>
            </w:pPr>
            <w:r>
              <w:t>časté povodne a s tým spojené materiálne škody v obciach v záplavovej oblasti rieky;</w:t>
            </w:r>
          </w:p>
          <w:p w14:paraId="284BC41E" w14:textId="68C5DB43" w:rsidR="009D414F" w:rsidRDefault="009D414F" w:rsidP="009D414F">
            <w:pPr>
              <w:pStyle w:val="Odsekzoznamu"/>
              <w:numPr>
                <w:ilvl w:val="0"/>
                <w:numId w:val="44"/>
              </w:numPr>
            </w:pPr>
            <w:r>
              <w:lastRenderedPageBreak/>
              <w:t>nízka miera recyklácie odpadu a nelegálne skládky odpadu.</w:t>
            </w:r>
          </w:p>
          <w:p w14:paraId="4E5C7435" w14:textId="20DC4DA7" w:rsidR="009D414F" w:rsidRDefault="009D414F">
            <w:r>
              <w:t>Pri identifikácii možných</w:t>
            </w:r>
            <w:r w:rsidRPr="009C64AF">
              <w:t xml:space="preserve"> alt</w:t>
            </w:r>
            <w:r>
              <w:t>ernatívnych riešení môže Investor postupovať na základe odborných štúdií, vstupov od expertov z praxe alebo verejnou konzultáciou. Napríklad p</w:t>
            </w:r>
            <w:r>
              <w:rPr>
                <w:szCs w:val="24"/>
              </w:rPr>
              <w:t>ri</w:t>
            </w:r>
            <w:r w:rsidRPr="00F565FA">
              <w:rPr>
                <w:szCs w:val="24"/>
              </w:rPr>
              <w:t xml:space="preserve"> riešen</w:t>
            </w:r>
            <w:r>
              <w:rPr>
                <w:szCs w:val="24"/>
              </w:rPr>
              <w:t>í</w:t>
            </w:r>
            <w:r w:rsidRPr="00F565FA">
              <w:rPr>
                <w:szCs w:val="24"/>
              </w:rPr>
              <w:t xml:space="preserve"> dopravnej situácie v meste sa dá uvažovať o výstavbe obchvatu, rozvoji regionálnej hromadnej dopravy a parkovísk, rozšírenie vnútromestských ciest, výstavba metra či nadzemnej koľajovej trate a i. Nestačí zvažovať niekoľko trás diaľničného obchvatu a zanedbať celkom iné dopravné riešenia.</w:t>
            </w:r>
            <w:r>
              <w:rPr>
                <w:szCs w:val="24"/>
              </w:rPr>
              <w:t xml:space="preserve"> </w:t>
            </w:r>
            <w:r>
              <w:t>Pôvodný širší rozsah alternatív</w:t>
            </w:r>
            <w:r w:rsidRPr="009C64AF">
              <w:t xml:space="preserve"> môže </w:t>
            </w:r>
            <w:r>
              <w:t xml:space="preserve">Investor </w:t>
            </w:r>
            <w:r w:rsidRPr="009C64AF">
              <w:t xml:space="preserve">v neskorších fázach prípravy </w:t>
            </w:r>
            <w:r>
              <w:t>investičného projektu spresniť a </w:t>
            </w:r>
            <w:r w:rsidRPr="009C64AF">
              <w:t>zúžiť</w:t>
            </w:r>
            <w:r>
              <w:t xml:space="preserve"> podľa nových dostupných informácií.</w:t>
            </w:r>
            <w:r w:rsidR="00070972">
              <w:t xml:space="preserve"> V prípade ak pre investičných projekt nie je možné z relevantných dôvodov zvažovať rôzne alternatívy, Investor túto skutočnosť uvedie a adekvátne zdôvodní (napr. pri obranných projektoch, kde je jasne definovaná požiadavka zo strany NATO ohľadom potreby nákupu obranných vozidiel). V takom prípade Investor vo fáze spracovania štúdie uskutočniteľnosti analyzuje rôzne možnosti realizácie investície v rámci danej alternatívy (napr. nákup obranných vozidiel v rôznych prevedeniach v rámci </w:t>
            </w:r>
            <w:r w:rsidR="00A533D2">
              <w:t xml:space="preserve">stanovených </w:t>
            </w:r>
            <w:r w:rsidR="00070972">
              <w:t>požiadaviek NATO).</w:t>
            </w:r>
          </w:p>
          <w:p w14:paraId="04A5BADE" w14:textId="16E0FBCD" w:rsidR="00377756" w:rsidRPr="005C2CEC" w:rsidRDefault="009D414F" w:rsidP="00BB2D14">
            <w:r>
              <w:t>N</w:t>
            </w:r>
            <w:r w:rsidRPr="009C64AF">
              <w:t>áklady na realizáciu</w:t>
            </w:r>
            <w:r>
              <w:t xml:space="preserve"> v úvodnej fáze môžu vyplývať z hrubého predpokladu stanoveného na základe vlastných skúseností Investora alebo konzultácie s relevantnými odborníkmi. Investor náklady </w:t>
            </w:r>
            <w:r w:rsidRPr="009C64AF">
              <w:t xml:space="preserve">počas prípravy </w:t>
            </w:r>
            <w:r>
              <w:t xml:space="preserve">investičného </w:t>
            </w:r>
            <w:r w:rsidRPr="009C64AF">
              <w:t>projektu postupne konkretizuje až na úroveň detailného rozpočtu. Predpokladané prínosy vyplývajú z</w:t>
            </w:r>
            <w:r>
              <w:t xml:space="preserve"> identifikovanej </w:t>
            </w:r>
            <w:r w:rsidRPr="009C64AF">
              <w:t>potreby projektu a v úvodnom štádiu je možné ich minimálne pomenovať a zarámcovať.</w:t>
            </w:r>
            <w:r w:rsidR="00BB2D14">
              <w:t xml:space="preserve"> Prínosy</w:t>
            </w:r>
            <w:r w:rsidR="00BB2D14" w:rsidRPr="00A1767B">
              <w:t xml:space="preserve"> investičných projektov </w:t>
            </w:r>
            <w:r w:rsidR="00BB2D14">
              <w:t>môžu</w:t>
            </w:r>
            <w:r w:rsidR="00BB2D14" w:rsidRPr="00A1767B">
              <w:t xml:space="preserve"> </w:t>
            </w:r>
            <w:r w:rsidR="00BB2D14">
              <w:t>byť napríklad</w:t>
            </w:r>
            <w:r w:rsidR="00BB2D14" w:rsidRPr="00A1767B">
              <w:t xml:space="preserve"> </w:t>
            </w:r>
            <w:r w:rsidR="00BB2D14">
              <w:t>vo forme pozitívnych vplyvov na zdravie obyvateľstva, životné prostredie, rast inovácií, podporu vedy, regeneráciu sídiel a pod.</w:t>
            </w:r>
          </w:p>
        </w:tc>
      </w:tr>
    </w:tbl>
    <w:p w14:paraId="1BC10383" w14:textId="5C2B3102" w:rsidR="00124EBD" w:rsidRPr="005C2CEC" w:rsidRDefault="001E79A6" w:rsidP="00BB3956">
      <w:pPr>
        <w:pStyle w:val="Nadpis3"/>
      </w:pPr>
      <w:bookmarkStart w:id="105" w:name="_Ref44921103"/>
      <w:bookmarkStart w:id="106" w:name="_Ref44921119"/>
      <w:r w:rsidRPr="005C2CEC">
        <w:lastRenderedPageBreak/>
        <w:t>Metodika pre určovanie investičných priorít</w:t>
      </w:r>
      <w:bookmarkEnd w:id="105"/>
      <w:bookmarkEnd w:id="106"/>
    </w:p>
    <w:p w14:paraId="25EFCA63" w14:textId="1BD528B1" w:rsidR="00AC73AC" w:rsidRPr="005C2CEC" w:rsidRDefault="00AC73AC" w:rsidP="00AC73AC">
      <w:r w:rsidRPr="005C2CEC">
        <w:t xml:space="preserve">Ministerstvo </w:t>
      </w:r>
      <w:r w:rsidR="00B66908" w:rsidRPr="005C2CEC">
        <w:t>v spolupráci s</w:t>
      </w:r>
      <w:r w:rsidR="000F6513" w:rsidRPr="005C2CEC">
        <w:t xml:space="preserve"> </w:t>
      </w:r>
      <w:r w:rsidR="00B66908" w:rsidRPr="005C2CEC">
        <w:t xml:space="preserve">MF SR </w:t>
      </w:r>
      <w:r w:rsidR="005F0EFB" w:rsidRPr="005C2CEC">
        <w:t>pripraví</w:t>
      </w:r>
      <w:r w:rsidRPr="005C2CEC">
        <w:t xml:space="preserve"> analyticky podloženú metodiku pre určovanie investičných priorít, v ktorej definuje transparentné pravidlá pre určovanie investičných priorít v danej oblasti verejnej politiky. Pravidlá obsahujú jasné </w:t>
      </w:r>
      <w:r w:rsidR="00A67E20" w:rsidRPr="005C2CEC">
        <w:t xml:space="preserve">kvantitatívne </w:t>
      </w:r>
      <w:r w:rsidRPr="005C2CEC">
        <w:t xml:space="preserve">kritériá hodnotenia, podľa ktorých bude ministerstvo postupovať pri určení investičných priorít. </w:t>
      </w:r>
      <w:r w:rsidR="00A67E20" w:rsidRPr="005C2CEC">
        <w:t xml:space="preserve">Hodnotiace kritériá sú vyberané tak, aby odrážali plnenie sektorových cieľov a hodnotu za peniaze. </w:t>
      </w:r>
      <w:r w:rsidRPr="005C2CEC">
        <w:t>Výber hodnotiacich kritérií ministerstvo v dokumente detailne popíše a adekvátne zdôvodní.</w:t>
      </w:r>
    </w:p>
    <w:p w14:paraId="7B3402AA" w14:textId="02D57DF8" w:rsidR="00AC73AC" w:rsidRPr="005C2CEC" w:rsidRDefault="00AC73AC" w:rsidP="00AC73AC">
      <w:r w:rsidRPr="005C2CEC">
        <w:t xml:space="preserve">Pravidlá určovania priorít môžu zohľadňovať napríklad potenciál investičného projektu pri napĺňaní investičných cieľov, prínos k plneniu hlavných výsledkových ukazovateľov kapitoly, finančnú alebo </w:t>
      </w:r>
      <w:r w:rsidR="009333DA">
        <w:t>spoločenskú</w:t>
      </w:r>
      <w:r w:rsidRPr="005C2CEC">
        <w:t xml:space="preserve"> návratnosť investičných projektov, dopyt po službe, spoločenský prínos, vplyv na rozvoj regiónu, dopad na životné prostredie, alebo iné kritériá podľa špecifických potrieb daného ministerstva.</w:t>
      </w:r>
      <w:r w:rsidR="00314F99">
        <w:t xml:space="preserve"> Naopak, medzi vhodné kritériá na určenie investičných priorít nepatrí dostupnosť rozpočtových prostriedkov </w:t>
      </w:r>
      <w:r w:rsidR="007434E4">
        <w:t>a</w:t>
      </w:r>
      <w:r w:rsidR="00314F99">
        <w:t>lebo</w:t>
      </w:r>
      <w:r w:rsidR="007434E4">
        <w:t> </w:t>
      </w:r>
      <w:r w:rsidR="00314F99">
        <w:t>zdroj</w:t>
      </w:r>
      <w:r w:rsidR="007434E4">
        <w:t xml:space="preserve"> financovania</w:t>
      </w:r>
      <w:r w:rsidR="00314F99">
        <w:t xml:space="preserve">. Tieto parametre </w:t>
      </w:r>
      <w:r w:rsidR="007434E4">
        <w:t>ministerstvo zohľadní až pri tvorbe investičného plánu</w:t>
      </w:r>
      <w:r w:rsidR="00314F99">
        <w:t xml:space="preserve"> v kapitole </w:t>
      </w:r>
      <w:r w:rsidR="00314F99">
        <w:fldChar w:fldCharType="begin"/>
      </w:r>
      <w:r w:rsidR="00314F99">
        <w:instrText xml:space="preserve"> REF _Ref54963121 \r \h </w:instrText>
      </w:r>
      <w:r w:rsidR="00314F99">
        <w:fldChar w:fldCharType="separate"/>
      </w:r>
      <w:r w:rsidR="000D2AF7">
        <w:t>3.2.4</w:t>
      </w:r>
      <w:r w:rsidR="00314F99">
        <w:fldChar w:fldCharType="end"/>
      </w:r>
      <w:r w:rsidR="007434E4">
        <w:t>.</w:t>
      </w:r>
    </w:p>
    <w:p w14:paraId="00CB69F5" w14:textId="4CC8FE6F" w:rsidR="00811103" w:rsidRPr="005C2CEC" w:rsidRDefault="00811103" w:rsidP="00F12696">
      <w:r w:rsidRPr="005C2CEC">
        <w:t xml:space="preserve">Vypracovanú </w:t>
      </w:r>
      <w:r w:rsidR="00B66908" w:rsidRPr="005C2CEC">
        <w:t>metodiku pre určovanie investičných priorít</w:t>
      </w:r>
      <w:r w:rsidRPr="005C2CEC">
        <w:t xml:space="preserve"> </w:t>
      </w:r>
      <w:r w:rsidR="00FC32E4" w:rsidRPr="005C2CEC">
        <w:t>ministerstvo</w:t>
      </w:r>
      <w:r w:rsidR="00B73026">
        <w:t xml:space="preserve"> </w:t>
      </w:r>
      <w:r w:rsidR="00904D18" w:rsidRPr="005C2CEC">
        <w:t>zverejn</w:t>
      </w:r>
      <w:r w:rsidR="00346ED1">
        <w:t>ilo</w:t>
      </w:r>
      <w:r w:rsidR="00C07F6F">
        <w:t xml:space="preserve"> prvý</w:t>
      </w:r>
      <w:r w:rsidR="00A67E20" w:rsidRPr="005C2CEC">
        <w:t>krát</w:t>
      </w:r>
      <w:r w:rsidR="00904D18" w:rsidRPr="005C2CEC">
        <w:t xml:space="preserve"> do 28.2.2021</w:t>
      </w:r>
      <w:r w:rsidR="00FC32E4" w:rsidRPr="005C2CEC">
        <w:t>.</w:t>
      </w:r>
      <w:r w:rsidR="00A600E9">
        <w:t xml:space="preserve"> </w:t>
      </w:r>
      <w:r w:rsidR="00C0588C">
        <w:t>Ministerstv</w:t>
      </w:r>
      <w:r w:rsidR="00346ED1">
        <w:t>o</w:t>
      </w:r>
      <w:r w:rsidR="00C0588C">
        <w:t>, ktor</w:t>
      </w:r>
      <w:r w:rsidR="00346ED1">
        <w:t>é metodiku nezverejnilo</w:t>
      </w:r>
      <w:r w:rsidR="00C0588C">
        <w:t xml:space="preserve"> v uvedenom termíne ju </w:t>
      </w:r>
      <w:r w:rsidR="00346ED1">
        <w:t>predloží</w:t>
      </w:r>
      <w:r w:rsidR="00346ED1" w:rsidRPr="005C2CEC">
        <w:t xml:space="preserve"> na pripomienkovanie MF SR</w:t>
      </w:r>
      <w:r w:rsidR="00346ED1">
        <w:t xml:space="preserve"> </w:t>
      </w:r>
      <w:r w:rsidR="00346ED1" w:rsidRPr="005C2CEC">
        <w:t>a</w:t>
      </w:r>
      <w:r w:rsidR="00346ED1">
        <w:t xml:space="preserve"> </w:t>
      </w:r>
      <w:r w:rsidR="00C0588C">
        <w:t>zve</w:t>
      </w:r>
      <w:r w:rsidR="00346ED1">
        <w:t>rejní</w:t>
      </w:r>
      <w:r w:rsidR="00C0588C">
        <w:t xml:space="preserve"> do 28.2.</w:t>
      </w:r>
      <w:r w:rsidR="00346ED1">
        <w:t xml:space="preserve"> nasledujúceho kalendárneho roka.</w:t>
      </w:r>
      <w:r w:rsidR="00C0588C">
        <w:t xml:space="preserve"> </w:t>
      </w:r>
      <w:r w:rsidR="00A600E9">
        <w:t>V prípade potreby môže ministerstvo navrhnúť aktualizáciu metodiky</w:t>
      </w:r>
      <w:r w:rsidR="00873668">
        <w:t xml:space="preserve"> pre určovanie investičných priorít</w:t>
      </w:r>
      <w:r w:rsidR="00A600E9">
        <w:t xml:space="preserve">. Pred zverejnením aktualizovanej verzie predloží ministerstvo navrhované zmeny </w:t>
      </w:r>
      <w:r w:rsidR="00873668">
        <w:t>metodiky</w:t>
      </w:r>
      <w:r w:rsidR="00A600E9">
        <w:t xml:space="preserve"> na pripomienkovanie MF SR.</w:t>
      </w:r>
    </w:p>
    <w:p w14:paraId="7E0BA294" w14:textId="5D912011" w:rsidR="00CF2BE2" w:rsidRPr="005C2CEC" w:rsidRDefault="00CF2BE2" w:rsidP="00CF2BE2">
      <w:pPr>
        <w:pStyle w:val="Popis"/>
      </w:pPr>
      <w:r w:rsidRPr="005C2CEC">
        <w:t xml:space="preserve">Box </w:t>
      </w:r>
      <w:r w:rsidRPr="005C2CEC">
        <w:rPr>
          <w:noProof/>
        </w:rPr>
        <w:fldChar w:fldCharType="begin"/>
      </w:r>
      <w:r w:rsidRPr="005C2CEC">
        <w:rPr>
          <w:noProof/>
        </w:rPr>
        <w:instrText xml:space="preserve"> SEQ Box \* ARABIC </w:instrText>
      </w:r>
      <w:r w:rsidRPr="005C2CEC">
        <w:rPr>
          <w:noProof/>
        </w:rPr>
        <w:fldChar w:fldCharType="separate"/>
      </w:r>
      <w:r w:rsidR="000D2AF7">
        <w:rPr>
          <w:noProof/>
        </w:rPr>
        <w:t>5</w:t>
      </w:r>
      <w:r w:rsidRPr="005C2CEC">
        <w:rPr>
          <w:noProof/>
        </w:rPr>
        <w:fldChar w:fldCharType="end"/>
      </w:r>
      <w:r w:rsidRPr="005C2CEC">
        <w:t>: Príprava investičných projektov v prechodnom období</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Layout w:type="fixed"/>
        <w:tblLook w:val="04A0" w:firstRow="1" w:lastRow="0" w:firstColumn="1" w:lastColumn="0" w:noHBand="0" w:noVBand="1"/>
      </w:tblPr>
      <w:tblGrid>
        <w:gridCol w:w="9062"/>
      </w:tblGrid>
      <w:tr w:rsidR="00CF2BE2" w:rsidRPr="005C2CEC" w14:paraId="4E2FBCE3" w14:textId="7726DACF" w:rsidTr="006F74F6">
        <w:tc>
          <w:tcPr>
            <w:tcW w:w="9062" w:type="dxa"/>
            <w:shd w:val="clear" w:color="auto" w:fill="DEEAF6" w:themeFill="accent1" w:themeFillTint="33"/>
          </w:tcPr>
          <w:p w14:paraId="1B81E9B5" w14:textId="56A0A382" w:rsidR="00BA417B" w:rsidRDefault="00CF2BE2" w:rsidP="006F74F6">
            <w:r w:rsidRPr="005C2CEC">
              <w:t xml:space="preserve">V prechodnom období do schválenia </w:t>
            </w:r>
            <w:r w:rsidR="00197FD1" w:rsidRPr="005C2CEC">
              <w:t xml:space="preserve">sektorovej </w:t>
            </w:r>
            <w:r w:rsidRPr="005C2CEC">
              <w:t>investičnej stratégie priprav</w:t>
            </w:r>
            <w:r w:rsidR="00DE4500">
              <w:t>ovali</w:t>
            </w:r>
            <w:r w:rsidRPr="005C2CEC">
              <w:t xml:space="preserve"> ministerstv</w:t>
            </w:r>
            <w:r w:rsidR="00DE4500">
              <w:t>á</w:t>
            </w:r>
            <w:r w:rsidRPr="005C2CEC">
              <w:t xml:space="preserve"> nult</w:t>
            </w:r>
            <w:r w:rsidR="00DE4500">
              <w:t>é</w:t>
            </w:r>
            <w:r w:rsidRPr="005C2CEC">
              <w:t xml:space="preserve"> verzi</w:t>
            </w:r>
            <w:r w:rsidR="00DE4500">
              <w:t>e</w:t>
            </w:r>
            <w:r w:rsidRPr="005C2CEC">
              <w:t xml:space="preserve"> </w:t>
            </w:r>
            <w:r w:rsidR="00197FD1" w:rsidRPr="005C2CEC">
              <w:t>metod</w:t>
            </w:r>
            <w:r w:rsidR="00DE4500">
              <w:t>ík</w:t>
            </w:r>
            <w:r w:rsidR="00197FD1" w:rsidRPr="005C2CEC">
              <w:t xml:space="preserve"> pre určovanie investičných priorít</w:t>
            </w:r>
            <w:r w:rsidRPr="005C2CEC">
              <w:t>. Nult</w:t>
            </w:r>
            <w:r w:rsidR="00DE4500">
              <w:t>é</w:t>
            </w:r>
            <w:r w:rsidRPr="005C2CEC">
              <w:t xml:space="preserve"> verzi</w:t>
            </w:r>
            <w:r w:rsidR="00DE4500">
              <w:t>e</w:t>
            </w:r>
            <w:r w:rsidRPr="005C2CEC">
              <w:t xml:space="preserve"> </w:t>
            </w:r>
            <w:r w:rsidR="00197FD1" w:rsidRPr="005C2CEC">
              <w:t>metod</w:t>
            </w:r>
            <w:r w:rsidR="00DE4500">
              <w:t>ík</w:t>
            </w:r>
            <w:r w:rsidR="00197FD1" w:rsidRPr="005C2CEC">
              <w:t xml:space="preserve"> </w:t>
            </w:r>
            <w:r w:rsidR="00BA417B">
              <w:t>posielali</w:t>
            </w:r>
            <w:r w:rsidR="00197FD1" w:rsidRPr="005C2CEC">
              <w:t xml:space="preserve"> jednotlivé </w:t>
            </w:r>
            <w:r w:rsidRPr="005C2CEC">
              <w:t>ministerstv</w:t>
            </w:r>
            <w:r w:rsidR="00197FD1" w:rsidRPr="005C2CEC">
              <w:t xml:space="preserve">á </w:t>
            </w:r>
            <w:r w:rsidRPr="005C2CEC">
              <w:t xml:space="preserve">na kontrolu MF SR do 30.9.2020, ktoré </w:t>
            </w:r>
            <w:r w:rsidR="00DE4500">
              <w:t>ich</w:t>
            </w:r>
            <w:r w:rsidRPr="005C2CEC">
              <w:t xml:space="preserve"> pripomienk</w:t>
            </w:r>
            <w:r w:rsidR="00DE4500">
              <w:t>ovalo</w:t>
            </w:r>
            <w:r w:rsidR="00197FD1" w:rsidRPr="005C2CEC">
              <w:t xml:space="preserve"> do 31.12.2020</w:t>
            </w:r>
            <w:r w:rsidR="00BA417B">
              <w:t>.</w:t>
            </w:r>
          </w:p>
          <w:p w14:paraId="1F68F9BC" w14:textId="2EC0F88E" w:rsidR="00CF2BE2" w:rsidRPr="005C2CEC" w:rsidRDefault="00CF2BE2" w:rsidP="006F74F6">
            <w:r w:rsidRPr="005C2CEC">
              <w:t>Ministerstv</w:t>
            </w:r>
            <w:r w:rsidR="00BA417B">
              <w:t>á následne zverejňovali</w:t>
            </w:r>
            <w:r w:rsidR="00B47206" w:rsidRPr="005C2CEC">
              <w:t xml:space="preserve"> finálnu</w:t>
            </w:r>
            <w:r w:rsidRPr="005C2CEC">
              <w:t xml:space="preserve"> </w:t>
            </w:r>
            <w:r w:rsidR="00B47206" w:rsidRPr="005C2CEC">
              <w:t xml:space="preserve">verziu metodiky a priorizovaný zoznam investičných projektov do </w:t>
            </w:r>
            <w:r w:rsidRPr="005C2CEC">
              <w:t>28.2.2021</w:t>
            </w:r>
            <w:r w:rsidR="00B47206" w:rsidRPr="005C2CEC">
              <w:t>. Na základe priorizovaných zoznamov investičných</w:t>
            </w:r>
            <w:r w:rsidRPr="005C2CEC">
              <w:t xml:space="preserve"> </w:t>
            </w:r>
            <w:r w:rsidR="00B47206" w:rsidRPr="005C2CEC">
              <w:t>projektov</w:t>
            </w:r>
            <w:r w:rsidR="008B1B11">
              <w:t xml:space="preserve"> mali</w:t>
            </w:r>
            <w:r w:rsidR="00B47206" w:rsidRPr="005C2CEC">
              <w:t xml:space="preserve"> ministerstvá v spolupráci s MF SR </w:t>
            </w:r>
            <w:r w:rsidR="008B1B11">
              <w:lastRenderedPageBreak/>
              <w:t>vypracovať</w:t>
            </w:r>
            <w:r w:rsidR="008B1B11" w:rsidRPr="005C2CEC">
              <w:t xml:space="preserve"> </w:t>
            </w:r>
            <w:r w:rsidR="00B47206" w:rsidRPr="005C2CEC">
              <w:t>investičné plány do 31.3.2021.</w:t>
            </w:r>
            <w:r w:rsidR="00C0588C">
              <w:t xml:space="preserve"> Ministerstvá, ktoré dokumenty nepredložili v uvedených termínoch, zverejnia </w:t>
            </w:r>
            <w:r w:rsidR="00983BC0">
              <w:t>metodiku v</w:t>
            </w:r>
            <w:r w:rsidR="00C0588C">
              <w:t xml:space="preserve"> termíne </w:t>
            </w:r>
            <w:r w:rsidR="00CD755E">
              <w:t>do 28.2.2022 a</w:t>
            </w:r>
            <w:r w:rsidR="00983BC0">
              <w:t> investičný plán v termíne do</w:t>
            </w:r>
            <w:r w:rsidR="00CD755E">
              <w:t> 3</w:t>
            </w:r>
            <w:r w:rsidR="001514FD">
              <w:t>1</w:t>
            </w:r>
            <w:r w:rsidR="00CD755E">
              <w:t>.</w:t>
            </w:r>
            <w:r w:rsidR="001514FD">
              <w:t>5</w:t>
            </w:r>
            <w:r w:rsidR="00CD755E">
              <w:t>.2022</w:t>
            </w:r>
            <w:r w:rsidR="00C0588C">
              <w:t>.</w:t>
            </w:r>
          </w:p>
          <w:p w14:paraId="19415F6A" w14:textId="7FBE880F" w:rsidR="00CF2BE2" w:rsidRPr="005C2CEC" w:rsidRDefault="00CF2BE2" w:rsidP="006F74F6">
            <w:pPr>
              <w:pStyle w:val="Popis"/>
            </w:pPr>
            <w:bookmarkStart w:id="107" w:name="_Toc83651109"/>
            <w:r w:rsidRPr="005C2CEC">
              <w:t xml:space="preserve">Tabuľka </w:t>
            </w:r>
            <w:r w:rsidRPr="005C2CEC">
              <w:rPr>
                <w:noProof/>
              </w:rPr>
              <w:fldChar w:fldCharType="begin"/>
            </w:r>
            <w:r w:rsidRPr="005C2CEC">
              <w:rPr>
                <w:noProof/>
              </w:rPr>
              <w:instrText xml:space="preserve"> SEQ Tabuľka \* ARABIC </w:instrText>
            </w:r>
            <w:r w:rsidRPr="005C2CEC">
              <w:rPr>
                <w:noProof/>
              </w:rPr>
              <w:fldChar w:fldCharType="separate"/>
            </w:r>
            <w:r w:rsidR="003B5091">
              <w:rPr>
                <w:noProof/>
              </w:rPr>
              <w:t>4</w:t>
            </w:r>
            <w:r w:rsidRPr="005C2CEC">
              <w:rPr>
                <w:noProof/>
              </w:rPr>
              <w:fldChar w:fldCharType="end"/>
            </w:r>
            <w:r w:rsidRPr="005C2CEC">
              <w:t xml:space="preserve">: Prehľad aktivít pri </w:t>
            </w:r>
            <w:r w:rsidR="00B47206" w:rsidRPr="005C2CEC">
              <w:t xml:space="preserve">určovaní priorít </w:t>
            </w:r>
            <w:r w:rsidRPr="005C2CEC">
              <w:t>investičných projektov v prechodnom období</w:t>
            </w:r>
            <w:bookmarkEnd w:id="107"/>
          </w:p>
          <w:tbl>
            <w:tblPr>
              <w:tblStyle w:val="Obyajntabuka2"/>
              <w:tblW w:w="8789" w:type="dxa"/>
              <w:tblInd w:w="34" w:type="dxa"/>
              <w:tblLayout w:type="fixed"/>
              <w:tblLook w:val="04A0" w:firstRow="1" w:lastRow="0" w:firstColumn="1" w:lastColumn="0" w:noHBand="0" w:noVBand="1"/>
            </w:tblPr>
            <w:tblGrid>
              <w:gridCol w:w="5528"/>
              <w:gridCol w:w="1276"/>
              <w:gridCol w:w="1985"/>
            </w:tblGrid>
            <w:tr w:rsidR="00CF2BE2" w:rsidRPr="005C2CEC" w14:paraId="40C0849D" w14:textId="6D68FF6D" w:rsidTr="00141E84">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528" w:type="dxa"/>
                </w:tcPr>
                <w:p w14:paraId="7BF62F3C" w14:textId="56D52C07" w:rsidR="00CF2BE2" w:rsidRPr="005C2CEC" w:rsidRDefault="00CF2BE2" w:rsidP="006F74F6">
                  <w:pPr>
                    <w:spacing w:after="0" w:line="240" w:lineRule="auto"/>
                    <w:rPr>
                      <w:rFonts w:eastAsia="Times New Roman" w:cs="Times New Roman"/>
                      <w:sz w:val="20"/>
                      <w:lang w:eastAsia="sk-SK"/>
                    </w:rPr>
                  </w:pPr>
                  <w:r w:rsidRPr="005C2CEC">
                    <w:rPr>
                      <w:rFonts w:eastAsia="Times New Roman" w:cs="Times New Roman"/>
                      <w:sz w:val="20"/>
                      <w:lang w:eastAsia="sk-SK"/>
                    </w:rPr>
                    <w:t>Aktivita</w:t>
                  </w:r>
                </w:p>
              </w:tc>
              <w:tc>
                <w:tcPr>
                  <w:tcW w:w="1276" w:type="dxa"/>
                  <w:noWrap/>
                </w:tcPr>
                <w:p w14:paraId="2E7F06CF" w14:textId="4B06DFE9" w:rsidR="00CF2BE2" w:rsidRPr="005C2CEC" w:rsidRDefault="00CF2BE2" w:rsidP="006F74F6">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lang w:eastAsia="sk-SK"/>
                    </w:rPr>
                  </w:pPr>
                  <w:r w:rsidRPr="005C2CEC">
                    <w:rPr>
                      <w:rFonts w:eastAsia="Times New Roman" w:cs="Times New Roman"/>
                      <w:color w:val="000000"/>
                      <w:sz w:val="20"/>
                      <w:lang w:eastAsia="sk-SK"/>
                    </w:rPr>
                    <w:t>Termín</w:t>
                  </w:r>
                </w:p>
              </w:tc>
              <w:tc>
                <w:tcPr>
                  <w:tcW w:w="1985" w:type="dxa"/>
                </w:tcPr>
                <w:p w14:paraId="5A351055" w14:textId="61C8BF8A" w:rsidR="00CF2BE2" w:rsidRPr="005C2CEC" w:rsidRDefault="00CF2BE2" w:rsidP="006F74F6">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lang w:eastAsia="sk-SK"/>
                    </w:rPr>
                  </w:pPr>
                  <w:r w:rsidRPr="005C2CEC">
                    <w:rPr>
                      <w:rFonts w:eastAsia="Times New Roman" w:cs="Times New Roman"/>
                      <w:color w:val="000000"/>
                      <w:sz w:val="20"/>
                      <w:lang w:eastAsia="sk-SK"/>
                    </w:rPr>
                    <w:t>Zodpovednosť</w:t>
                  </w:r>
                </w:p>
              </w:tc>
            </w:tr>
            <w:tr w:rsidR="00CF2BE2" w:rsidRPr="005C2CEC" w14:paraId="2E6BDF26" w14:textId="763FA61A" w:rsidTr="00141E84">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528" w:type="dxa"/>
                </w:tcPr>
                <w:p w14:paraId="34AC5EEA" w14:textId="15AA9DB5" w:rsidR="00CF2BE2" w:rsidRPr="005C2CEC" w:rsidRDefault="00CF2BE2" w:rsidP="00197FD1">
                  <w:pPr>
                    <w:spacing w:after="0" w:line="240" w:lineRule="auto"/>
                    <w:jc w:val="left"/>
                    <w:rPr>
                      <w:b w:val="0"/>
                      <w:bCs w:val="0"/>
                      <w:sz w:val="16"/>
                      <w:szCs w:val="16"/>
                    </w:rPr>
                  </w:pPr>
                  <w:r w:rsidRPr="005C2CEC">
                    <w:rPr>
                      <w:rFonts w:eastAsia="Times New Roman" w:cs="Times New Roman"/>
                      <w:b w:val="0"/>
                      <w:sz w:val="20"/>
                      <w:lang w:eastAsia="sk-SK"/>
                    </w:rPr>
                    <w:t>Nultá verzia</w:t>
                  </w:r>
                  <w:r w:rsidR="00197FD1" w:rsidRPr="005C2CEC">
                    <w:rPr>
                      <w:rFonts w:eastAsia="Times New Roman" w:cs="Times New Roman"/>
                      <w:b w:val="0"/>
                      <w:sz w:val="20"/>
                      <w:lang w:eastAsia="sk-SK"/>
                    </w:rPr>
                    <w:t xml:space="preserve"> metodiky pre určovanie investičných priorít</w:t>
                  </w:r>
                </w:p>
              </w:tc>
              <w:tc>
                <w:tcPr>
                  <w:tcW w:w="1276" w:type="dxa"/>
                  <w:noWrap/>
                </w:tcPr>
                <w:p w14:paraId="53C215B7" w14:textId="6F991D50" w:rsidR="00CF2BE2" w:rsidRPr="005C2CEC" w:rsidRDefault="00CF2BE2" w:rsidP="006F74F6">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sk-SK"/>
                    </w:rPr>
                  </w:pPr>
                  <w:r w:rsidRPr="005C2CEC">
                    <w:rPr>
                      <w:rFonts w:eastAsia="Times New Roman" w:cs="Times New Roman"/>
                      <w:color w:val="000000"/>
                      <w:sz w:val="20"/>
                      <w:lang w:eastAsia="sk-SK"/>
                    </w:rPr>
                    <w:t>30.09.2020</w:t>
                  </w:r>
                </w:p>
              </w:tc>
              <w:tc>
                <w:tcPr>
                  <w:tcW w:w="1985" w:type="dxa"/>
                </w:tcPr>
                <w:p w14:paraId="57C7FE19" w14:textId="5DE05EB0" w:rsidR="00CF2BE2" w:rsidRPr="005C2CEC" w:rsidRDefault="000F6513" w:rsidP="006F74F6">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sk-SK"/>
                    </w:rPr>
                  </w:pPr>
                  <w:r w:rsidRPr="005C2CEC">
                    <w:rPr>
                      <w:rFonts w:eastAsia="Times New Roman" w:cs="Times New Roman"/>
                      <w:color w:val="000000"/>
                      <w:sz w:val="20"/>
                      <w:lang w:eastAsia="sk-SK"/>
                    </w:rPr>
                    <w:t>M</w:t>
                  </w:r>
                  <w:r w:rsidR="00CF2BE2" w:rsidRPr="005C2CEC">
                    <w:rPr>
                      <w:rFonts w:eastAsia="Times New Roman" w:cs="Times New Roman"/>
                      <w:color w:val="000000"/>
                      <w:sz w:val="20"/>
                      <w:lang w:eastAsia="sk-SK"/>
                    </w:rPr>
                    <w:t>inisterstvá</w:t>
                  </w:r>
                </w:p>
              </w:tc>
            </w:tr>
            <w:tr w:rsidR="00CF2BE2" w:rsidRPr="005C2CEC" w14:paraId="7478C779" w14:textId="430AD660" w:rsidTr="00141E84">
              <w:trPr>
                <w:trHeight w:val="20"/>
              </w:trPr>
              <w:tc>
                <w:tcPr>
                  <w:cnfStyle w:val="001000000000" w:firstRow="0" w:lastRow="0" w:firstColumn="1" w:lastColumn="0" w:oddVBand="0" w:evenVBand="0" w:oddHBand="0" w:evenHBand="0" w:firstRowFirstColumn="0" w:firstRowLastColumn="0" w:lastRowFirstColumn="0" w:lastRowLastColumn="0"/>
                  <w:tcW w:w="5528" w:type="dxa"/>
                </w:tcPr>
                <w:p w14:paraId="7B5C7504" w14:textId="4D70ED76" w:rsidR="00CF2BE2" w:rsidRPr="005C2CEC" w:rsidRDefault="00CF2BE2" w:rsidP="00197FD1">
                  <w:pPr>
                    <w:spacing w:after="0" w:line="240" w:lineRule="auto"/>
                    <w:jc w:val="left"/>
                    <w:rPr>
                      <w:rFonts w:eastAsia="Times New Roman" w:cs="Times New Roman"/>
                      <w:b w:val="0"/>
                      <w:sz w:val="20"/>
                      <w:lang w:eastAsia="sk-SK"/>
                    </w:rPr>
                  </w:pPr>
                  <w:r w:rsidRPr="005C2CEC">
                    <w:rPr>
                      <w:rFonts w:eastAsia="Times New Roman" w:cs="Times New Roman"/>
                      <w:b w:val="0"/>
                      <w:sz w:val="20"/>
                      <w:lang w:eastAsia="sk-SK"/>
                    </w:rPr>
                    <w:t xml:space="preserve">Pripomienkovanie nultej verzie </w:t>
                  </w:r>
                  <w:r w:rsidR="00197FD1" w:rsidRPr="005C2CEC">
                    <w:rPr>
                      <w:rFonts w:eastAsia="Times New Roman" w:cs="Times New Roman"/>
                      <w:b w:val="0"/>
                      <w:sz w:val="20"/>
                      <w:lang w:eastAsia="sk-SK"/>
                    </w:rPr>
                    <w:t>metodiky pre určovanie investičných priorít</w:t>
                  </w:r>
                </w:p>
              </w:tc>
              <w:tc>
                <w:tcPr>
                  <w:tcW w:w="1276" w:type="dxa"/>
                  <w:noWrap/>
                </w:tcPr>
                <w:p w14:paraId="25020DD8" w14:textId="7F95A228" w:rsidR="00CF2BE2" w:rsidRPr="005C2CEC" w:rsidRDefault="00CF2BE2" w:rsidP="006F74F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sk-SK"/>
                    </w:rPr>
                  </w:pPr>
                  <w:r w:rsidRPr="005C2CEC">
                    <w:rPr>
                      <w:rFonts w:eastAsia="Times New Roman" w:cs="Times New Roman"/>
                      <w:color w:val="000000"/>
                      <w:sz w:val="20"/>
                      <w:lang w:eastAsia="sk-SK"/>
                    </w:rPr>
                    <w:t>31.12.2020</w:t>
                  </w:r>
                </w:p>
              </w:tc>
              <w:tc>
                <w:tcPr>
                  <w:tcW w:w="1985" w:type="dxa"/>
                </w:tcPr>
                <w:p w14:paraId="5AD9E6D1" w14:textId="72F3B007" w:rsidR="00CF2BE2" w:rsidRPr="005C2CEC" w:rsidRDefault="00CF2BE2" w:rsidP="006F74F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sk-SK"/>
                    </w:rPr>
                  </w:pPr>
                  <w:r w:rsidRPr="005C2CEC">
                    <w:rPr>
                      <w:rFonts w:eastAsia="Times New Roman" w:cs="Times New Roman"/>
                      <w:color w:val="000000"/>
                      <w:sz w:val="20"/>
                      <w:lang w:eastAsia="sk-SK"/>
                    </w:rPr>
                    <w:t>MF SR</w:t>
                  </w:r>
                  <w:r w:rsidR="002506A8" w:rsidRPr="005C2CEC">
                    <w:rPr>
                      <w:rFonts w:eastAsia="Times New Roman" w:cs="Times New Roman"/>
                      <w:color w:val="000000"/>
                      <w:sz w:val="20"/>
                      <w:lang w:eastAsia="sk-SK"/>
                    </w:rPr>
                    <w:t>, MIRRI SR</w:t>
                  </w:r>
                </w:p>
              </w:tc>
            </w:tr>
            <w:tr w:rsidR="00CF2BE2" w:rsidRPr="005C2CEC" w14:paraId="6F623221" w14:textId="172B713A" w:rsidTr="00141E84">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528" w:type="dxa"/>
                </w:tcPr>
                <w:p w14:paraId="58896E35" w14:textId="01CB6FC0" w:rsidR="00CF2BE2" w:rsidRPr="005C2CEC" w:rsidRDefault="00CF2BE2" w:rsidP="006F74F6">
                  <w:pPr>
                    <w:spacing w:after="0" w:line="240" w:lineRule="auto"/>
                    <w:jc w:val="left"/>
                    <w:rPr>
                      <w:rFonts w:eastAsia="Times New Roman" w:cs="Times New Roman"/>
                      <w:b w:val="0"/>
                      <w:sz w:val="20"/>
                      <w:lang w:eastAsia="sk-SK"/>
                    </w:rPr>
                  </w:pPr>
                  <w:r w:rsidRPr="005C2CEC">
                    <w:rPr>
                      <w:rFonts w:eastAsia="Times New Roman" w:cs="Times New Roman"/>
                      <w:b w:val="0"/>
                      <w:sz w:val="20"/>
                      <w:lang w:eastAsia="sk-SK"/>
                    </w:rPr>
                    <w:t xml:space="preserve">Zverejnenie </w:t>
                  </w:r>
                  <w:r w:rsidR="00B47206" w:rsidRPr="005C2CEC">
                    <w:rPr>
                      <w:rFonts w:eastAsia="Times New Roman" w:cs="Times New Roman"/>
                      <w:b w:val="0"/>
                      <w:sz w:val="20"/>
                      <w:lang w:eastAsia="sk-SK"/>
                    </w:rPr>
                    <w:t xml:space="preserve">finálnej verzie </w:t>
                  </w:r>
                  <w:r w:rsidR="00760A1E">
                    <w:rPr>
                      <w:rFonts w:eastAsia="Times New Roman" w:cs="Times New Roman"/>
                      <w:b w:val="0"/>
                      <w:sz w:val="20"/>
                      <w:lang w:eastAsia="sk-SK"/>
                    </w:rPr>
                    <w:t xml:space="preserve">analyticky podloženej </w:t>
                  </w:r>
                  <w:r w:rsidRPr="005C2CEC">
                    <w:rPr>
                      <w:rFonts w:eastAsia="Times New Roman" w:cs="Times New Roman"/>
                      <w:b w:val="0"/>
                      <w:sz w:val="20"/>
                      <w:lang w:eastAsia="sk-SK"/>
                    </w:rPr>
                    <w:t>metodiky pre určovanie investičných priorít</w:t>
                  </w:r>
                  <w:r w:rsidR="00B47206" w:rsidRPr="005C2CEC">
                    <w:rPr>
                      <w:rFonts w:eastAsia="Times New Roman" w:cs="Times New Roman"/>
                      <w:b w:val="0"/>
                      <w:sz w:val="20"/>
                      <w:lang w:eastAsia="sk-SK"/>
                    </w:rPr>
                    <w:t xml:space="preserve"> s priorizovaným zoznamom investičných projektov</w:t>
                  </w:r>
                </w:p>
              </w:tc>
              <w:tc>
                <w:tcPr>
                  <w:tcW w:w="1276" w:type="dxa"/>
                  <w:noWrap/>
                </w:tcPr>
                <w:p w14:paraId="2B55CDD5" w14:textId="4DC759F9" w:rsidR="00CF2BE2" w:rsidRPr="005C2CEC" w:rsidRDefault="00CF2BE2" w:rsidP="006F74F6">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sk-SK"/>
                    </w:rPr>
                  </w:pPr>
                  <w:r w:rsidRPr="005C2CEC">
                    <w:rPr>
                      <w:rFonts w:eastAsia="Times New Roman" w:cs="Times New Roman"/>
                      <w:color w:val="000000"/>
                      <w:sz w:val="20"/>
                      <w:lang w:eastAsia="sk-SK"/>
                    </w:rPr>
                    <w:t>28.02.2021</w:t>
                  </w:r>
                </w:p>
              </w:tc>
              <w:tc>
                <w:tcPr>
                  <w:tcW w:w="1985" w:type="dxa"/>
                </w:tcPr>
                <w:p w14:paraId="15C63168" w14:textId="73D395EC" w:rsidR="00CF2BE2" w:rsidRPr="005C2CEC" w:rsidRDefault="00CF2BE2" w:rsidP="006F74F6">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sk-SK"/>
                    </w:rPr>
                  </w:pPr>
                  <w:r w:rsidRPr="005C2CEC">
                    <w:rPr>
                      <w:rFonts w:eastAsia="Times New Roman" w:cs="Times New Roman"/>
                      <w:color w:val="000000"/>
                      <w:sz w:val="20"/>
                      <w:lang w:eastAsia="sk-SK"/>
                    </w:rPr>
                    <w:t>ministerstvá</w:t>
                  </w:r>
                </w:p>
              </w:tc>
            </w:tr>
            <w:tr w:rsidR="00CF2BE2" w:rsidRPr="005C2CEC" w14:paraId="1DE2D1A1" w14:textId="19A04658" w:rsidTr="00141E84">
              <w:trPr>
                <w:trHeight w:val="20"/>
              </w:trPr>
              <w:tc>
                <w:tcPr>
                  <w:cnfStyle w:val="001000000000" w:firstRow="0" w:lastRow="0" w:firstColumn="1" w:lastColumn="0" w:oddVBand="0" w:evenVBand="0" w:oddHBand="0" w:evenHBand="0" w:firstRowFirstColumn="0" w:firstRowLastColumn="0" w:lastRowFirstColumn="0" w:lastRowLastColumn="0"/>
                  <w:tcW w:w="5528" w:type="dxa"/>
                </w:tcPr>
                <w:p w14:paraId="252A038B" w14:textId="0D284EF8" w:rsidR="00CF2BE2" w:rsidRPr="005C2CEC" w:rsidRDefault="00CF2BE2" w:rsidP="00B47206">
                  <w:pPr>
                    <w:spacing w:after="0" w:line="240" w:lineRule="auto"/>
                    <w:jc w:val="left"/>
                    <w:rPr>
                      <w:rFonts w:eastAsia="Times New Roman" w:cs="Times New Roman"/>
                      <w:b w:val="0"/>
                      <w:sz w:val="20"/>
                      <w:lang w:eastAsia="sk-SK"/>
                    </w:rPr>
                  </w:pPr>
                  <w:r w:rsidRPr="005C2CEC">
                    <w:rPr>
                      <w:rFonts w:eastAsia="Times New Roman" w:cs="Times New Roman"/>
                      <w:b w:val="0"/>
                      <w:sz w:val="20"/>
                      <w:lang w:eastAsia="sk-SK"/>
                    </w:rPr>
                    <w:t>Zverejnenie investičných plánov s harmonogramom investičných projektov</w:t>
                  </w:r>
                  <w:r w:rsidR="00760A1E">
                    <w:rPr>
                      <w:rFonts w:eastAsia="Times New Roman" w:cs="Times New Roman"/>
                      <w:b w:val="0"/>
                      <w:sz w:val="20"/>
                      <w:lang w:eastAsia="sk-SK"/>
                    </w:rPr>
                    <w:t xml:space="preserve"> nad 1 mil. eur</w:t>
                  </w:r>
                  <w:r w:rsidRPr="005C2CEC">
                    <w:rPr>
                      <w:rFonts w:eastAsia="Times New Roman" w:cs="Times New Roman"/>
                      <w:b w:val="0"/>
                      <w:sz w:val="20"/>
                      <w:lang w:eastAsia="sk-SK"/>
                    </w:rPr>
                    <w:t xml:space="preserve"> </w:t>
                  </w:r>
                  <w:r w:rsidR="00760A1E">
                    <w:rPr>
                      <w:rFonts w:eastAsia="Times New Roman" w:cs="Times New Roman"/>
                      <w:b w:val="0"/>
                      <w:sz w:val="20"/>
                      <w:lang w:eastAsia="sk-SK"/>
                    </w:rPr>
                    <w:t xml:space="preserve">najmenej </w:t>
                  </w:r>
                  <w:r w:rsidRPr="005C2CEC">
                    <w:rPr>
                      <w:rFonts w:eastAsia="Times New Roman" w:cs="Times New Roman"/>
                      <w:b w:val="0"/>
                      <w:sz w:val="20"/>
                      <w:lang w:eastAsia="sk-SK"/>
                    </w:rPr>
                    <w:t>do konca roka 2026</w:t>
                  </w:r>
                </w:p>
              </w:tc>
              <w:tc>
                <w:tcPr>
                  <w:tcW w:w="1276" w:type="dxa"/>
                  <w:noWrap/>
                </w:tcPr>
                <w:p w14:paraId="57D6A02B" w14:textId="0B545A2D" w:rsidR="00CF2BE2" w:rsidRPr="005C2CEC" w:rsidRDefault="00CF2BE2" w:rsidP="006F74F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sk-SK"/>
                    </w:rPr>
                  </w:pPr>
                  <w:r w:rsidRPr="005C2CEC">
                    <w:rPr>
                      <w:rFonts w:eastAsia="Times New Roman" w:cs="Times New Roman"/>
                      <w:color w:val="000000"/>
                      <w:sz w:val="20"/>
                      <w:lang w:eastAsia="sk-SK"/>
                    </w:rPr>
                    <w:t>31.03.2021</w:t>
                  </w:r>
                </w:p>
              </w:tc>
              <w:tc>
                <w:tcPr>
                  <w:tcW w:w="1985" w:type="dxa"/>
                </w:tcPr>
                <w:p w14:paraId="5FCB860F" w14:textId="756E0AC6" w:rsidR="00CF2BE2" w:rsidRPr="005C2CEC" w:rsidRDefault="00CF2BE2" w:rsidP="006F74F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sk-SK"/>
                    </w:rPr>
                  </w:pPr>
                  <w:r w:rsidRPr="005C2CEC">
                    <w:rPr>
                      <w:rFonts w:eastAsia="Times New Roman" w:cs="Times New Roman"/>
                      <w:color w:val="000000"/>
                      <w:sz w:val="20"/>
                      <w:lang w:eastAsia="sk-SK"/>
                    </w:rPr>
                    <w:t>ministerstvá</w:t>
                  </w:r>
                </w:p>
              </w:tc>
            </w:tr>
          </w:tbl>
          <w:p w14:paraId="2190E1B6" w14:textId="6005255D" w:rsidR="00CF2BE2" w:rsidRPr="005C2CEC" w:rsidRDefault="009A1EA3" w:rsidP="00577F95">
            <w:pPr>
              <w:spacing w:after="120"/>
            </w:pPr>
            <w:r>
              <w:t xml:space="preserve"> </w:t>
            </w:r>
          </w:p>
        </w:tc>
      </w:tr>
    </w:tbl>
    <w:p w14:paraId="04298CAE" w14:textId="719807B0" w:rsidR="00D05154" w:rsidRPr="005C2CEC" w:rsidRDefault="00730B84" w:rsidP="00D05154">
      <w:pPr>
        <w:pStyle w:val="Nadpis3"/>
      </w:pPr>
      <w:bookmarkStart w:id="108" w:name="_Ref55419859"/>
      <w:r w:rsidRPr="005C2CEC">
        <w:lastRenderedPageBreak/>
        <w:t>Urče</w:t>
      </w:r>
      <w:r w:rsidR="001E79A6" w:rsidRPr="005C2CEC">
        <w:t>nie investičných priorít</w:t>
      </w:r>
      <w:bookmarkEnd w:id="108"/>
    </w:p>
    <w:p w14:paraId="57B279FB" w14:textId="065F97C7" w:rsidR="00D964FB" w:rsidRPr="005C2CEC" w:rsidRDefault="00305725" w:rsidP="00D964FB">
      <w:r w:rsidRPr="005C2CEC">
        <w:t xml:space="preserve">Pri </w:t>
      </w:r>
      <w:r w:rsidR="00477835" w:rsidRPr="005C2CEC">
        <w:t xml:space="preserve">určení investičných priorít </w:t>
      </w:r>
      <w:r w:rsidRPr="005C2CEC">
        <w:t xml:space="preserve">ministerstvo </w:t>
      </w:r>
      <w:r w:rsidR="006B5FD1" w:rsidRPr="005C2CEC">
        <w:t>v spolupráci s</w:t>
      </w:r>
      <w:r w:rsidR="000F6513" w:rsidRPr="005C2CEC">
        <w:t xml:space="preserve"> </w:t>
      </w:r>
      <w:r w:rsidR="006B5FD1" w:rsidRPr="005C2CEC">
        <w:t xml:space="preserve">MF SR </w:t>
      </w:r>
      <w:r w:rsidR="00C476F6" w:rsidRPr="005C2CEC">
        <w:t xml:space="preserve">vytvorí </w:t>
      </w:r>
      <w:r w:rsidR="004927A8">
        <w:t>zoznam</w:t>
      </w:r>
      <w:r w:rsidR="00C476F6" w:rsidRPr="005C2CEC">
        <w:t xml:space="preserve"> investičných projektov</w:t>
      </w:r>
      <w:r w:rsidR="00477835" w:rsidRPr="005C2CEC">
        <w:t xml:space="preserve"> zoradený podľa priorít</w:t>
      </w:r>
      <w:r w:rsidR="005053ED" w:rsidRPr="005C2CEC">
        <w:t xml:space="preserve"> </w:t>
      </w:r>
      <w:r w:rsidR="006B5FD1" w:rsidRPr="005C2CEC">
        <w:t xml:space="preserve">na základe </w:t>
      </w:r>
      <w:r w:rsidRPr="005C2CEC">
        <w:t xml:space="preserve">hodnotenia </w:t>
      </w:r>
      <w:r w:rsidR="006B5FD1" w:rsidRPr="005C2CEC">
        <w:t xml:space="preserve">v súlade s </w:t>
      </w:r>
      <w:r w:rsidR="00A67E20" w:rsidRPr="005C2CEC">
        <w:t xml:space="preserve">pravidlami </w:t>
      </w:r>
      <w:r w:rsidRPr="005C2CEC">
        <w:t>definovaný</w:t>
      </w:r>
      <w:r w:rsidR="006B5FD1" w:rsidRPr="005C2CEC">
        <w:t>mi</w:t>
      </w:r>
      <w:r w:rsidR="00A67E20" w:rsidRPr="005C2CEC">
        <w:t xml:space="preserve"> v</w:t>
      </w:r>
      <w:r w:rsidR="00174C4F">
        <w:t> </w:t>
      </w:r>
      <w:r w:rsidR="00A67E20" w:rsidRPr="005C2CEC">
        <w:t>metodike</w:t>
      </w:r>
      <w:r w:rsidR="00174C4F">
        <w:t xml:space="preserve"> pre určovanie investičných priorít</w:t>
      </w:r>
      <w:r w:rsidRPr="005C2CEC">
        <w:t>.</w:t>
      </w:r>
      <w:r w:rsidR="00174C4F">
        <w:t xml:space="preserve"> </w:t>
      </w:r>
      <w:r w:rsidR="00234581">
        <w:t>Výsledkom by mal byť p</w:t>
      </w:r>
      <w:r w:rsidR="00450C18">
        <w:t>riorizovaný zoznam</w:t>
      </w:r>
      <w:r w:rsidR="00234581">
        <w:t xml:space="preserve"> všetkých známych</w:t>
      </w:r>
      <w:r w:rsidR="00450C18">
        <w:t xml:space="preserve"> investičných projektov</w:t>
      </w:r>
      <w:r w:rsidR="00234581">
        <w:t xml:space="preserve"> podľa</w:t>
      </w:r>
      <w:r w:rsidR="00450C18">
        <w:t> porad</w:t>
      </w:r>
      <w:r w:rsidR="00234581">
        <w:t>ia</w:t>
      </w:r>
      <w:r w:rsidR="00450C18">
        <w:t xml:space="preserve">, v akom by sa mali pripravovať, resp. realizovať, </w:t>
      </w:r>
      <w:r w:rsidR="00234581">
        <w:t>zatiaľ</w:t>
      </w:r>
      <w:r w:rsidR="00450C18">
        <w:t xml:space="preserve"> bez ohľadu na rozpočtové možnosti a</w:t>
      </w:r>
      <w:r w:rsidR="00234581">
        <w:t> </w:t>
      </w:r>
      <w:r w:rsidR="00450C18">
        <w:t>aktuáln</w:t>
      </w:r>
      <w:r w:rsidR="00234581">
        <w:t>y stav</w:t>
      </w:r>
      <w:r w:rsidR="00450C18">
        <w:t xml:space="preserve"> pripravenos</w:t>
      </w:r>
      <w:r w:rsidR="00234581">
        <w:t>ti</w:t>
      </w:r>
      <w:r w:rsidR="00450C18">
        <w:t xml:space="preserve"> projektov. </w:t>
      </w:r>
      <w:r w:rsidR="00234581">
        <w:t>V následnom kroku bude p</w:t>
      </w:r>
      <w:r w:rsidR="00450C18">
        <w:t>riorizovaný zoznam slúži</w:t>
      </w:r>
      <w:r w:rsidR="00234581">
        <w:t>ť</w:t>
      </w:r>
      <w:r w:rsidR="00450C18">
        <w:t xml:space="preserve"> ako podklad pre zostavenie investičného plánu</w:t>
      </w:r>
      <w:r w:rsidR="00234581">
        <w:t>, ktorého</w:t>
      </w:r>
      <w:r w:rsidR="00450C18">
        <w:t> v</w:t>
      </w:r>
      <w:r w:rsidR="00174C4F">
        <w:t xml:space="preserve">zor je uvedený v prílohe </w:t>
      </w:r>
      <w:r w:rsidR="00262043">
        <w:fldChar w:fldCharType="begin"/>
      </w:r>
      <w:r w:rsidR="00262043">
        <w:instrText xml:space="preserve"> REF Priloha5 \h </w:instrText>
      </w:r>
      <w:r w:rsidR="00262043">
        <w:fldChar w:fldCharType="separate"/>
      </w:r>
      <w:r w:rsidR="000D2AF7">
        <w:rPr>
          <w:noProof/>
        </w:rPr>
        <w:t>5</w:t>
      </w:r>
      <w:r w:rsidR="00262043">
        <w:fldChar w:fldCharType="end"/>
      </w:r>
      <w:r w:rsidR="00262043">
        <w:t>.</w:t>
      </w:r>
      <w:r w:rsidR="008B0F71" w:rsidRPr="005C2CEC">
        <w:t xml:space="preserve"> </w:t>
      </w:r>
      <w:r w:rsidR="00D964FB" w:rsidRPr="005C2CEC">
        <w:t xml:space="preserve">Ministerstvo môže určiť investičné priority podľa typov investičných projektov a to najmä v prípadoch, keď nie je možné ich vzájomné porovnanie (napr. samostatné určenie priorít pre výstavbu železničných tratí a pre výstavbu cestných komunikácií). </w:t>
      </w:r>
    </w:p>
    <w:p w14:paraId="1F664BEC" w14:textId="4BBCED91" w:rsidR="00B7407C" w:rsidRPr="005C2CEC" w:rsidRDefault="00477835" w:rsidP="00B7407C">
      <w:r w:rsidRPr="005C2CEC">
        <w:t xml:space="preserve">Finálnu verziu </w:t>
      </w:r>
      <w:r w:rsidR="008B0F71" w:rsidRPr="005C2CEC">
        <w:t xml:space="preserve">priorizovaného </w:t>
      </w:r>
      <w:r w:rsidR="004927A8">
        <w:t>zoznamu</w:t>
      </w:r>
      <w:r w:rsidR="006B5FD1" w:rsidRPr="005C2CEC">
        <w:t xml:space="preserve"> investičných projektov </w:t>
      </w:r>
      <w:r w:rsidRPr="005C2CEC">
        <w:t>zverejn</w:t>
      </w:r>
      <w:r w:rsidR="00346ED1">
        <w:t>ilo</w:t>
      </w:r>
      <w:r w:rsidR="00B7407C" w:rsidRPr="005C2CEC">
        <w:t xml:space="preserve"> ministerstvo</w:t>
      </w:r>
      <w:r w:rsidR="008B1B11">
        <w:t xml:space="preserve"> prvýkrát</w:t>
      </w:r>
      <w:r w:rsidR="00B7407C" w:rsidRPr="005C2CEC">
        <w:t xml:space="preserve"> do 28.2.2021</w:t>
      </w:r>
      <w:r w:rsidR="00346ED1">
        <w:t>.</w:t>
      </w:r>
      <w:r w:rsidR="00B7407C" w:rsidRPr="005C2CEC">
        <w:t xml:space="preserve"> </w:t>
      </w:r>
      <w:r w:rsidR="00346ED1">
        <w:t xml:space="preserve">Ministerstvo </w:t>
      </w:r>
      <w:r w:rsidR="00B7407C" w:rsidRPr="005C2CEC">
        <w:t xml:space="preserve">každoročne </w:t>
      </w:r>
      <w:r w:rsidR="00346ED1" w:rsidRPr="005C2CEC">
        <w:t xml:space="preserve">zverejňuje </w:t>
      </w:r>
      <w:r w:rsidRPr="005C2CEC">
        <w:t xml:space="preserve">aktualizovanú verziu </w:t>
      </w:r>
      <w:r w:rsidR="00B7407C" w:rsidRPr="005C2CEC">
        <w:t xml:space="preserve">k 28.2. </w:t>
      </w:r>
      <w:r w:rsidR="00545C93" w:rsidRPr="005C2CEC">
        <w:t>príslušného kalendárneho</w:t>
      </w:r>
      <w:r w:rsidR="00B7407C" w:rsidRPr="005C2CEC">
        <w:t xml:space="preserve"> roka.</w:t>
      </w:r>
      <w:r w:rsidR="00916EF2" w:rsidRPr="005C2CEC">
        <w:t xml:space="preserve"> V aktualizovanej verzii môže ministerstvo upraviť poradie priorít v závislosti od </w:t>
      </w:r>
      <w:r w:rsidR="00A67E20" w:rsidRPr="005C2CEC">
        <w:t>najnovších informácií a</w:t>
      </w:r>
      <w:r w:rsidR="00B73026">
        <w:t> aktualizovaného zásobníka</w:t>
      </w:r>
      <w:r w:rsidR="00B73026" w:rsidRPr="005C2CEC">
        <w:t xml:space="preserve"> </w:t>
      </w:r>
      <w:r w:rsidR="00916EF2" w:rsidRPr="005C2CEC">
        <w:t xml:space="preserve">investičných </w:t>
      </w:r>
      <w:r w:rsidR="00B73026">
        <w:t>zámerov</w:t>
      </w:r>
      <w:r w:rsidR="00916EF2" w:rsidRPr="005C2CEC">
        <w:t>.</w:t>
      </w:r>
    </w:p>
    <w:p w14:paraId="0600593F" w14:textId="243C6E91" w:rsidR="009659CA" w:rsidRPr="005C2CEC" w:rsidRDefault="009659CA" w:rsidP="009659CA">
      <w:pPr>
        <w:pStyle w:val="Popis"/>
      </w:pPr>
      <w:r w:rsidRPr="005C2CEC">
        <w:t xml:space="preserve">Box </w:t>
      </w:r>
      <w:r w:rsidRPr="005C2CEC">
        <w:rPr>
          <w:noProof/>
        </w:rPr>
        <w:fldChar w:fldCharType="begin"/>
      </w:r>
      <w:r w:rsidRPr="005C2CEC">
        <w:rPr>
          <w:noProof/>
        </w:rPr>
        <w:instrText xml:space="preserve"> SEQ Box \* ARABIC </w:instrText>
      </w:r>
      <w:r w:rsidRPr="005C2CEC">
        <w:rPr>
          <w:noProof/>
        </w:rPr>
        <w:fldChar w:fldCharType="separate"/>
      </w:r>
      <w:r w:rsidR="000D2AF7">
        <w:rPr>
          <w:noProof/>
        </w:rPr>
        <w:t>6</w:t>
      </w:r>
      <w:r w:rsidRPr="005C2CEC">
        <w:rPr>
          <w:noProof/>
        </w:rPr>
        <w:fldChar w:fldCharType="end"/>
      </w:r>
      <w:r w:rsidRPr="005C2CEC">
        <w:t>: Príklad</w:t>
      </w:r>
      <w:r w:rsidR="0087207E" w:rsidRPr="005C2CEC">
        <w:t xml:space="preserve"> určenia</w:t>
      </w:r>
      <w:r w:rsidRPr="005C2CEC">
        <w:t xml:space="preserve"> dopravných priorít</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Look w:val="04A0" w:firstRow="1" w:lastRow="0" w:firstColumn="1" w:lastColumn="0" w:noHBand="0" w:noVBand="1"/>
      </w:tblPr>
      <w:tblGrid>
        <w:gridCol w:w="9072"/>
      </w:tblGrid>
      <w:tr w:rsidR="009659CA" w:rsidRPr="005C2CEC" w14:paraId="1854ED4D" w14:textId="77777777" w:rsidTr="00812666">
        <w:tc>
          <w:tcPr>
            <w:tcW w:w="9062" w:type="dxa"/>
            <w:shd w:val="clear" w:color="auto" w:fill="DEEAF6" w:themeFill="accent1" w:themeFillTint="33"/>
          </w:tcPr>
          <w:p w14:paraId="7E044175" w14:textId="0A1C6298" w:rsidR="006E0961" w:rsidRDefault="006E0961" w:rsidP="00812666">
            <w:r>
              <w:t>Priority</w:t>
            </w:r>
            <w:r w:rsidRPr="005C2CEC">
              <w:t xml:space="preserve"> </w:t>
            </w:r>
            <w:r>
              <w:t xml:space="preserve">určuje </w:t>
            </w:r>
            <w:r w:rsidRPr="005C2CEC">
              <w:t>zodpovedné ministerstvo podľa ekonomickej efektívnosti a príspevku k rezortným a dlhodob</w:t>
            </w:r>
            <w:r>
              <w:t>ým cieľom.</w:t>
            </w:r>
            <w:r w:rsidRPr="005C2CEC">
              <w:t xml:space="preserve"> Príkladom určenia sektorových priorít a investičného plánu v kontexte Slovenska je vládou schválený materiál </w:t>
            </w:r>
            <w:hyperlink r:id="rId30" w:history="1">
              <w:r w:rsidRPr="00314F99">
                <w:rPr>
                  <w:rStyle w:val="Hypertextovprepojenie"/>
                </w:rPr>
                <w:t>Priority vo výstavbe cestnej infraštruktúry</w:t>
              </w:r>
            </w:hyperlink>
            <w:r w:rsidRPr="005C2CEC">
              <w:t>, ktorý pripravil Útvar hodnoty za peniaze</w:t>
            </w:r>
            <w:r w:rsidR="003234AE">
              <w:t xml:space="preserve"> pri Ministerstve financií SR</w:t>
            </w:r>
            <w:r>
              <w:t xml:space="preserve"> v spolupráci s Ministerstvom dopravy a výstavby SR</w:t>
            </w:r>
            <w:r w:rsidRPr="005C2CEC">
              <w:t>.</w:t>
            </w:r>
          </w:p>
          <w:p w14:paraId="566C72EB" w14:textId="4854A011" w:rsidR="009659CA" w:rsidRPr="005C2CEC" w:rsidRDefault="006E0961" w:rsidP="00812666">
            <w:r>
              <w:t>Tento d</w:t>
            </w:r>
            <w:r w:rsidR="009659CA" w:rsidRPr="005C2CEC">
              <w:t>okument predstavuje dobrý príklad analyticky podloženého ohodnotenia investičných projektov v cestnej doprave na základe ich spoločenských priorít.</w:t>
            </w:r>
          </w:p>
          <w:p w14:paraId="11AA1F9D" w14:textId="2EA105A5" w:rsidR="005E4215" w:rsidRDefault="005E4215" w:rsidP="00DD63F8">
            <w:pPr>
              <w:pStyle w:val="Popis"/>
            </w:pPr>
            <w:bookmarkStart w:id="109" w:name="_Toc83651110"/>
            <w:r>
              <w:t xml:space="preserve">Tabuľka </w:t>
            </w:r>
            <w:r w:rsidR="00E516AE">
              <w:fldChar w:fldCharType="begin"/>
            </w:r>
            <w:r w:rsidR="00E516AE">
              <w:instrText xml:space="preserve"> SEQ Tabuľka \* ARABIC </w:instrText>
            </w:r>
            <w:r w:rsidR="00E516AE">
              <w:fldChar w:fldCharType="separate"/>
            </w:r>
            <w:r w:rsidR="003B5091">
              <w:rPr>
                <w:noProof/>
              </w:rPr>
              <w:t>5</w:t>
            </w:r>
            <w:r w:rsidR="00E516AE">
              <w:rPr>
                <w:noProof/>
              </w:rPr>
              <w:fldChar w:fldCharType="end"/>
            </w:r>
            <w:r>
              <w:t>: Príklad priorizácie investičných projektov v</w:t>
            </w:r>
            <w:r w:rsidR="00450439">
              <w:t> </w:t>
            </w:r>
            <w:r>
              <w:t>doprave</w:t>
            </w:r>
            <w:bookmarkEnd w:id="109"/>
          </w:p>
          <w:tbl>
            <w:tblPr>
              <w:tblW w:w="8841" w:type="dxa"/>
              <w:tblCellMar>
                <w:left w:w="70" w:type="dxa"/>
                <w:right w:w="70" w:type="dxa"/>
              </w:tblCellMar>
              <w:tblLook w:val="04A0" w:firstRow="1" w:lastRow="0" w:firstColumn="1" w:lastColumn="0" w:noHBand="0" w:noVBand="1"/>
            </w:tblPr>
            <w:tblGrid>
              <w:gridCol w:w="1877"/>
              <w:gridCol w:w="992"/>
              <w:gridCol w:w="567"/>
              <w:gridCol w:w="851"/>
              <w:gridCol w:w="850"/>
              <w:gridCol w:w="567"/>
              <w:gridCol w:w="851"/>
              <w:gridCol w:w="443"/>
              <w:gridCol w:w="850"/>
              <w:gridCol w:w="993"/>
            </w:tblGrid>
            <w:tr w:rsidR="009D7488" w:rsidRPr="009D7488" w14:paraId="42A12604" w14:textId="77777777" w:rsidTr="00234581">
              <w:trPr>
                <w:trHeight w:val="640"/>
              </w:trPr>
              <w:tc>
                <w:tcPr>
                  <w:tcW w:w="1877" w:type="dxa"/>
                  <w:tcBorders>
                    <w:top w:val="nil"/>
                    <w:left w:val="nil"/>
                    <w:bottom w:val="single" w:sz="8" w:space="0" w:color="auto"/>
                    <w:right w:val="nil"/>
                  </w:tcBorders>
                  <w:shd w:val="clear" w:color="auto" w:fill="auto"/>
                  <w:vAlign w:val="center"/>
                  <w:hideMark/>
                </w:tcPr>
                <w:p w14:paraId="4E90C161" w14:textId="77777777" w:rsidR="009D7488" w:rsidRPr="009D7488" w:rsidRDefault="009D7488" w:rsidP="009D7488">
                  <w:pPr>
                    <w:spacing w:after="0" w:line="240" w:lineRule="auto"/>
                    <w:jc w:val="left"/>
                    <w:rPr>
                      <w:rFonts w:eastAsia="Times New Roman" w:cs="Times New Roman"/>
                      <w:b/>
                      <w:bCs/>
                      <w:color w:val="000000"/>
                      <w:sz w:val="16"/>
                      <w:szCs w:val="16"/>
                      <w:lang w:eastAsia="sk-SK"/>
                    </w:rPr>
                  </w:pPr>
                  <w:r w:rsidRPr="009D7488">
                    <w:rPr>
                      <w:rFonts w:eastAsia="Times New Roman" w:cs="Times New Roman"/>
                      <w:b/>
                      <w:bCs/>
                      <w:color w:val="000000"/>
                      <w:sz w:val="16"/>
                      <w:szCs w:val="16"/>
                      <w:lang w:eastAsia="sk-SK"/>
                    </w:rPr>
                    <w:t>Názov úseku</w:t>
                  </w:r>
                </w:p>
              </w:tc>
              <w:tc>
                <w:tcPr>
                  <w:tcW w:w="992" w:type="dxa"/>
                  <w:tcBorders>
                    <w:top w:val="nil"/>
                    <w:left w:val="nil"/>
                    <w:bottom w:val="single" w:sz="8" w:space="0" w:color="auto"/>
                    <w:right w:val="nil"/>
                  </w:tcBorders>
                  <w:shd w:val="clear" w:color="auto" w:fill="auto"/>
                  <w:vAlign w:val="center"/>
                  <w:hideMark/>
                </w:tcPr>
                <w:p w14:paraId="22579536" w14:textId="77777777" w:rsidR="009D7488" w:rsidRPr="009D7488" w:rsidRDefault="009D7488" w:rsidP="009D7488">
                  <w:pPr>
                    <w:spacing w:after="0" w:line="240" w:lineRule="auto"/>
                    <w:jc w:val="center"/>
                    <w:rPr>
                      <w:rFonts w:eastAsia="Times New Roman" w:cs="Times New Roman"/>
                      <w:b/>
                      <w:bCs/>
                      <w:color w:val="000000"/>
                      <w:sz w:val="16"/>
                      <w:szCs w:val="16"/>
                      <w:lang w:eastAsia="sk-SK"/>
                    </w:rPr>
                  </w:pPr>
                  <w:r w:rsidRPr="009D7488">
                    <w:rPr>
                      <w:rFonts w:eastAsia="Times New Roman" w:cs="Times New Roman"/>
                      <w:b/>
                      <w:bCs/>
                      <w:color w:val="000000"/>
                      <w:sz w:val="16"/>
                      <w:szCs w:val="16"/>
                      <w:lang w:eastAsia="sk-SK"/>
                    </w:rPr>
                    <w:t>Priorita (poradie)</w:t>
                  </w:r>
                </w:p>
              </w:tc>
              <w:tc>
                <w:tcPr>
                  <w:tcW w:w="567" w:type="dxa"/>
                  <w:tcBorders>
                    <w:top w:val="nil"/>
                    <w:left w:val="nil"/>
                    <w:bottom w:val="single" w:sz="8" w:space="0" w:color="auto"/>
                    <w:right w:val="nil"/>
                  </w:tcBorders>
                  <w:shd w:val="clear" w:color="auto" w:fill="auto"/>
                  <w:vAlign w:val="center"/>
                  <w:hideMark/>
                </w:tcPr>
                <w:p w14:paraId="529385BE" w14:textId="77777777" w:rsidR="009D7488" w:rsidRPr="009D7488" w:rsidRDefault="009D7488" w:rsidP="009D7488">
                  <w:pPr>
                    <w:spacing w:after="0" w:line="240" w:lineRule="auto"/>
                    <w:jc w:val="center"/>
                    <w:rPr>
                      <w:rFonts w:eastAsia="Times New Roman" w:cs="Times New Roman"/>
                      <w:b/>
                      <w:bCs/>
                      <w:color w:val="000000"/>
                      <w:sz w:val="16"/>
                      <w:szCs w:val="16"/>
                      <w:lang w:eastAsia="sk-SK"/>
                    </w:rPr>
                  </w:pPr>
                  <w:r w:rsidRPr="009D7488">
                    <w:rPr>
                      <w:rFonts w:eastAsia="Times New Roman" w:cs="Times New Roman"/>
                      <w:b/>
                      <w:bCs/>
                      <w:color w:val="000000"/>
                      <w:sz w:val="16"/>
                      <w:szCs w:val="16"/>
                      <w:lang w:eastAsia="sk-SK"/>
                    </w:rPr>
                    <w:t>TENT-CORE</w:t>
                  </w:r>
                </w:p>
              </w:tc>
              <w:tc>
                <w:tcPr>
                  <w:tcW w:w="851" w:type="dxa"/>
                  <w:tcBorders>
                    <w:top w:val="nil"/>
                    <w:left w:val="nil"/>
                    <w:bottom w:val="single" w:sz="8" w:space="0" w:color="auto"/>
                    <w:right w:val="nil"/>
                  </w:tcBorders>
                  <w:shd w:val="clear" w:color="auto" w:fill="auto"/>
                  <w:vAlign w:val="center"/>
                  <w:hideMark/>
                </w:tcPr>
                <w:p w14:paraId="007EB52D" w14:textId="77777777" w:rsidR="009D7488" w:rsidRPr="009D7488" w:rsidRDefault="009D7488" w:rsidP="009D7488">
                  <w:pPr>
                    <w:spacing w:after="0" w:line="240" w:lineRule="auto"/>
                    <w:jc w:val="center"/>
                    <w:rPr>
                      <w:rFonts w:eastAsia="Times New Roman" w:cs="Times New Roman"/>
                      <w:b/>
                      <w:bCs/>
                      <w:color w:val="000000"/>
                      <w:sz w:val="16"/>
                      <w:szCs w:val="16"/>
                      <w:lang w:eastAsia="sk-SK"/>
                    </w:rPr>
                  </w:pPr>
                  <w:r w:rsidRPr="009D7488">
                    <w:rPr>
                      <w:rFonts w:eastAsia="Times New Roman" w:cs="Times New Roman"/>
                      <w:b/>
                      <w:bCs/>
                      <w:color w:val="000000"/>
                      <w:sz w:val="16"/>
                      <w:szCs w:val="16"/>
                      <w:lang w:eastAsia="sk-SK"/>
                    </w:rPr>
                    <w:t>Naplnenie kapacity cesty</w:t>
                  </w:r>
                </w:p>
              </w:tc>
              <w:tc>
                <w:tcPr>
                  <w:tcW w:w="850" w:type="dxa"/>
                  <w:tcBorders>
                    <w:top w:val="nil"/>
                    <w:left w:val="nil"/>
                    <w:bottom w:val="single" w:sz="8" w:space="0" w:color="auto"/>
                    <w:right w:val="nil"/>
                  </w:tcBorders>
                  <w:shd w:val="clear" w:color="auto" w:fill="auto"/>
                  <w:vAlign w:val="center"/>
                  <w:hideMark/>
                </w:tcPr>
                <w:p w14:paraId="17F92916" w14:textId="77777777" w:rsidR="009D7488" w:rsidRPr="009D7488" w:rsidRDefault="009D7488" w:rsidP="009D7488">
                  <w:pPr>
                    <w:spacing w:after="0" w:line="240" w:lineRule="auto"/>
                    <w:jc w:val="center"/>
                    <w:rPr>
                      <w:rFonts w:eastAsia="Times New Roman" w:cs="Times New Roman"/>
                      <w:b/>
                      <w:bCs/>
                      <w:color w:val="000000"/>
                      <w:sz w:val="16"/>
                      <w:szCs w:val="16"/>
                      <w:lang w:eastAsia="sk-SK"/>
                    </w:rPr>
                  </w:pPr>
                  <w:r w:rsidRPr="009D7488">
                    <w:rPr>
                      <w:rFonts w:eastAsia="Times New Roman" w:cs="Times New Roman"/>
                      <w:b/>
                      <w:bCs/>
                      <w:color w:val="000000"/>
                      <w:sz w:val="16"/>
                      <w:szCs w:val="16"/>
                      <w:lang w:eastAsia="sk-SK"/>
                    </w:rPr>
                    <w:t>Investičné náklady (mil. eur)</w:t>
                  </w:r>
                </w:p>
              </w:tc>
              <w:tc>
                <w:tcPr>
                  <w:tcW w:w="567" w:type="dxa"/>
                  <w:tcBorders>
                    <w:top w:val="nil"/>
                    <w:left w:val="nil"/>
                    <w:bottom w:val="single" w:sz="8" w:space="0" w:color="auto"/>
                    <w:right w:val="nil"/>
                  </w:tcBorders>
                  <w:shd w:val="clear" w:color="auto" w:fill="auto"/>
                  <w:vAlign w:val="center"/>
                  <w:hideMark/>
                </w:tcPr>
                <w:p w14:paraId="4CA9EB23" w14:textId="77777777" w:rsidR="009D7488" w:rsidRPr="009D7488" w:rsidRDefault="009D7488" w:rsidP="009D7488">
                  <w:pPr>
                    <w:spacing w:after="0" w:line="240" w:lineRule="auto"/>
                    <w:jc w:val="center"/>
                    <w:rPr>
                      <w:rFonts w:eastAsia="Times New Roman" w:cs="Times New Roman"/>
                      <w:b/>
                      <w:bCs/>
                      <w:color w:val="000000"/>
                      <w:sz w:val="16"/>
                      <w:szCs w:val="16"/>
                      <w:lang w:eastAsia="sk-SK"/>
                    </w:rPr>
                  </w:pPr>
                  <w:r w:rsidRPr="009D7488">
                    <w:rPr>
                      <w:rFonts w:eastAsia="Times New Roman" w:cs="Times New Roman"/>
                      <w:b/>
                      <w:bCs/>
                      <w:color w:val="000000"/>
                      <w:sz w:val="16"/>
                      <w:szCs w:val="16"/>
                      <w:lang w:eastAsia="sk-SK"/>
                    </w:rPr>
                    <w:t>Dĺžka (km)</w:t>
                  </w:r>
                </w:p>
              </w:tc>
              <w:tc>
                <w:tcPr>
                  <w:tcW w:w="851" w:type="dxa"/>
                  <w:tcBorders>
                    <w:top w:val="nil"/>
                    <w:left w:val="nil"/>
                    <w:bottom w:val="single" w:sz="8" w:space="0" w:color="auto"/>
                    <w:right w:val="nil"/>
                  </w:tcBorders>
                  <w:shd w:val="clear" w:color="auto" w:fill="auto"/>
                  <w:vAlign w:val="center"/>
                  <w:hideMark/>
                </w:tcPr>
                <w:p w14:paraId="2DAE8142" w14:textId="77777777" w:rsidR="009D7488" w:rsidRPr="009D7488" w:rsidRDefault="009D7488" w:rsidP="009D7488">
                  <w:pPr>
                    <w:spacing w:after="0" w:line="240" w:lineRule="auto"/>
                    <w:jc w:val="center"/>
                    <w:rPr>
                      <w:rFonts w:eastAsia="Times New Roman" w:cs="Times New Roman"/>
                      <w:b/>
                      <w:bCs/>
                      <w:color w:val="000000"/>
                      <w:sz w:val="16"/>
                      <w:szCs w:val="16"/>
                      <w:lang w:eastAsia="sk-SK"/>
                    </w:rPr>
                  </w:pPr>
                  <w:r w:rsidRPr="009D7488">
                    <w:rPr>
                      <w:rFonts w:eastAsia="Times New Roman" w:cs="Times New Roman"/>
                      <w:b/>
                      <w:bCs/>
                      <w:color w:val="000000"/>
                      <w:sz w:val="16"/>
                      <w:szCs w:val="16"/>
                      <w:lang w:eastAsia="sk-SK"/>
                    </w:rPr>
                    <w:t>Počet pruhov</w:t>
                  </w:r>
                </w:p>
              </w:tc>
              <w:tc>
                <w:tcPr>
                  <w:tcW w:w="443" w:type="dxa"/>
                  <w:tcBorders>
                    <w:top w:val="nil"/>
                    <w:left w:val="nil"/>
                    <w:bottom w:val="single" w:sz="8" w:space="0" w:color="auto"/>
                    <w:right w:val="nil"/>
                  </w:tcBorders>
                  <w:shd w:val="clear" w:color="auto" w:fill="auto"/>
                  <w:vAlign w:val="center"/>
                  <w:hideMark/>
                </w:tcPr>
                <w:p w14:paraId="1AA1938D" w14:textId="5F23C498" w:rsidR="009D7488" w:rsidRPr="009D7488" w:rsidRDefault="009D7488" w:rsidP="009D7488">
                  <w:pPr>
                    <w:spacing w:after="0" w:line="240" w:lineRule="auto"/>
                    <w:jc w:val="center"/>
                    <w:rPr>
                      <w:rFonts w:eastAsia="Times New Roman" w:cs="Times New Roman"/>
                      <w:b/>
                      <w:bCs/>
                      <w:color w:val="000000"/>
                      <w:sz w:val="16"/>
                      <w:szCs w:val="16"/>
                      <w:lang w:eastAsia="sk-SK"/>
                    </w:rPr>
                  </w:pPr>
                  <w:r>
                    <w:rPr>
                      <w:rFonts w:eastAsia="Times New Roman" w:cs="Times New Roman"/>
                      <w:b/>
                      <w:bCs/>
                      <w:color w:val="000000"/>
                      <w:sz w:val="16"/>
                      <w:szCs w:val="16"/>
                      <w:lang w:eastAsia="sk-SK"/>
                    </w:rPr>
                    <w:t>Fáza</w:t>
                  </w:r>
                </w:p>
              </w:tc>
              <w:tc>
                <w:tcPr>
                  <w:tcW w:w="850" w:type="dxa"/>
                  <w:tcBorders>
                    <w:top w:val="nil"/>
                    <w:left w:val="nil"/>
                    <w:bottom w:val="single" w:sz="8" w:space="0" w:color="auto"/>
                    <w:right w:val="nil"/>
                  </w:tcBorders>
                  <w:shd w:val="clear" w:color="auto" w:fill="auto"/>
                  <w:vAlign w:val="center"/>
                  <w:hideMark/>
                </w:tcPr>
                <w:p w14:paraId="43A64224" w14:textId="77777777" w:rsidR="009D7488" w:rsidRPr="009D7488" w:rsidRDefault="009D7488" w:rsidP="009D7488">
                  <w:pPr>
                    <w:spacing w:after="0" w:line="240" w:lineRule="auto"/>
                    <w:jc w:val="center"/>
                    <w:rPr>
                      <w:rFonts w:eastAsia="Times New Roman" w:cs="Times New Roman"/>
                      <w:b/>
                      <w:bCs/>
                      <w:color w:val="000000"/>
                      <w:sz w:val="16"/>
                      <w:szCs w:val="16"/>
                      <w:lang w:eastAsia="sk-SK"/>
                    </w:rPr>
                  </w:pPr>
                  <w:r w:rsidRPr="009D7488">
                    <w:rPr>
                      <w:rFonts w:eastAsia="Times New Roman" w:cs="Times New Roman"/>
                      <w:b/>
                      <w:bCs/>
                      <w:color w:val="000000"/>
                      <w:sz w:val="16"/>
                      <w:szCs w:val="16"/>
                      <w:lang w:eastAsia="sk-SK"/>
                    </w:rPr>
                    <w:t>Strategická CBA (BCR)</w:t>
                  </w:r>
                </w:p>
              </w:tc>
              <w:tc>
                <w:tcPr>
                  <w:tcW w:w="993" w:type="dxa"/>
                  <w:tcBorders>
                    <w:top w:val="nil"/>
                    <w:left w:val="nil"/>
                    <w:bottom w:val="single" w:sz="8" w:space="0" w:color="auto"/>
                    <w:right w:val="nil"/>
                  </w:tcBorders>
                  <w:shd w:val="clear" w:color="auto" w:fill="auto"/>
                  <w:vAlign w:val="center"/>
                  <w:hideMark/>
                </w:tcPr>
                <w:p w14:paraId="5C444893" w14:textId="77777777" w:rsidR="009D7488" w:rsidRPr="009D7488" w:rsidRDefault="009D7488" w:rsidP="009D7488">
                  <w:pPr>
                    <w:spacing w:after="0" w:line="240" w:lineRule="auto"/>
                    <w:jc w:val="center"/>
                    <w:rPr>
                      <w:rFonts w:eastAsia="Times New Roman" w:cs="Times New Roman"/>
                      <w:b/>
                      <w:bCs/>
                      <w:color w:val="000000"/>
                      <w:sz w:val="16"/>
                      <w:szCs w:val="16"/>
                      <w:lang w:eastAsia="sk-SK"/>
                    </w:rPr>
                  </w:pPr>
                  <w:r w:rsidRPr="009D7488">
                    <w:rPr>
                      <w:rFonts w:eastAsia="Times New Roman" w:cs="Times New Roman"/>
                      <w:b/>
                      <w:bCs/>
                      <w:color w:val="000000"/>
                      <w:sz w:val="16"/>
                      <w:szCs w:val="16"/>
                      <w:lang w:eastAsia="sk-SK"/>
                    </w:rPr>
                    <w:t>Spoločenská priorita</w:t>
                  </w:r>
                </w:p>
              </w:tc>
            </w:tr>
            <w:tr w:rsidR="009D7488" w:rsidRPr="009D7488" w14:paraId="5D1D38A0" w14:textId="77777777" w:rsidTr="00234581">
              <w:trPr>
                <w:trHeight w:val="198"/>
              </w:trPr>
              <w:tc>
                <w:tcPr>
                  <w:tcW w:w="1877" w:type="dxa"/>
                  <w:tcBorders>
                    <w:top w:val="nil"/>
                    <w:left w:val="nil"/>
                    <w:bottom w:val="nil"/>
                    <w:right w:val="nil"/>
                  </w:tcBorders>
                  <w:shd w:val="clear" w:color="000000" w:fill="757171"/>
                  <w:vAlign w:val="center"/>
                  <w:hideMark/>
                </w:tcPr>
                <w:p w14:paraId="3B3C2F89" w14:textId="77777777" w:rsidR="009D7488" w:rsidRPr="009D7488" w:rsidRDefault="009D7488" w:rsidP="009D7488">
                  <w:pPr>
                    <w:spacing w:after="0" w:line="240" w:lineRule="auto"/>
                    <w:jc w:val="left"/>
                    <w:rPr>
                      <w:rFonts w:eastAsia="Times New Roman" w:cs="Times New Roman"/>
                      <w:b/>
                      <w:bCs/>
                      <w:color w:val="FFFFFF"/>
                      <w:sz w:val="16"/>
                      <w:szCs w:val="16"/>
                      <w:lang w:eastAsia="sk-SK"/>
                    </w:rPr>
                  </w:pPr>
                  <w:r w:rsidRPr="009D7488">
                    <w:rPr>
                      <w:rFonts w:eastAsia="Times New Roman" w:cs="Times New Roman"/>
                      <w:b/>
                      <w:bCs/>
                      <w:color w:val="FFFFFF"/>
                      <w:sz w:val="16"/>
                      <w:szCs w:val="16"/>
                      <w:lang w:eastAsia="sk-SK"/>
                    </w:rPr>
                    <w:t>Hodnotené projekty</w:t>
                  </w:r>
                </w:p>
              </w:tc>
              <w:tc>
                <w:tcPr>
                  <w:tcW w:w="992" w:type="dxa"/>
                  <w:tcBorders>
                    <w:top w:val="nil"/>
                    <w:left w:val="nil"/>
                    <w:bottom w:val="nil"/>
                    <w:right w:val="nil"/>
                  </w:tcBorders>
                  <w:shd w:val="clear" w:color="000000" w:fill="757171"/>
                  <w:vAlign w:val="center"/>
                  <w:hideMark/>
                </w:tcPr>
                <w:p w14:paraId="0EF86A92" w14:textId="77777777" w:rsidR="009D7488" w:rsidRPr="009D7488" w:rsidRDefault="009D7488" w:rsidP="009D7488">
                  <w:pPr>
                    <w:spacing w:after="0" w:line="240" w:lineRule="auto"/>
                    <w:jc w:val="left"/>
                    <w:rPr>
                      <w:rFonts w:eastAsia="Times New Roman" w:cs="Times New Roman"/>
                      <w:b/>
                      <w:bCs/>
                      <w:color w:val="FFFFFF"/>
                      <w:sz w:val="16"/>
                      <w:szCs w:val="16"/>
                      <w:lang w:eastAsia="sk-SK"/>
                    </w:rPr>
                  </w:pPr>
                  <w:r w:rsidRPr="009D7488">
                    <w:rPr>
                      <w:rFonts w:eastAsia="Times New Roman" w:cs="Times New Roman"/>
                      <w:b/>
                      <w:bCs/>
                      <w:color w:val="FFFFFF"/>
                      <w:sz w:val="16"/>
                      <w:szCs w:val="16"/>
                      <w:lang w:eastAsia="sk-SK"/>
                    </w:rPr>
                    <w:t> </w:t>
                  </w:r>
                </w:p>
              </w:tc>
              <w:tc>
                <w:tcPr>
                  <w:tcW w:w="567" w:type="dxa"/>
                  <w:tcBorders>
                    <w:top w:val="nil"/>
                    <w:left w:val="nil"/>
                    <w:bottom w:val="nil"/>
                    <w:right w:val="nil"/>
                  </w:tcBorders>
                  <w:shd w:val="clear" w:color="000000" w:fill="757171"/>
                  <w:vAlign w:val="center"/>
                  <w:hideMark/>
                </w:tcPr>
                <w:p w14:paraId="5887DA02" w14:textId="77777777" w:rsidR="009D7488" w:rsidRPr="009D7488" w:rsidRDefault="009D7488" w:rsidP="009D7488">
                  <w:pPr>
                    <w:spacing w:after="0" w:line="240" w:lineRule="auto"/>
                    <w:jc w:val="left"/>
                    <w:rPr>
                      <w:rFonts w:eastAsia="Times New Roman" w:cs="Times New Roman"/>
                      <w:b/>
                      <w:bCs/>
                      <w:color w:val="FF0000"/>
                      <w:sz w:val="16"/>
                      <w:szCs w:val="16"/>
                      <w:lang w:eastAsia="sk-SK"/>
                    </w:rPr>
                  </w:pPr>
                  <w:r w:rsidRPr="009D7488">
                    <w:rPr>
                      <w:rFonts w:eastAsia="Times New Roman" w:cs="Times New Roman"/>
                      <w:b/>
                      <w:bCs/>
                      <w:color w:val="FF0000"/>
                      <w:sz w:val="16"/>
                      <w:szCs w:val="16"/>
                      <w:lang w:eastAsia="sk-SK"/>
                    </w:rPr>
                    <w:t> </w:t>
                  </w:r>
                </w:p>
              </w:tc>
              <w:tc>
                <w:tcPr>
                  <w:tcW w:w="851" w:type="dxa"/>
                  <w:tcBorders>
                    <w:top w:val="nil"/>
                    <w:left w:val="nil"/>
                    <w:bottom w:val="nil"/>
                    <w:right w:val="nil"/>
                  </w:tcBorders>
                  <w:shd w:val="clear" w:color="000000" w:fill="757171"/>
                  <w:vAlign w:val="center"/>
                  <w:hideMark/>
                </w:tcPr>
                <w:p w14:paraId="6EC3678C" w14:textId="77777777" w:rsidR="009D7488" w:rsidRPr="009D7488" w:rsidRDefault="009D7488" w:rsidP="009D7488">
                  <w:pPr>
                    <w:spacing w:after="0" w:line="240" w:lineRule="auto"/>
                    <w:jc w:val="left"/>
                    <w:rPr>
                      <w:rFonts w:eastAsia="Times New Roman" w:cs="Times New Roman"/>
                      <w:b/>
                      <w:bCs/>
                      <w:color w:val="FF0000"/>
                      <w:sz w:val="16"/>
                      <w:szCs w:val="16"/>
                      <w:lang w:eastAsia="sk-SK"/>
                    </w:rPr>
                  </w:pPr>
                  <w:r w:rsidRPr="009D7488">
                    <w:rPr>
                      <w:rFonts w:eastAsia="Times New Roman" w:cs="Times New Roman"/>
                      <w:b/>
                      <w:bCs/>
                      <w:color w:val="FF0000"/>
                      <w:sz w:val="16"/>
                      <w:szCs w:val="16"/>
                      <w:lang w:eastAsia="sk-SK"/>
                    </w:rPr>
                    <w:t> </w:t>
                  </w:r>
                </w:p>
              </w:tc>
              <w:tc>
                <w:tcPr>
                  <w:tcW w:w="850" w:type="dxa"/>
                  <w:tcBorders>
                    <w:top w:val="nil"/>
                    <w:left w:val="nil"/>
                    <w:bottom w:val="nil"/>
                    <w:right w:val="nil"/>
                  </w:tcBorders>
                  <w:shd w:val="clear" w:color="000000" w:fill="757171"/>
                  <w:vAlign w:val="center"/>
                  <w:hideMark/>
                </w:tcPr>
                <w:p w14:paraId="59686A7B" w14:textId="77777777" w:rsidR="009D7488" w:rsidRPr="009D7488" w:rsidRDefault="009D7488" w:rsidP="009D7488">
                  <w:pPr>
                    <w:spacing w:after="0" w:line="240" w:lineRule="auto"/>
                    <w:jc w:val="left"/>
                    <w:rPr>
                      <w:rFonts w:eastAsia="Times New Roman" w:cs="Times New Roman"/>
                      <w:b/>
                      <w:bCs/>
                      <w:color w:val="FF0000"/>
                      <w:sz w:val="16"/>
                      <w:szCs w:val="16"/>
                      <w:lang w:eastAsia="sk-SK"/>
                    </w:rPr>
                  </w:pPr>
                  <w:r w:rsidRPr="009D7488">
                    <w:rPr>
                      <w:rFonts w:eastAsia="Times New Roman" w:cs="Times New Roman"/>
                      <w:b/>
                      <w:bCs/>
                      <w:color w:val="FF0000"/>
                      <w:sz w:val="16"/>
                      <w:szCs w:val="16"/>
                      <w:lang w:eastAsia="sk-SK"/>
                    </w:rPr>
                    <w:t> </w:t>
                  </w:r>
                </w:p>
              </w:tc>
              <w:tc>
                <w:tcPr>
                  <w:tcW w:w="567" w:type="dxa"/>
                  <w:tcBorders>
                    <w:top w:val="nil"/>
                    <w:left w:val="nil"/>
                    <w:bottom w:val="nil"/>
                    <w:right w:val="nil"/>
                  </w:tcBorders>
                  <w:shd w:val="clear" w:color="000000" w:fill="757171"/>
                  <w:vAlign w:val="center"/>
                  <w:hideMark/>
                </w:tcPr>
                <w:p w14:paraId="15C9DE02" w14:textId="77777777" w:rsidR="009D7488" w:rsidRPr="009D7488" w:rsidRDefault="009D7488" w:rsidP="009D7488">
                  <w:pPr>
                    <w:spacing w:after="0" w:line="240" w:lineRule="auto"/>
                    <w:jc w:val="left"/>
                    <w:rPr>
                      <w:rFonts w:eastAsia="Times New Roman" w:cs="Times New Roman"/>
                      <w:b/>
                      <w:bCs/>
                      <w:color w:val="FF0000"/>
                      <w:sz w:val="16"/>
                      <w:szCs w:val="16"/>
                      <w:lang w:eastAsia="sk-SK"/>
                    </w:rPr>
                  </w:pPr>
                  <w:r w:rsidRPr="009D7488">
                    <w:rPr>
                      <w:rFonts w:eastAsia="Times New Roman" w:cs="Times New Roman"/>
                      <w:b/>
                      <w:bCs/>
                      <w:color w:val="FF0000"/>
                      <w:sz w:val="16"/>
                      <w:szCs w:val="16"/>
                      <w:lang w:eastAsia="sk-SK"/>
                    </w:rPr>
                    <w:t> </w:t>
                  </w:r>
                </w:p>
              </w:tc>
              <w:tc>
                <w:tcPr>
                  <w:tcW w:w="851" w:type="dxa"/>
                  <w:tcBorders>
                    <w:top w:val="nil"/>
                    <w:left w:val="nil"/>
                    <w:bottom w:val="nil"/>
                    <w:right w:val="nil"/>
                  </w:tcBorders>
                  <w:shd w:val="clear" w:color="000000" w:fill="757171"/>
                  <w:vAlign w:val="center"/>
                  <w:hideMark/>
                </w:tcPr>
                <w:p w14:paraId="7C56A6B9" w14:textId="77777777" w:rsidR="009D7488" w:rsidRPr="009D7488" w:rsidRDefault="009D7488" w:rsidP="009D7488">
                  <w:pPr>
                    <w:spacing w:after="0" w:line="240" w:lineRule="auto"/>
                    <w:jc w:val="center"/>
                    <w:rPr>
                      <w:rFonts w:eastAsia="Times New Roman" w:cs="Times New Roman"/>
                      <w:b/>
                      <w:bCs/>
                      <w:color w:val="FF0000"/>
                      <w:sz w:val="16"/>
                      <w:szCs w:val="16"/>
                      <w:lang w:eastAsia="sk-SK"/>
                    </w:rPr>
                  </w:pPr>
                  <w:r w:rsidRPr="009D7488">
                    <w:rPr>
                      <w:rFonts w:eastAsia="Times New Roman" w:cs="Times New Roman"/>
                      <w:b/>
                      <w:bCs/>
                      <w:color w:val="FF0000"/>
                      <w:sz w:val="16"/>
                      <w:szCs w:val="16"/>
                      <w:lang w:eastAsia="sk-SK"/>
                    </w:rPr>
                    <w:t> </w:t>
                  </w:r>
                </w:p>
              </w:tc>
              <w:tc>
                <w:tcPr>
                  <w:tcW w:w="443" w:type="dxa"/>
                  <w:tcBorders>
                    <w:top w:val="nil"/>
                    <w:left w:val="nil"/>
                    <w:bottom w:val="nil"/>
                    <w:right w:val="nil"/>
                  </w:tcBorders>
                  <w:shd w:val="clear" w:color="000000" w:fill="757171"/>
                  <w:vAlign w:val="center"/>
                  <w:hideMark/>
                </w:tcPr>
                <w:p w14:paraId="234709A9" w14:textId="77777777" w:rsidR="009D7488" w:rsidRPr="009D7488" w:rsidRDefault="009D7488" w:rsidP="009D7488">
                  <w:pPr>
                    <w:spacing w:after="0" w:line="240" w:lineRule="auto"/>
                    <w:jc w:val="center"/>
                    <w:rPr>
                      <w:rFonts w:eastAsia="Times New Roman" w:cs="Times New Roman"/>
                      <w:b/>
                      <w:bCs/>
                      <w:color w:val="FF0000"/>
                      <w:sz w:val="16"/>
                      <w:szCs w:val="16"/>
                      <w:lang w:eastAsia="sk-SK"/>
                    </w:rPr>
                  </w:pPr>
                  <w:r w:rsidRPr="009D7488">
                    <w:rPr>
                      <w:rFonts w:eastAsia="Times New Roman" w:cs="Times New Roman"/>
                      <w:b/>
                      <w:bCs/>
                      <w:color w:val="FF0000"/>
                      <w:sz w:val="16"/>
                      <w:szCs w:val="16"/>
                      <w:lang w:eastAsia="sk-SK"/>
                    </w:rPr>
                    <w:t> </w:t>
                  </w:r>
                </w:p>
              </w:tc>
              <w:tc>
                <w:tcPr>
                  <w:tcW w:w="850" w:type="dxa"/>
                  <w:tcBorders>
                    <w:top w:val="nil"/>
                    <w:left w:val="nil"/>
                    <w:bottom w:val="nil"/>
                    <w:right w:val="nil"/>
                  </w:tcBorders>
                  <w:shd w:val="clear" w:color="000000" w:fill="757171"/>
                  <w:vAlign w:val="center"/>
                  <w:hideMark/>
                </w:tcPr>
                <w:p w14:paraId="774A5502" w14:textId="77777777" w:rsidR="009D7488" w:rsidRPr="009D7488" w:rsidRDefault="009D7488" w:rsidP="009D7488">
                  <w:pPr>
                    <w:spacing w:after="0" w:line="240" w:lineRule="auto"/>
                    <w:jc w:val="left"/>
                    <w:rPr>
                      <w:rFonts w:eastAsia="Times New Roman" w:cs="Times New Roman"/>
                      <w:b/>
                      <w:bCs/>
                      <w:color w:val="FF0000"/>
                      <w:sz w:val="16"/>
                      <w:szCs w:val="16"/>
                      <w:lang w:eastAsia="sk-SK"/>
                    </w:rPr>
                  </w:pPr>
                  <w:r w:rsidRPr="009D7488">
                    <w:rPr>
                      <w:rFonts w:eastAsia="Times New Roman" w:cs="Times New Roman"/>
                      <w:b/>
                      <w:bCs/>
                      <w:color w:val="FF0000"/>
                      <w:sz w:val="16"/>
                      <w:szCs w:val="16"/>
                      <w:lang w:eastAsia="sk-SK"/>
                    </w:rPr>
                    <w:t> </w:t>
                  </w:r>
                </w:p>
              </w:tc>
              <w:tc>
                <w:tcPr>
                  <w:tcW w:w="993" w:type="dxa"/>
                  <w:tcBorders>
                    <w:top w:val="nil"/>
                    <w:left w:val="nil"/>
                    <w:bottom w:val="nil"/>
                    <w:right w:val="nil"/>
                  </w:tcBorders>
                  <w:shd w:val="clear" w:color="000000" w:fill="757171"/>
                  <w:vAlign w:val="center"/>
                  <w:hideMark/>
                </w:tcPr>
                <w:p w14:paraId="79AC2BE7" w14:textId="77777777" w:rsidR="009D7488" w:rsidRPr="009D7488" w:rsidRDefault="009D7488" w:rsidP="009D7488">
                  <w:pPr>
                    <w:spacing w:after="0" w:line="240" w:lineRule="auto"/>
                    <w:jc w:val="left"/>
                    <w:rPr>
                      <w:rFonts w:eastAsia="Times New Roman" w:cs="Times New Roman"/>
                      <w:b/>
                      <w:bCs/>
                      <w:color w:val="FF0000"/>
                      <w:sz w:val="16"/>
                      <w:szCs w:val="16"/>
                      <w:lang w:eastAsia="sk-SK"/>
                    </w:rPr>
                  </w:pPr>
                  <w:r w:rsidRPr="009D7488">
                    <w:rPr>
                      <w:rFonts w:eastAsia="Times New Roman" w:cs="Times New Roman"/>
                      <w:b/>
                      <w:bCs/>
                      <w:color w:val="FF0000"/>
                      <w:sz w:val="16"/>
                      <w:szCs w:val="16"/>
                      <w:lang w:eastAsia="sk-SK"/>
                    </w:rPr>
                    <w:t> </w:t>
                  </w:r>
                </w:p>
              </w:tc>
            </w:tr>
            <w:tr w:rsidR="009D7488" w:rsidRPr="009D7488" w14:paraId="4ADC4FCB" w14:textId="77777777" w:rsidTr="00234581">
              <w:trPr>
                <w:trHeight w:val="290"/>
              </w:trPr>
              <w:tc>
                <w:tcPr>
                  <w:tcW w:w="1877" w:type="dxa"/>
                  <w:tcBorders>
                    <w:top w:val="nil"/>
                    <w:left w:val="nil"/>
                    <w:bottom w:val="nil"/>
                    <w:right w:val="nil"/>
                  </w:tcBorders>
                  <w:shd w:val="clear" w:color="auto" w:fill="auto"/>
                  <w:noWrap/>
                  <w:vAlign w:val="center"/>
                  <w:hideMark/>
                </w:tcPr>
                <w:p w14:paraId="451227C5" w14:textId="77777777" w:rsidR="009D7488" w:rsidRPr="009D7488" w:rsidRDefault="009D7488" w:rsidP="009D7488">
                  <w:pPr>
                    <w:spacing w:after="0" w:line="240" w:lineRule="auto"/>
                    <w:jc w:val="left"/>
                    <w:rPr>
                      <w:rFonts w:eastAsia="Times New Roman" w:cs="Times New Roman"/>
                      <w:color w:val="000000"/>
                      <w:sz w:val="16"/>
                      <w:szCs w:val="16"/>
                      <w:lang w:eastAsia="sk-SK"/>
                    </w:rPr>
                  </w:pPr>
                  <w:r w:rsidRPr="009D7488">
                    <w:rPr>
                      <w:rFonts w:eastAsia="Times New Roman" w:cs="Times New Roman"/>
                      <w:color w:val="000000"/>
                      <w:sz w:val="16"/>
                      <w:szCs w:val="16"/>
                      <w:lang w:eastAsia="sk-SK"/>
                    </w:rPr>
                    <w:t>I/51 Levice, obchvat</w:t>
                  </w:r>
                </w:p>
              </w:tc>
              <w:tc>
                <w:tcPr>
                  <w:tcW w:w="992" w:type="dxa"/>
                  <w:tcBorders>
                    <w:top w:val="nil"/>
                    <w:left w:val="nil"/>
                    <w:bottom w:val="nil"/>
                    <w:right w:val="nil"/>
                  </w:tcBorders>
                  <w:shd w:val="clear" w:color="auto" w:fill="auto"/>
                  <w:noWrap/>
                  <w:vAlign w:val="center"/>
                  <w:hideMark/>
                </w:tcPr>
                <w:p w14:paraId="648C7BA5" w14:textId="77777777" w:rsidR="009D7488" w:rsidRPr="009D7488" w:rsidRDefault="009D7488" w:rsidP="009D7488">
                  <w:pPr>
                    <w:spacing w:after="0" w:line="240" w:lineRule="auto"/>
                    <w:jc w:val="center"/>
                    <w:rPr>
                      <w:rFonts w:eastAsia="Times New Roman" w:cs="Times New Roman"/>
                      <w:color w:val="000000"/>
                      <w:sz w:val="16"/>
                      <w:szCs w:val="16"/>
                      <w:lang w:eastAsia="sk-SK"/>
                    </w:rPr>
                  </w:pPr>
                  <w:r w:rsidRPr="009D7488">
                    <w:rPr>
                      <w:rFonts w:eastAsia="Times New Roman" w:cs="Times New Roman"/>
                      <w:color w:val="000000"/>
                      <w:sz w:val="16"/>
                      <w:szCs w:val="16"/>
                      <w:lang w:eastAsia="sk-SK"/>
                    </w:rPr>
                    <w:t>1</w:t>
                  </w:r>
                </w:p>
              </w:tc>
              <w:tc>
                <w:tcPr>
                  <w:tcW w:w="567" w:type="dxa"/>
                  <w:tcBorders>
                    <w:top w:val="nil"/>
                    <w:left w:val="nil"/>
                    <w:bottom w:val="nil"/>
                    <w:right w:val="nil"/>
                  </w:tcBorders>
                  <w:shd w:val="clear" w:color="auto" w:fill="auto"/>
                  <w:noWrap/>
                  <w:vAlign w:val="center"/>
                  <w:hideMark/>
                </w:tcPr>
                <w:p w14:paraId="79C48411" w14:textId="77777777" w:rsidR="009D7488" w:rsidRPr="009D7488" w:rsidRDefault="009D7488" w:rsidP="009D7488">
                  <w:pPr>
                    <w:spacing w:after="0" w:line="240" w:lineRule="auto"/>
                    <w:jc w:val="center"/>
                    <w:rPr>
                      <w:rFonts w:eastAsia="Times New Roman" w:cs="Times New Roman"/>
                      <w:color w:val="000000"/>
                      <w:sz w:val="16"/>
                      <w:szCs w:val="16"/>
                      <w:lang w:eastAsia="sk-SK"/>
                    </w:rPr>
                  </w:pPr>
                  <w:r w:rsidRPr="009D7488">
                    <w:rPr>
                      <w:rFonts w:eastAsia="Times New Roman" w:cs="Times New Roman"/>
                      <w:color w:val="000000"/>
                      <w:sz w:val="16"/>
                      <w:szCs w:val="16"/>
                      <w:lang w:eastAsia="sk-SK"/>
                    </w:rPr>
                    <w:t>Nie</w:t>
                  </w:r>
                </w:p>
              </w:tc>
              <w:tc>
                <w:tcPr>
                  <w:tcW w:w="851" w:type="dxa"/>
                  <w:tcBorders>
                    <w:top w:val="nil"/>
                    <w:left w:val="nil"/>
                    <w:bottom w:val="nil"/>
                    <w:right w:val="nil"/>
                  </w:tcBorders>
                  <w:shd w:val="clear" w:color="auto" w:fill="auto"/>
                  <w:noWrap/>
                  <w:vAlign w:val="center"/>
                  <w:hideMark/>
                </w:tcPr>
                <w:p w14:paraId="030B77B1"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89%</w:t>
                  </w:r>
                </w:p>
              </w:tc>
              <w:tc>
                <w:tcPr>
                  <w:tcW w:w="850" w:type="dxa"/>
                  <w:tcBorders>
                    <w:top w:val="nil"/>
                    <w:left w:val="nil"/>
                    <w:bottom w:val="nil"/>
                    <w:right w:val="nil"/>
                  </w:tcBorders>
                  <w:shd w:val="clear" w:color="auto" w:fill="auto"/>
                  <w:noWrap/>
                  <w:vAlign w:val="center"/>
                  <w:hideMark/>
                </w:tcPr>
                <w:p w14:paraId="69FB69FC"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14,6</w:t>
                  </w:r>
                </w:p>
              </w:tc>
              <w:tc>
                <w:tcPr>
                  <w:tcW w:w="567" w:type="dxa"/>
                  <w:tcBorders>
                    <w:top w:val="nil"/>
                    <w:left w:val="nil"/>
                    <w:bottom w:val="nil"/>
                    <w:right w:val="nil"/>
                  </w:tcBorders>
                  <w:shd w:val="clear" w:color="auto" w:fill="auto"/>
                  <w:noWrap/>
                  <w:vAlign w:val="center"/>
                  <w:hideMark/>
                </w:tcPr>
                <w:p w14:paraId="6D1DDA96"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4</w:t>
                  </w:r>
                </w:p>
              </w:tc>
              <w:tc>
                <w:tcPr>
                  <w:tcW w:w="851" w:type="dxa"/>
                  <w:tcBorders>
                    <w:top w:val="nil"/>
                    <w:left w:val="nil"/>
                    <w:bottom w:val="nil"/>
                    <w:right w:val="nil"/>
                  </w:tcBorders>
                  <w:shd w:val="clear" w:color="auto" w:fill="auto"/>
                  <w:noWrap/>
                  <w:vAlign w:val="center"/>
                  <w:hideMark/>
                </w:tcPr>
                <w:p w14:paraId="2D57AEDE" w14:textId="77777777" w:rsidR="009D7488" w:rsidRPr="009D7488" w:rsidRDefault="009D7488" w:rsidP="009D7488">
                  <w:pPr>
                    <w:spacing w:after="0" w:line="240" w:lineRule="auto"/>
                    <w:jc w:val="center"/>
                    <w:rPr>
                      <w:rFonts w:eastAsia="Times New Roman" w:cs="Times New Roman"/>
                      <w:color w:val="000000"/>
                      <w:sz w:val="16"/>
                      <w:szCs w:val="16"/>
                      <w:lang w:eastAsia="sk-SK"/>
                    </w:rPr>
                  </w:pPr>
                  <w:r w:rsidRPr="009D7488">
                    <w:rPr>
                      <w:rFonts w:eastAsia="Times New Roman" w:cs="Times New Roman"/>
                      <w:color w:val="000000"/>
                      <w:sz w:val="16"/>
                      <w:szCs w:val="16"/>
                      <w:lang w:eastAsia="sk-SK"/>
                    </w:rPr>
                    <w:t>2</w:t>
                  </w:r>
                </w:p>
              </w:tc>
              <w:tc>
                <w:tcPr>
                  <w:tcW w:w="443" w:type="dxa"/>
                  <w:tcBorders>
                    <w:top w:val="nil"/>
                    <w:left w:val="nil"/>
                    <w:bottom w:val="nil"/>
                    <w:right w:val="nil"/>
                  </w:tcBorders>
                  <w:shd w:val="clear" w:color="auto" w:fill="auto"/>
                  <w:noWrap/>
                  <w:vAlign w:val="center"/>
                  <w:hideMark/>
                </w:tcPr>
                <w:p w14:paraId="17DC5697" w14:textId="77777777" w:rsidR="009D7488" w:rsidRPr="009D7488" w:rsidRDefault="009D7488" w:rsidP="009D7488">
                  <w:pPr>
                    <w:spacing w:after="0" w:line="240" w:lineRule="auto"/>
                    <w:jc w:val="center"/>
                    <w:rPr>
                      <w:rFonts w:eastAsia="Times New Roman" w:cs="Times New Roman"/>
                      <w:color w:val="000000"/>
                      <w:sz w:val="16"/>
                      <w:szCs w:val="16"/>
                      <w:lang w:eastAsia="sk-SK"/>
                    </w:rPr>
                  </w:pPr>
                  <w:r w:rsidRPr="009D7488">
                    <w:rPr>
                      <w:rFonts w:eastAsia="Times New Roman" w:cs="Times New Roman"/>
                      <w:color w:val="000000"/>
                      <w:sz w:val="16"/>
                      <w:szCs w:val="16"/>
                      <w:lang w:eastAsia="sk-SK"/>
                    </w:rPr>
                    <w:t>ŠR</w:t>
                  </w:r>
                </w:p>
              </w:tc>
              <w:tc>
                <w:tcPr>
                  <w:tcW w:w="850" w:type="dxa"/>
                  <w:tcBorders>
                    <w:top w:val="nil"/>
                    <w:left w:val="nil"/>
                    <w:bottom w:val="nil"/>
                    <w:right w:val="nil"/>
                  </w:tcBorders>
                  <w:shd w:val="clear" w:color="auto" w:fill="auto"/>
                  <w:noWrap/>
                  <w:vAlign w:val="center"/>
                  <w:hideMark/>
                </w:tcPr>
                <w:p w14:paraId="7AF28D75"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1,52</w:t>
                  </w:r>
                </w:p>
              </w:tc>
              <w:tc>
                <w:tcPr>
                  <w:tcW w:w="993" w:type="dxa"/>
                  <w:tcBorders>
                    <w:top w:val="nil"/>
                    <w:left w:val="nil"/>
                    <w:bottom w:val="nil"/>
                    <w:right w:val="nil"/>
                  </w:tcBorders>
                  <w:shd w:val="clear" w:color="auto" w:fill="auto"/>
                  <w:noWrap/>
                  <w:vAlign w:val="center"/>
                  <w:hideMark/>
                </w:tcPr>
                <w:p w14:paraId="4629C0F5"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1,48</w:t>
                  </w:r>
                </w:p>
              </w:tc>
            </w:tr>
            <w:tr w:rsidR="009D7488" w:rsidRPr="009D7488" w14:paraId="05EA289B" w14:textId="77777777" w:rsidTr="00234581">
              <w:trPr>
                <w:trHeight w:val="290"/>
              </w:trPr>
              <w:tc>
                <w:tcPr>
                  <w:tcW w:w="1877" w:type="dxa"/>
                  <w:tcBorders>
                    <w:top w:val="nil"/>
                    <w:left w:val="nil"/>
                    <w:bottom w:val="nil"/>
                    <w:right w:val="nil"/>
                  </w:tcBorders>
                  <w:shd w:val="clear" w:color="auto" w:fill="auto"/>
                  <w:noWrap/>
                  <w:vAlign w:val="center"/>
                  <w:hideMark/>
                </w:tcPr>
                <w:p w14:paraId="00EE01F5" w14:textId="77777777" w:rsidR="009D7488" w:rsidRPr="009D7488" w:rsidRDefault="009D7488" w:rsidP="009D7488">
                  <w:pPr>
                    <w:spacing w:after="0" w:line="240" w:lineRule="auto"/>
                    <w:jc w:val="left"/>
                    <w:rPr>
                      <w:rFonts w:eastAsia="Times New Roman" w:cs="Times New Roman"/>
                      <w:color w:val="000000"/>
                      <w:sz w:val="16"/>
                      <w:szCs w:val="16"/>
                      <w:lang w:eastAsia="sk-SK"/>
                    </w:rPr>
                  </w:pPr>
                  <w:r w:rsidRPr="009D7488">
                    <w:rPr>
                      <w:rFonts w:eastAsia="Times New Roman" w:cs="Times New Roman"/>
                      <w:color w:val="000000"/>
                      <w:sz w:val="16"/>
                      <w:szCs w:val="16"/>
                      <w:lang w:eastAsia="sk-SK"/>
                    </w:rPr>
                    <w:t>I/66 Huncovce - Kežmarok, preložka</w:t>
                  </w:r>
                </w:p>
              </w:tc>
              <w:tc>
                <w:tcPr>
                  <w:tcW w:w="992" w:type="dxa"/>
                  <w:tcBorders>
                    <w:top w:val="nil"/>
                    <w:left w:val="nil"/>
                    <w:bottom w:val="nil"/>
                    <w:right w:val="nil"/>
                  </w:tcBorders>
                  <w:shd w:val="clear" w:color="auto" w:fill="auto"/>
                  <w:noWrap/>
                  <w:vAlign w:val="center"/>
                  <w:hideMark/>
                </w:tcPr>
                <w:p w14:paraId="45CDB400" w14:textId="77777777" w:rsidR="009D7488" w:rsidRPr="009D7488" w:rsidRDefault="009D7488" w:rsidP="009D7488">
                  <w:pPr>
                    <w:spacing w:after="0" w:line="240" w:lineRule="auto"/>
                    <w:jc w:val="center"/>
                    <w:rPr>
                      <w:rFonts w:eastAsia="Times New Roman" w:cs="Times New Roman"/>
                      <w:color w:val="000000"/>
                      <w:sz w:val="16"/>
                      <w:szCs w:val="16"/>
                      <w:lang w:eastAsia="sk-SK"/>
                    </w:rPr>
                  </w:pPr>
                  <w:r w:rsidRPr="009D7488">
                    <w:rPr>
                      <w:rFonts w:eastAsia="Times New Roman" w:cs="Times New Roman"/>
                      <w:color w:val="000000"/>
                      <w:sz w:val="16"/>
                      <w:szCs w:val="16"/>
                      <w:lang w:eastAsia="sk-SK"/>
                    </w:rPr>
                    <w:t>2</w:t>
                  </w:r>
                </w:p>
              </w:tc>
              <w:tc>
                <w:tcPr>
                  <w:tcW w:w="567" w:type="dxa"/>
                  <w:tcBorders>
                    <w:top w:val="nil"/>
                    <w:left w:val="nil"/>
                    <w:bottom w:val="nil"/>
                    <w:right w:val="nil"/>
                  </w:tcBorders>
                  <w:shd w:val="clear" w:color="auto" w:fill="auto"/>
                  <w:noWrap/>
                  <w:vAlign w:val="center"/>
                  <w:hideMark/>
                </w:tcPr>
                <w:p w14:paraId="4CED7B57" w14:textId="77777777" w:rsidR="009D7488" w:rsidRPr="009D7488" w:rsidRDefault="009D7488" w:rsidP="009D7488">
                  <w:pPr>
                    <w:spacing w:after="0" w:line="240" w:lineRule="auto"/>
                    <w:jc w:val="center"/>
                    <w:rPr>
                      <w:rFonts w:eastAsia="Times New Roman" w:cs="Times New Roman"/>
                      <w:color w:val="000000"/>
                      <w:sz w:val="16"/>
                      <w:szCs w:val="16"/>
                      <w:lang w:eastAsia="sk-SK"/>
                    </w:rPr>
                  </w:pPr>
                  <w:r w:rsidRPr="009D7488">
                    <w:rPr>
                      <w:rFonts w:eastAsia="Times New Roman" w:cs="Times New Roman"/>
                      <w:color w:val="000000"/>
                      <w:sz w:val="16"/>
                      <w:szCs w:val="16"/>
                      <w:lang w:eastAsia="sk-SK"/>
                    </w:rPr>
                    <w:t>Nie</w:t>
                  </w:r>
                </w:p>
              </w:tc>
              <w:tc>
                <w:tcPr>
                  <w:tcW w:w="851" w:type="dxa"/>
                  <w:tcBorders>
                    <w:top w:val="nil"/>
                    <w:left w:val="nil"/>
                    <w:bottom w:val="nil"/>
                    <w:right w:val="nil"/>
                  </w:tcBorders>
                  <w:shd w:val="clear" w:color="auto" w:fill="auto"/>
                  <w:noWrap/>
                  <w:vAlign w:val="center"/>
                  <w:hideMark/>
                </w:tcPr>
                <w:p w14:paraId="4DA190A5"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106%</w:t>
                  </w:r>
                </w:p>
              </w:tc>
              <w:tc>
                <w:tcPr>
                  <w:tcW w:w="850" w:type="dxa"/>
                  <w:tcBorders>
                    <w:top w:val="nil"/>
                    <w:left w:val="nil"/>
                    <w:bottom w:val="nil"/>
                    <w:right w:val="nil"/>
                  </w:tcBorders>
                  <w:shd w:val="clear" w:color="auto" w:fill="auto"/>
                  <w:noWrap/>
                  <w:vAlign w:val="center"/>
                  <w:hideMark/>
                </w:tcPr>
                <w:p w14:paraId="4A36F430"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50,3</w:t>
                  </w:r>
                </w:p>
              </w:tc>
              <w:tc>
                <w:tcPr>
                  <w:tcW w:w="567" w:type="dxa"/>
                  <w:tcBorders>
                    <w:top w:val="nil"/>
                    <w:left w:val="nil"/>
                    <w:bottom w:val="nil"/>
                    <w:right w:val="nil"/>
                  </w:tcBorders>
                  <w:shd w:val="clear" w:color="auto" w:fill="auto"/>
                  <w:noWrap/>
                  <w:vAlign w:val="center"/>
                  <w:hideMark/>
                </w:tcPr>
                <w:p w14:paraId="3942C502"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5,1</w:t>
                  </w:r>
                </w:p>
              </w:tc>
              <w:tc>
                <w:tcPr>
                  <w:tcW w:w="851" w:type="dxa"/>
                  <w:tcBorders>
                    <w:top w:val="nil"/>
                    <w:left w:val="nil"/>
                    <w:bottom w:val="nil"/>
                    <w:right w:val="nil"/>
                  </w:tcBorders>
                  <w:shd w:val="clear" w:color="auto" w:fill="auto"/>
                  <w:noWrap/>
                  <w:vAlign w:val="center"/>
                  <w:hideMark/>
                </w:tcPr>
                <w:p w14:paraId="518CA2F6" w14:textId="77777777" w:rsidR="009D7488" w:rsidRPr="009D7488" w:rsidRDefault="009D7488" w:rsidP="009D7488">
                  <w:pPr>
                    <w:spacing w:after="0" w:line="240" w:lineRule="auto"/>
                    <w:jc w:val="center"/>
                    <w:rPr>
                      <w:rFonts w:eastAsia="Times New Roman" w:cs="Times New Roman"/>
                      <w:color w:val="000000"/>
                      <w:sz w:val="16"/>
                      <w:szCs w:val="16"/>
                      <w:lang w:eastAsia="sk-SK"/>
                    </w:rPr>
                  </w:pPr>
                  <w:r w:rsidRPr="009D7488">
                    <w:rPr>
                      <w:rFonts w:eastAsia="Times New Roman" w:cs="Times New Roman"/>
                      <w:color w:val="000000"/>
                      <w:sz w:val="16"/>
                      <w:szCs w:val="16"/>
                      <w:lang w:eastAsia="sk-SK"/>
                    </w:rPr>
                    <w:t>2</w:t>
                  </w:r>
                </w:p>
              </w:tc>
              <w:tc>
                <w:tcPr>
                  <w:tcW w:w="443" w:type="dxa"/>
                  <w:tcBorders>
                    <w:top w:val="nil"/>
                    <w:left w:val="nil"/>
                    <w:bottom w:val="nil"/>
                    <w:right w:val="nil"/>
                  </w:tcBorders>
                  <w:shd w:val="clear" w:color="auto" w:fill="auto"/>
                  <w:noWrap/>
                  <w:vAlign w:val="center"/>
                  <w:hideMark/>
                </w:tcPr>
                <w:p w14:paraId="1B548AEA" w14:textId="77777777" w:rsidR="009D7488" w:rsidRPr="009D7488" w:rsidRDefault="009D7488" w:rsidP="009D7488">
                  <w:pPr>
                    <w:spacing w:after="0" w:line="240" w:lineRule="auto"/>
                    <w:jc w:val="center"/>
                    <w:rPr>
                      <w:rFonts w:eastAsia="Times New Roman" w:cs="Times New Roman"/>
                      <w:color w:val="000000"/>
                      <w:sz w:val="16"/>
                      <w:szCs w:val="16"/>
                      <w:lang w:eastAsia="sk-SK"/>
                    </w:rPr>
                  </w:pPr>
                  <w:r w:rsidRPr="009D7488">
                    <w:rPr>
                      <w:rFonts w:eastAsia="Times New Roman" w:cs="Times New Roman"/>
                      <w:color w:val="000000"/>
                      <w:sz w:val="16"/>
                      <w:szCs w:val="16"/>
                      <w:lang w:eastAsia="sk-SK"/>
                    </w:rPr>
                    <w:t>ÚR</w:t>
                  </w:r>
                </w:p>
              </w:tc>
              <w:tc>
                <w:tcPr>
                  <w:tcW w:w="850" w:type="dxa"/>
                  <w:tcBorders>
                    <w:top w:val="nil"/>
                    <w:left w:val="nil"/>
                    <w:bottom w:val="nil"/>
                    <w:right w:val="nil"/>
                  </w:tcBorders>
                  <w:shd w:val="clear" w:color="auto" w:fill="auto"/>
                  <w:noWrap/>
                  <w:vAlign w:val="center"/>
                  <w:hideMark/>
                </w:tcPr>
                <w:p w14:paraId="1561FACB"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1,32</w:t>
                  </w:r>
                </w:p>
              </w:tc>
              <w:tc>
                <w:tcPr>
                  <w:tcW w:w="993" w:type="dxa"/>
                  <w:tcBorders>
                    <w:top w:val="nil"/>
                    <w:left w:val="nil"/>
                    <w:bottom w:val="nil"/>
                    <w:right w:val="nil"/>
                  </w:tcBorders>
                  <w:shd w:val="clear" w:color="auto" w:fill="auto"/>
                  <w:noWrap/>
                  <w:vAlign w:val="center"/>
                  <w:hideMark/>
                </w:tcPr>
                <w:p w14:paraId="6ADEF1AB"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1,12</w:t>
                  </w:r>
                </w:p>
              </w:tc>
            </w:tr>
            <w:tr w:rsidR="009D7488" w:rsidRPr="009D7488" w14:paraId="492B83F5" w14:textId="77777777" w:rsidTr="00234581">
              <w:trPr>
                <w:trHeight w:val="290"/>
              </w:trPr>
              <w:tc>
                <w:tcPr>
                  <w:tcW w:w="1877" w:type="dxa"/>
                  <w:tcBorders>
                    <w:top w:val="nil"/>
                    <w:left w:val="nil"/>
                    <w:bottom w:val="nil"/>
                    <w:right w:val="nil"/>
                  </w:tcBorders>
                  <w:shd w:val="clear" w:color="auto" w:fill="auto"/>
                  <w:noWrap/>
                  <w:vAlign w:val="center"/>
                  <w:hideMark/>
                </w:tcPr>
                <w:p w14:paraId="032482FA" w14:textId="77777777" w:rsidR="009D7488" w:rsidRPr="009D7488" w:rsidRDefault="009D7488" w:rsidP="009D7488">
                  <w:pPr>
                    <w:spacing w:after="0" w:line="240" w:lineRule="auto"/>
                    <w:jc w:val="left"/>
                    <w:rPr>
                      <w:rFonts w:eastAsia="Times New Roman" w:cs="Times New Roman"/>
                      <w:color w:val="000000"/>
                      <w:sz w:val="16"/>
                      <w:szCs w:val="16"/>
                      <w:lang w:eastAsia="sk-SK"/>
                    </w:rPr>
                  </w:pPr>
                  <w:r w:rsidRPr="009D7488">
                    <w:rPr>
                      <w:rFonts w:eastAsia="Times New Roman" w:cs="Times New Roman"/>
                      <w:color w:val="000000"/>
                      <w:sz w:val="16"/>
                      <w:szCs w:val="16"/>
                      <w:lang w:eastAsia="sk-SK"/>
                    </w:rPr>
                    <w:t>D3 - Žilina Brodno - Kysucké Nové Mesto</w:t>
                  </w:r>
                </w:p>
              </w:tc>
              <w:tc>
                <w:tcPr>
                  <w:tcW w:w="992" w:type="dxa"/>
                  <w:tcBorders>
                    <w:top w:val="nil"/>
                    <w:left w:val="nil"/>
                    <w:bottom w:val="nil"/>
                    <w:right w:val="nil"/>
                  </w:tcBorders>
                  <w:shd w:val="clear" w:color="auto" w:fill="auto"/>
                  <w:noWrap/>
                  <w:vAlign w:val="center"/>
                  <w:hideMark/>
                </w:tcPr>
                <w:p w14:paraId="2AC15AEE" w14:textId="77777777" w:rsidR="009D7488" w:rsidRPr="009D7488" w:rsidRDefault="009D7488" w:rsidP="009D7488">
                  <w:pPr>
                    <w:spacing w:after="0" w:line="240" w:lineRule="auto"/>
                    <w:jc w:val="center"/>
                    <w:rPr>
                      <w:rFonts w:eastAsia="Times New Roman" w:cs="Times New Roman"/>
                      <w:color w:val="000000"/>
                      <w:sz w:val="16"/>
                      <w:szCs w:val="16"/>
                      <w:lang w:eastAsia="sk-SK"/>
                    </w:rPr>
                  </w:pPr>
                  <w:r w:rsidRPr="009D7488">
                    <w:rPr>
                      <w:rFonts w:eastAsia="Times New Roman" w:cs="Times New Roman"/>
                      <w:color w:val="000000"/>
                      <w:sz w:val="16"/>
                      <w:szCs w:val="16"/>
                      <w:lang w:eastAsia="sk-SK"/>
                    </w:rPr>
                    <w:t>3</w:t>
                  </w:r>
                </w:p>
              </w:tc>
              <w:tc>
                <w:tcPr>
                  <w:tcW w:w="567" w:type="dxa"/>
                  <w:tcBorders>
                    <w:top w:val="nil"/>
                    <w:left w:val="nil"/>
                    <w:bottom w:val="nil"/>
                    <w:right w:val="nil"/>
                  </w:tcBorders>
                  <w:shd w:val="clear" w:color="auto" w:fill="auto"/>
                  <w:noWrap/>
                  <w:vAlign w:val="center"/>
                  <w:hideMark/>
                </w:tcPr>
                <w:p w14:paraId="270ACB38" w14:textId="77777777" w:rsidR="009D7488" w:rsidRPr="009D7488" w:rsidRDefault="009D7488" w:rsidP="009D7488">
                  <w:pPr>
                    <w:spacing w:after="0" w:line="240" w:lineRule="auto"/>
                    <w:jc w:val="center"/>
                    <w:rPr>
                      <w:rFonts w:eastAsia="Times New Roman" w:cs="Times New Roman"/>
                      <w:color w:val="000000"/>
                      <w:sz w:val="16"/>
                      <w:szCs w:val="16"/>
                      <w:lang w:eastAsia="sk-SK"/>
                    </w:rPr>
                  </w:pPr>
                  <w:r w:rsidRPr="009D7488">
                    <w:rPr>
                      <w:rFonts w:eastAsia="Times New Roman" w:cs="Times New Roman"/>
                      <w:color w:val="000000"/>
                      <w:sz w:val="16"/>
                      <w:szCs w:val="16"/>
                      <w:lang w:eastAsia="sk-SK"/>
                    </w:rPr>
                    <w:t>Áno</w:t>
                  </w:r>
                </w:p>
              </w:tc>
              <w:tc>
                <w:tcPr>
                  <w:tcW w:w="851" w:type="dxa"/>
                  <w:tcBorders>
                    <w:top w:val="nil"/>
                    <w:left w:val="nil"/>
                    <w:bottom w:val="nil"/>
                    <w:right w:val="nil"/>
                  </w:tcBorders>
                  <w:shd w:val="clear" w:color="auto" w:fill="auto"/>
                  <w:noWrap/>
                  <w:vAlign w:val="center"/>
                  <w:hideMark/>
                </w:tcPr>
                <w:p w14:paraId="6422E009"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114%</w:t>
                  </w:r>
                </w:p>
              </w:tc>
              <w:tc>
                <w:tcPr>
                  <w:tcW w:w="850" w:type="dxa"/>
                  <w:tcBorders>
                    <w:top w:val="nil"/>
                    <w:left w:val="nil"/>
                    <w:bottom w:val="nil"/>
                    <w:right w:val="nil"/>
                  </w:tcBorders>
                  <w:shd w:val="clear" w:color="auto" w:fill="auto"/>
                  <w:noWrap/>
                  <w:vAlign w:val="center"/>
                  <w:hideMark/>
                </w:tcPr>
                <w:p w14:paraId="28F9980E"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383,5</w:t>
                  </w:r>
                </w:p>
              </w:tc>
              <w:tc>
                <w:tcPr>
                  <w:tcW w:w="567" w:type="dxa"/>
                  <w:tcBorders>
                    <w:top w:val="nil"/>
                    <w:left w:val="nil"/>
                    <w:bottom w:val="nil"/>
                    <w:right w:val="nil"/>
                  </w:tcBorders>
                  <w:shd w:val="clear" w:color="auto" w:fill="auto"/>
                  <w:noWrap/>
                  <w:vAlign w:val="center"/>
                  <w:hideMark/>
                </w:tcPr>
                <w:p w14:paraId="0A4B2250"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11,2</w:t>
                  </w:r>
                </w:p>
              </w:tc>
              <w:tc>
                <w:tcPr>
                  <w:tcW w:w="851" w:type="dxa"/>
                  <w:tcBorders>
                    <w:top w:val="nil"/>
                    <w:left w:val="nil"/>
                    <w:bottom w:val="nil"/>
                    <w:right w:val="nil"/>
                  </w:tcBorders>
                  <w:shd w:val="clear" w:color="auto" w:fill="auto"/>
                  <w:noWrap/>
                  <w:vAlign w:val="center"/>
                  <w:hideMark/>
                </w:tcPr>
                <w:p w14:paraId="7F7006A3" w14:textId="77777777" w:rsidR="009D7488" w:rsidRPr="009D7488" w:rsidRDefault="009D7488" w:rsidP="009D7488">
                  <w:pPr>
                    <w:spacing w:after="0" w:line="240" w:lineRule="auto"/>
                    <w:jc w:val="center"/>
                    <w:rPr>
                      <w:rFonts w:eastAsia="Times New Roman" w:cs="Times New Roman"/>
                      <w:color w:val="000000"/>
                      <w:sz w:val="16"/>
                      <w:szCs w:val="16"/>
                      <w:lang w:eastAsia="sk-SK"/>
                    </w:rPr>
                  </w:pPr>
                  <w:r w:rsidRPr="009D7488">
                    <w:rPr>
                      <w:rFonts w:eastAsia="Times New Roman" w:cs="Times New Roman"/>
                      <w:color w:val="000000"/>
                      <w:sz w:val="16"/>
                      <w:szCs w:val="16"/>
                      <w:lang w:eastAsia="sk-SK"/>
                    </w:rPr>
                    <w:t>4</w:t>
                  </w:r>
                </w:p>
              </w:tc>
              <w:tc>
                <w:tcPr>
                  <w:tcW w:w="443" w:type="dxa"/>
                  <w:tcBorders>
                    <w:top w:val="nil"/>
                    <w:left w:val="nil"/>
                    <w:bottom w:val="nil"/>
                    <w:right w:val="nil"/>
                  </w:tcBorders>
                  <w:shd w:val="clear" w:color="auto" w:fill="auto"/>
                  <w:noWrap/>
                  <w:vAlign w:val="center"/>
                  <w:hideMark/>
                </w:tcPr>
                <w:p w14:paraId="07BBA889" w14:textId="77777777" w:rsidR="009D7488" w:rsidRPr="009D7488" w:rsidRDefault="009D7488" w:rsidP="009D7488">
                  <w:pPr>
                    <w:spacing w:after="0" w:line="240" w:lineRule="auto"/>
                    <w:jc w:val="center"/>
                    <w:rPr>
                      <w:rFonts w:eastAsia="Times New Roman" w:cs="Times New Roman"/>
                      <w:color w:val="000000"/>
                      <w:sz w:val="16"/>
                      <w:szCs w:val="16"/>
                      <w:lang w:eastAsia="sk-SK"/>
                    </w:rPr>
                  </w:pPr>
                  <w:r w:rsidRPr="009D7488">
                    <w:rPr>
                      <w:rFonts w:eastAsia="Times New Roman" w:cs="Times New Roman"/>
                      <w:color w:val="000000"/>
                      <w:sz w:val="16"/>
                      <w:szCs w:val="16"/>
                      <w:lang w:eastAsia="sk-SK"/>
                    </w:rPr>
                    <w:t>ÚR</w:t>
                  </w:r>
                </w:p>
              </w:tc>
              <w:tc>
                <w:tcPr>
                  <w:tcW w:w="850" w:type="dxa"/>
                  <w:tcBorders>
                    <w:top w:val="nil"/>
                    <w:left w:val="nil"/>
                    <w:bottom w:val="nil"/>
                    <w:right w:val="nil"/>
                  </w:tcBorders>
                  <w:shd w:val="clear" w:color="auto" w:fill="auto"/>
                  <w:noWrap/>
                  <w:vAlign w:val="center"/>
                  <w:hideMark/>
                </w:tcPr>
                <w:p w14:paraId="453D3310"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0,93</w:t>
                  </w:r>
                </w:p>
              </w:tc>
              <w:tc>
                <w:tcPr>
                  <w:tcW w:w="993" w:type="dxa"/>
                  <w:tcBorders>
                    <w:top w:val="nil"/>
                    <w:left w:val="nil"/>
                    <w:bottom w:val="nil"/>
                    <w:right w:val="nil"/>
                  </w:tcBorders>
                  <w:shd w:val="clear" w:color="auto" w:fill="auto"/>
                  <w:noWrap/>
                  <w:vAlign w:val="center"/>
                  <w:hideMark/>
                </w:tcPr>
                <w:p w14:paraId="57DCB57E"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0,6</w:t>
                  </w:r>
                </w:p>
              </w:tc>
            </w:tr>
            <w:tr w:rsidR="009D7488" w:rsidRPr="009D7488" w14:paraId="7C4FA7D3" w14:textId="77777777" w:rsidTr="00234581">
              <w:trPr>
                <w:trHeight w:val="290"/>
              </w:trPr>
              <w:tc>
                <w:tcPr>
                  <w:tcW w:w="1877" w:type="dxa"/>
                  <w:tcBorders>
                    <w:top w:val="nil"/>
                    <w:left w:val="nil"/>
                    <w:bottom w:val="nil"/>
                    <w:right w:val="nil"/>
                  </w:tcBorders>
                  <w:shd w:val="clear" w:color="auto" w:fill="auto"/>
                  <w:noWrap/>
                  <w:vAlign w:val="center"/>
                  <w:hideMark/>
                </w:tcPr>
                <w:p w14:paraId="25721809" w14:textId="77777777" w:rsidR="009D7488" w:rsidRPr="009D7488" w:rsidRDefault="009D7488" w:rsidP="009D7488">
                  <w:pPr>
                    <w:spacing w:after="0" w:line="240" w:lineRule="auto"/>
                    <w:jc w:val="left"/>
                    <w:rPr>
                      <w:rFonts w:eastAsia="Times New Roman" w:cs="Times New Roman"/>
                      <w:color w:val="000000"/>
                      <w:sz w:val="16"/>
                      <w:szCs w:val="16"/>
                      <w:lang w:eastAsia="sk-SK"/>
                    </w:rPr>
                  </w:pPr>
                  <w:r w:rsidRPr="009D7488">
                    <w:rPr>
                      <w:rFonts w:eastAsia="Times New Roman" w:cs="Times New Roman"/>
                      <w:color w:val="000000"/>
                      <w:sz w:val="16"/>
                      <w:szCs w:val="16"/>
                      <w:lang w:eastAsia="sk-SK"/>
                    </w:rPr>
                    <w:t>D3 - Oščadnica - Čadca Bukov, 2. profil</w:t>
                  </w:r>
                </w:p>
              </w:tc>
              <w:tc>
                <w:tcPr>
                  <w:tcW w:w="992" w:type="dxa"/>
                  <w:tcBorders>
                    <w:top w:val="nil"/>
                    <w:left w:val="nil"/>
                    <w:bottom w:val="nil"/>
                    <w:right w:val="nil"/>
                  </w:tcBorders>
                  <w:shd w:val="clear" w:color="auto" w:fill="auto"/>
                  <w:noWrap/>
                  <w:vAlign w:val="center"/>
                  <w:hideMark/>
                </w:tcPr>
                <w:p w14:paraId="2510D66E" w14:textId="77777777" w:rsidR="009D7488" w:rsidRPr="009D7488" w:rsidRDefault="009D7488" w:rsidP="009D7488">
                  <w:pPr>
                    <w:spacing w:after="0" w:line="240" w:lineRule="auto"/>
                    <w:jc w:val="center"/>
                    <w:rPr>
                      <w:rFonts w:eastAsia="Times New Roman" w:cs="Times New Roman"/>
                      <w:color w:val="000000"/>
                      <w:sz w:val="16"/>
                      <w:szCs w:val="16"/>
                      <w:lang w:eastAsia="sk-SK"/>
                    </w:rPr>
                  </w:pPr>
                  <w:r w:rsidRPr="009D7488">
                    <w:rPr>
                      <w:rFonts w:eastAsia="Times New Roman" w:cs="Times New Roman"/>
                      <w:color w:val="000000"/>
                      <w:sz w:val="16"/>
                      <w:szCs w:val="16"/>
                      <w:lang w:eastAsia="sk-SK"/>
                    </w:rPr>
                    <w:t>4</w:t>
                  </w:r>
                </w:p>
              </w:tc>
              <w:tc>
                <w:tcPr>
                  <w:tcW w:w="567" w:type="dxa"/>
                  <w:tcBorders>
                    <w:top w:val="nil"/>
                    <w:left w:val="nil"/>
                    <w:bottom w:val="nil"/>
                    <w:right w:val="nil"/>
                  </w:tcBorders>
                  <w:shd w:val="clear" w:color="auto" w:fill="auto"/>
                  <w:noWrap/>
                  <w:vAlign w:val="center"/>
                  <w:hideMark/>
                </w:tcPr>
                <w:p w14:paraId="7FAAA808" w14:textId="77777777" w:rsidR="009D7488" w:rsidRPr="009D7488" w:rsidRDefault="009D7488" w:rsidP="009D7488">
                  <w:pPr>
                    <w:spacing w:after="0" w:line="240" w:lineRule="auto"/>
                    <w:jc w:val="center"/>
                    <w:rPr>
                      <w:rFonts w:eastAsia="Times New Roman" w:cs="Times New Roman"/>
                      <w:color w:val="000000"/>
                      <w:sz w:val="16"/>
                      <w:szCs w:val="16"/>
                      <w:lang w:eastAsia="sk-SK"/>
                    </w:rPr>
                  </w:pPr>
                  <w:r w:rsidRPr="009D7488">
                    <w:rPr>
                      <w:rFonts w:eastAsia="Times New Roman" w:cs="Times New Roman"/>
                      <w:color w:val="000000"/>
                      <w:sz w:val="16"/>
                      <w:szCs w:val="16"/>
                      <w:lang w:eastAsia="sk-SK"/>
                    </w:rPr>
                    <w:t>Áno</w:t>
                  </w:r>
                </w:p>
              </w:tc>
              <w:tc>
                <w:tcPr>
                  <w:tcW w:w="851" w:type="dxa"/>
                  <w:tcBorders>
                    <w:top w:val="nil"/>
                    <w:left w:val="nil"/>
                    <w:bottom w:val="nil"/>
                    <w:right w:val="nil"/>
                  </w:tcBorders>
                  <w:shd w:val="clear" w:color="auto" w:fill="auto"/>
                  <w:noWrap/>
                  <w:vAlign w:val="center"/>
                  <w:hideMark/>
                </w:tcPr>
                <w:p w14:paraId="50FD3B2F"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94%</w:t>
                  </w:r>
                </w:p>
              </w:tc>
              <w:tc>
                <w:tcPr>
                  <w:tcW w:w="850" w:type="dxa"/>
                  <w:tcBorders>
                    <w:top w:val="nil"/>
                    <w:left w:val="nil"/>
                    <w:bottom w:val="nil"/>
                    <w:right w:val="nil"/>
                  </w:tcBorders>
                  <w:shd w:val="clear" w:color="auto" w:fill="auto"/>
                  <w:noWrap/>
                  <w:vAlign w:val="center"/>
                  <w:hideMark/>
                </w:tcPr>
                <w:p w14:paraId="1DD452B8"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101,1</w:t>
                  </w:r>
                </w:p>
              </w:tc>
              <w:tc>
                <w:tcPr>
                  <w:tcW w:w="567" w:type="dxa"/>
                  <w:tcBorders>
                    <w:top w:val="nil"/>
                    <w:left w:val="nil"/>
                    <w:bottom w:val="nil"/>
                    <w:right w:val="nil"/>
                  </w:tcBorders>
                  <w:shd w:val="clear" w:color="auto" w:fill="auto"/>
                  <w:noWrap/>
                  <w:vAlign w:val="center"/>
                  <w:hideMark/>
                </w:tcPr>
                <w:p w14:paraId="75760BBF"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4</w:t>
                  </w:r>
                </w:p>
              </w:tc>
              <w:tc>
                <w:tcPr>
                  <w:tcW w:w="851" w:type="dxa"/>
                  <w:tcBorders>
                    <w:top w:val="nil"/>
                    <w:left w:val="nil"/>
                    <w:bottom w:val="nil"/>
                    <w:right w:val="nil"/>
                  </w:tcBorders>
                  <w:shd w:val="clear" w:color="auto" w:fill="auto"/>
                  <w:noWrap/>
                  <w:vAlign w:val="center"/>
                  <w:hideMark/>
                </w:tcPr>
                <w:p w14:paraId="4CAD9359" w14:textId="77777777" w:rsidR="009D7488" w:rsidRPr="009D7488" w:rsidRDefault="009D7488" w:rsidP="009D7488">
                  <w:pPr>
                    <w:spacing w:after="0" w:line="240" w:lineRule="auto"/>
                    <w:jc w:val="center"/>
                    <w:rPr>
                      <w:rFonts w:eastAsia="Times New Roman" w:cs="Times New Roman"/>
                      <w:color w:val="000000"/>
                      <w:sz w:val="16"/>
                      <w:szCs w:val="16"/>
                      <w:lang w:eastAsia="sk-SK"/>
                    </w:rPr>
                  </w:pPr>
                  <w:r w:rsidRPr="009D7488">
                    <w:rPr>
                      <w:rFonts w:eastAsia="Times New Roman" w:cs="Times New Roman"/>
                      <w:color w:val="000000"/>
                      <w:sz w:val="16"/>
                      <w:szCs w:val="16"/>
                      <w:lang w:eastAsia="sk-SK"/>
                    </w:rPr>
                    <w:t>4</w:t>
                  </w:r>
                </w:p>
              </w:tc>
              <w:tc>
                <w:tcPr>
                  <w:tcW w:w="443" w:type="dxa"/>
                  <w:tcBorders>
                    <w:top w:val="nil"/>
                    <w:left w:val="nil"/>
                    <w:bottom w:val="nil"/>
                    <w:right w:val="nil"/>
                  </w:tcBorders>
                  <w:shd w:val="clear" w:color="auto" w:fill="auto"/>
                  <w:noWrap/>
                  <w:vAlign w:val="center"/>
                  <w:hideMark/>
                </w:tcPr>
                <w:p w14:paraId="39FAAC00" w14:textId="77777777" w:rsidR="009D7488" w:rsidRPr="009D7488" w:rsidRDefault="009D7488" w:rsidP="009D7488">
                  <w:pPr>
                    <w:spacing w:after="0" w:line="240" w:lineRule="auto"/>
                    <w:jc w:val="center"/>
                    <w:rPr>
                      <w:rFonts w:eastAsia="Times New Roman" w:cs="Times New Roman"/>
                      <w:color w:val="000000"/>
                      <w:sz w:val="16"/>
                      <w:szCs w:val="16"/>
                      <w:lang w:eastAsia="sk-SK"/>
                    </w:rPr>
                  </w:pPr>
                  <w:r w:rsidRPr="009D7488">
                    <w:rPr>
                      <w:rFonts w:eastAsia="Times New Roman" w:cs="Times New Roman"/>
                      <w:color w:val="000000"/>
                      <w:sz w:val="16"/>
                      <w:szCs w:val="16"/>
                      <w:lang w:eastAsia="sk-SK"/>
                    </w:rPr>
                    <w:t>ÚR</w:t>
                  </w:r>
                </w:p>
              </w:tc>
              <w:tc>
                <w:tcPr>
                  <w:tcW w:w="850" w:type="dxa"/>
                  <w:tcBorders>
                    <w:top w:val="nil"/>
                    <w:left w:val="nil"/>
                    <w:bottom w:val="nil"/>
                    <w:right w:val="nil"/>
                  </w:tcBorders>
                  <w:shd w:val="clear" w:color="auto" w:fill="auto"/>
                  <w:noWrap/>
                  <w:vAlign w:val="center"/>
                  <w:hideMark/>
                </w:tcPr>
                <w:p w14:paraId="60A560B4"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0,86</w:t>
                  </w:r>
                </w:p>
              </w:tc>
              <w:tc>
                <w:tcPr>
                  <w:tcW w:w="993" w:type="dxa"/>
                  <w:tcBorders>
                    <w:top w:val="nil"/>
                    <w:left w:val="nil"/>
                    <w:bottom w:val="nil"/>
                    <w:right w:val="nil"/>
                  </w:tcBorders>
                  <w:shd w:val="clear" w:color="auto" w:fill="auto"/>
                  <w:noWrap/>
                  <w:vAlign w:val="center"/>
                  <w:hideMark/>
                </w:tcPr>
                <w:p w14:paraId="437BB806"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0,29</w:t>
                  </w:r>
                </w:p>
              </w:tc>
            </w:tr>
            <w:tr w:rsidR="009D7488" w:rsidRPr="009D7488" w14:paraId="4F4D5669" w14:textId="77777777" w:rsidTr="00234581">
              <w:trPr>
                <w:trHeight w:val="290"/>
              </w:trPr>
              <w:tc>
                <w:tcPr>
                  <w:tcW w:w="1877" w:type="dxa"/>
                  <w:tcBorders>
                    <w:top w:val="nil"/>
                    <w:left w:val="nil"/>
                    <w:bottom w:val="nil"/>
                    <w:right w:val="nil"/>
                  </w:tcBorders>
                  <w:shd w:val="clear" w:color="auto" w:fill="auto"/>
                  <w:noWrap/>
                  <w:vAlign w:val="center"/>
                  <w:hideMark/>
                </w:tcPr>
                <w:p w14:paraId="16E64E34" w14:textId="77777777" w:rsidR="009D7488" w:rsidRPr="009D7488" w:rsidRDefault="009D7488" w:rsidP="009D7488">
                  <w:pPr>
                    <w:spacing w:after="0" w:line="240" w:lineRule="auto"/>
                    <w:jc w:val="left"/>
                    <w:rPr>
                      <w:rFonts w:eastAsia="Times New Roman" w:cs="Times New Roman"/>
                      <w:color w:val="000000"/>
                      <w:sz w:val="16"/>
                      <w:szCs w:val="16"/>
                      <w:lang w:eastAsia="sk-SK"/>
                    </w:rPr>
                  </w:pPr>
                  <w:r w:rsidRPr="009D7488">
                    <w:rPr>
                      <w:rFonts w:eastAsia="Times New Roman" w:cs="Times New Roman"/>
                      <w:color w:val="000000"/>
                      <w:sz w:val="16"/>
                      <w:szCs w:val="16"/>
                      <w:lang w:eastAsia="sk-SK"/>
                    </w:rPr>
                    <w:t>R4 - Lipníky - Kapušany</w:t>
                  </w:r>
                </w:p>
              </w:tc>
              <w:tc>
                <w:tcPr>
                  <w:tcW w:w="992" w:type="dxa"/>
                  <w:tcBorders>
                    <w:top w:val="nil"/>
                    <w:left w:val="nil"/>
                    <w:bottom w:val="nil"/>
                    <w:right w:val="nil"/>
                  </w:tcBorders>
                  <w:shd w:val="clear" w:color="auto" w:fill="auto"/>
                  <w:noWrap/>
                  <w:vAlign w:val="center"/>
                  <w:hideMark/>
                </w:tcPr>
                <w:p w14:paraId="1C52E0CF" w14:textId="77777777" w:rsidR="009D7488" w:rsidRPr="009D7488" w:rsidRDefault="009D7488" w:rsidP="009D7488">
                  <w:pPr>
                    <w:spacing w:after="0" w:line="240" w:lineRule="auto"/>
                    <w:jc w:val="center"/>
                    <w:rPr>
                      <w:rFonts w:eastAsia="Times New Roman" w:cs="Times New Roman"/>
                      <w:color w:val="000000"/>
                      <w:sz w:val="16"/>
                      <w:szCs w:val="16"/>
                      <w:lang w:eastAsia="sk-SK"/>
                    </w:rPr>
                  </w:pPr>
                  <w:r w:rsidRPr="009D7488">
                    <w:rPr>
                      <w:rFonts w:eastAsia="Times New Roman" w:cs="Times New Roman"/>
                      <w:color w:val="000000"/>
                      <w:sz w:val="16"/>
                      <w:szCs w:val="16"/>
                      <w:lang w:eastAsia="sk-SK"/>
                    </w:rPr>
                    <w:t>5</w:t>
                  </w:r>
                </w:p>
              </w:tc>
              <w:tc>
                <w:tcPr>
                  <w:tcW w:w="567" w:type="dxa"/>
                  <w:tcBorders>
                    <w:top w:val="nil"/>
                    <w:left w:val="nil"/>
                    <w:bottom w:val="nil"/>
                    <w:right w:val="nil"/>
                  </w:tcBorders>
                  <w:shd w:val="clear" w:color="auto" w:fill="auto"/>
                  <w:noWrap/>
                  <w:vAlign w:val="center"/>
                  <w:hideMark/>
                </w:tcPr>
                <w:p w14:paraId="03715A88" w14:textId="77777777" w:rsidR="009D7488" w:rsidRPr="009D7488" w:rsidRDefault="009D7488" w:rsidP="009D7488">
                  <w:pPr>
                    <w:spacing w:after="0" w:line="240" w:lineRule="auto"/>
                    <w:jc w:val="center"/>
                    <w:rPr>
                      <w:rFonts w:eastAsia="Times New Roman" w:cs="Times New Roman"/>
                      <w:color w:val="000000"/>
                      <w:sz w:val="16"/>
                      <w:szCs w:val="16"/>
                      <w:lang w:eastAsia="sk-SK"/>
                    </w:rPr>
                  </w:pPr>
                  <w:r w:rsidRPr="009D7488">
                    <w:rPr>
                      <w:rFonts w:eastAsia="Times New Roman" w:cs="Times New Roman"/>
                      <w:color w:val="000000"/>
                      <w:sz w:val="16"/>
                      <w:szCs w:val="16"/>
                      <w:lang w:eastAsia="sk-SK"/>
                    </w:rPr>
                    <w:t>Nie</w:t>
                  </w:r>
                </w:p>
              </w:tc>
              <w:tc>
                <w:tcPr>
                  <w:tcW w:w="851" w:type="dxa"/>
                  <w:tcBorders>
                    <w:top w:val="nil"/>
                    <w:left w:val="nil"/>
                    <w:bottom w:val="nil"/>
                    <w:right w:val="nil"/>
                  </w:tcBorders>
                  <w:shd w:val="clear" w:color="auto" w:fill="auto"/>
                  <w:noWrap/>
                  <w:vAlign w:val="center"/>
                  <w:hideMark/>
                </w:tcPr>
                <w:p w14:paraId="2EAAD319"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103%</w:t>
                  </w:r>
                </w:p>
              </w:tc>
              <w:tc>
                <w:tcPr>
                  <w:tcW w:w="850" w:type="dxa"/>
                  <w:tcBorders>
                    <w:top w:val="nil"/>
                    <w:left w:val="nil"/>
                    <w:bottom w:val="nil"/>
                    <w:right w:val="nil"/>
                  </w:tcBorders>
                  <w:shd w:val="clear" w:color="auto" w:fill="auto"/>
                  <w:noWrap/>
                  <w:vAlign w:val="center"/>
                  <w:hideMark/>
                </w:tcPr>
                <w:p w14:paraId="6A7128B1"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100</w:t>
                  </w:r>
                </w:p>
              </w:tc>
              <w:tc>
                <w:tcPr>
                  <w:tcW w:w="567" w:type="dxa"/>
                  <w:tcBorders>
                    <w:top w:val="nil"/>
                    <w:left w:val="nil"/>
                    <w:bottom w:val="nil"/>
                    <w:right w:val="nil"/>
                  </w:tcBorders>
                  <w:shd w:val="clear" w:color="auto" w:fill="auto"/>
                  <w:noWrap/>
                  <w:vAlign w:val="center"/>
                  <w:hideMark/>
                </w:tcPr>
                <w:p w14:paraId="1232FA80"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4</w:t>
                  </w:r>
                </w:p>
              </w:tc>
              <w:tc>
                <w:tcPr>
                  <w:tcW w:w="851" w:type="dxa"/>
                  <w:tcBorders>
                    <w:top w:val="nil"/>
                    <w:left w:val="nil"/>
                    <w:bottom w:val="nil"/>
                    <w:right w:val="nil"/>
                  </w:tcBorders>
                  <w:shd w:val="clear" w:color="auto" w:fill="auto"/>
                  <w:noWrap/>
                  <w:vAlign w:val="center"/>
                  <w:hideMark/>
                </w:tcPr>
                <w:p w14:paraId="48C0BF11" w14:textId="77777777" w:rsidR="009D7488" w:rsidRPr="009D7488" w:rsidRDefault="009D7488" w:rsidP="009D7488">
                  <w:pPr>
                    <w:spacing w:after="0" w:line="240" w:lineRule="auto"/>
                    <w:jc w:val="center"/>
                    <w:rPr>
                      <w:rFonts w:eastAsia="Times New Roman" w:cs="Times New Roman"/>
                      <w:color w:val="000000"/>
                      <w:sz w:val="16"/>
                      <w:szCs w:val="16"/>
                      <w:lang w:eastAsia="sk-SK"/>
                    </w:rPr>
                  </w:pPr>
                  <w:r w:rsidRPr="009D7488">
                    <w:rPr>
                      <w:rFonts w:eastAsia="Times New Roman" w:cs="Times New Roman"/>
                      <w:color w:val="000000"/>
                      <w:sz w:val="16"/>
                      <w:szCs w:val="16"/>
                      <w:lang w:eastAsia="sk-SK"/>
                    </w:rPr>
                    <w:t>4</w:t>
                  </w:r>
                </w:p>
              </w:tc>
              <w:tc>
                <w:tcPr>
                  <w:tcW w:w="443" w:type="dxa"/>
                  <w:tcBorders>
                    <w:top w:val="nil"/>
                    <w:left w:val="nil"/>
                    <w:bottom w:val="nil"/>
                    <w:right w:val="nil"/>
                  </w:tcBorders>
                  <w:shd w:val="clear" w:color="auto" w:fill="auto"/>
                  <w:noWrap/>
                  <w:vAlign w:val="center"/>
                  <w:hideMark/>
                </w:tcPr>
                <w:p w14:paraId="256EBC5B" w14:textId="77777777" w:rsidR="009D7488" w:rsidRPr="009D7488" w:rsidRDefault="009D7488" w:rsidP="009D7488">
                  <w:pPr>
                    <w:spacing w:after="0" w:line="240" w:lineRule="auto"/>
                    <w:jc w:val="center"/>
                    <w:rPr>
                      <w:rFonts w:eastAsia="Times New Roman" w:cs="Times New Roman"/>
                      <w:color w:val="000000"/>
                      <w:sz w:val="16"/>
                      <w:szCs w:val="16"/>
                      <w:lang w:eastAsia="sk-SK"/>
                    </w:rPr>
                  </w:pPr>
                  <w:r w:rsidRPr="009D7488">
                    <w:rPr>
                      <w:rFonts w:eastAsia="Times New Roman" w:cs="Times New Roman"/>
                      <w:color w:val="000000"/>
                      <w:sz w:val="16"/>
                      <w:szCs w:val="16"/>
                      <w:lang w:eastAsia="sk-SK"/>
                    </w:rPr>
                    <w:t>DÚR</w:t>
                  </w:r>
                </w:p>
              </w:tc>
              <w:tc>
                <w:tcPr>
                  <w:tcW w:w="850" w:type="dxa"/>
                  <w:tcBorders>
                    <w:top w:val="nil"/>
                    <w:left w:val="nil"/>
                    <w:bottom w:val="nil"/>
                    <w:right w:val="nil"/>
                  </w:tcBorders>
                  <w:shd w:val="clear" w:color="auto" w:fill="auto"/>
                  <w:noWrap/>
                  <w:vAlign w:val="center"/>
                  <w:hideMark/>
                </w:tcPr>
                <w:p w14:paraId="243CA5FC"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0,78</w:t>
                  </w:r>
                </w:p>
              </w:tc>
              <w:tc>
                <w:tcPr>
                  <w:tcW w:w="993" w:type="dxa"/>
                  <w:tcBorders>
                    <w:top w:val="nil"/>
                    <w:left w:val="nil"/>
                    <w:bottom w:val="nil"/>
                    <w:right w:val="nil"/>
                  </w:tcBorders>
                  <w:shd w:val="clear" w:color="auto" w:fill="auto"/>
                  <w:noWrap/>
                  <w:vAlign w:val="center"/>
                  <w:hideMark/>
                </w:tcPr>
                <w:p w14:paraId="45B86D7E"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0,2</w:t>
                  </w:r>
                </w:p>
              </w:tc>
            </w:tr>
            <w:tr w:rsidR="009D7488" w:rsidRPr="009D7488" w14:paraId="040EFD92" w14:textId="77777777" w:rsidTr="00234581">
              <w:trPr>
                <w:trHeight w:val="290"/>
              </w:trPr>
              <w:tc>
                <w:tcPr>
                  <w:tcW w:w="1877" w:type="dxa"/>
                  <w:tcBorders>
                    <w:top w:val="nil"/>
                    <w:left w:val="nil"/>
                    <w:bottom w:val="nil"/>
                    <w:right w:val="nil"/>
                  </w:tcBorders>
                  <w:shd w:val="clear" w:color="auto" w:fill="auto"/>
                  <w:noWrap/>
                  <w:vAlign w:val="center"/>
                  <w:hideMark/>
                </w:tcPr>
                <w:p w14:paraId="64F8D99A" w14:textId="77777777" w:rsidR="009D7488" w:rsidRPr="009D7488" w:rsidRDefault="009D7488" w:rsidP="009D7488">
                  <w:pPr>
                    <w:spacing w:after="0" w:line="240" w:lineRule="auto"/>
                    <w:jc w:val="left"/>
                    <w:rPr>
                      <w:rFonts w:eastAsia="Times New Roman" w:cs="Times New Roman"/>
                      <w:color w:val="000000"/>
                      <w:sz w:val="16"/>
                      <w:szCs w:val="16"/>
                      <w:lang w:eastAsia="sk-SK"/>
                    </w:rPr>
                  </w:pPr>
                  <w:r w:rsidRPr="009D7488">
                    <w:rPr>
                      <w:rFonts w:eastAsia="Times New Roman" w:cs="Times New Roman"/>
                      <w:color w:val="000000"/>
                      <w:sz w:val="16"/>
                      <w:szCs w:val="16"/>
                      <w:lang w:eastAsia="sk-SK"/>
                    </w:rPr>
                    <w:t>I/66 Poprad - Huncovce, preložka</w:t>
                  </w:r>
                </w:p>
              </w:tc>
              <w:tc>
                <w:tcPr>
                  <w:tcW w:w="992" w:type="dxa"/>
                  <w:tcBorders>
                    <w:top w:val="nil"/>
                    <w:left w:val="nil"/>
                    <w:bottom w:val="nil"/>
                    <w:right w:val="nil"/>
                  </w:tcBorders>
                  <w:shd w:val="clear" w:color="auto" w:fill="auto"/>
                  <w:noWrap/>
                  <w:vAlign w:val="center"/>
                  <w:hideMark/>
                </w:tcPr>
                <w:p w14:paraId="39C0D285" w14:textId="77777777" w:rsidR="009D7488" w:rsidRPr="009D7488" w:rsidRDefault="009D7488" w:rsidP="009D7488">
                  <w:pPr>
                    <w:spacing w:after="0" w:line="240" w:lineRule="auto"/>
                    <w:jc w:val="center"/>
                    <w:rPr>
                      <w:rFonts w:eastAsia="Times New Roman" w:cs="Times New Roman"/>
                      <w:color w:val="000000"/>
                      <w:sz w:val="16"/>
                      <w:szCs w:val="16"/>
                      <w:lang w:eastAsia="sk-SK"/>
                    </w:rPr>
                  </w:pPr>
                  <w:r w:rsidRPr="009D7488">
                    <w:rPr>
                      <w:rFonts w:eastAsia="Times New Roman" w:cs="Times New Roman"/>
                      <w:color w:val="000000"/>
                      <w:sz w:val="16"/>
                      <w:szCs w:val="16"/>
                      <w:lang w:eastAsia="sk-SK"/>
                    </w:rPr>
                    <w:t>6</w:t>
                  </w:r>
                </w:p>
              </w:tc>
              <w:tc>
                <w:tcPr>
                  <w:tcW w:w="567" w:type="dxa"/>
                  <w:tcBorders>
                    <w:top w:val="nil"/>
                    <w:left w:val="nil"/>
                    <w:bottom w:val="nil"/>
                    <w:right w:val="nil"/>
                  </w:tcBorders>
                  <w:shd w:val="clear" w:color="auto" w:fill="auto"/>
                  <w:noWrap/>
                  <w:vAlign w:val="center"/>
                  <w:hideMark/>
                </w:tcPr>
                <w:p w14:paraId="34B5BEBB" w14:textId="77777777" w:rsidR="009D7488" w:rsidRPr="009D7488" w:rsidRDefault="009D7488" w:rsidP="009D7488">
                  <w:pPr>
                    <w:spacing w:after="0" w:line="240" w:lineRule="auto"/>
                    <w:jc w:val="center"/>
                    <w:rPr>
                      <w:rFonts w:eastAsia="Times New Roman" w:cs="Times New Roman"/>
                      <w:color w:val="000000"/>
                      <w:sz w:val="16"/>
                      <w:szCs w:val="16"/>
                      <w:lang w:eastAsia="sk-SK"/>
                    </w:rPr>
                  </w:pPr>
                  <w:r w:rsidRPr="009D7488">
                    <w:rPr>
                      <w:rFonts w:eastAsia="Times New Roman" w:cs="Times New Roman"/>
                      <w:color w:val="000000"/>
                      <w:sz w:val="16"/>
                      <w:szCs w:val="16"/>
                      <w:lang w:eastAsia="sk-SK"/>
                    </w:rPr>
                    <w:t>Nie</w:t>
                  </w:r>
                </w:p>
              </w:tc>
              <w:tc>
                <w:tcPr>
                  <w:tcW w:w="851" w:type="dxa"/>
                  <w:tcBorders>
                    <w:top w:val="nil"/>
                    <w:left w:val="nil"/>
                    <w:bottom w:val="nil"/>
                    <w:right w:val="nil"/>
                  </w:tcBorders>
                  <w:shd w:val="clear" w:color="auto" w:fill="auto"/>
                  <w:noWrap/>
                  <w:vAlign w:val="center"/>
                  <w:hideMark/>
                </w:tcPr>
                <w:p w14:paraId="3B62DC1C"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99%</w:t>
                  </w:r>
                </w:p>
              </w:tc>
              <w:tc>
                <w:tcPr>
                  <w:tcW w:w="850" w:type="dxa"/>
                  <w:tcBorders>
                    <w:top w:val="nil"/>
                    <w:left w:val="nil"/>
                    <w:bottom w:val="nil"/>
                    <w:right w:val="nil"/>
                  </w:tcBorders>
                  <w:shd w:val="clear" w:color="auto" w:fill="auto"/>
                  <w:noWrap/>
                  <w:vAlign w:val="center"/>
                  <w:hideMark/>
                </w:tcPr>
                <w:p w14:paraId="5AA2DF49"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72,4</w:t>
                  </w:r>
                </w:p>
              </w:tc>
              <w:tc>
                <w:tcPr>
                  <w:tcW w:w="567" w:type="dxa"/>
                  <w:tcBorders>
                    <w:top w:val="nil"/>
                    <w:left w:val="nil"/>
                    <w:bottom w:val="nil"/>
                    <w:right w:val="nil"/>
                  </w:tcBorders>
                  <w:shd w:val="clear" w:color="auto" w:fill="auto"/>
                  <w:noWrap/>
                  <w:vAlign w:val="center"/>
                  <w:hideMark/>
                </w:tcPr>
                <w:p w14:paraId="355CC771"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5,6</w:t>
                  </w:r>
                </w:p>
              </w:tc>
              <w:tc>
                <w:tcPr>
                  <w:tcW w:w="851" w:type="dxa"/>
                  <w:tcBorders>
                    <w:top w:val="nil"/>
                    <w:left w:val="nil"/>
                    <w:bottom w:val="nil"/>
                    <w:right w:val="nil"/>
                  </w:tcBorders>
                  <w:shd w:val="clear" w:color="auto" w:fill="auto"/>
                  <w:noWrap/>
                  <w:vAlign w:val="center"/>
                  <w:hideMark/>
                </w:tcPr>
                <w:p w14:paraId="435BFE50" w14:textId="77777777" w:rsidR="009D7488" w:rsidRPr="009D7488" w:rsidRDefault="009D7488" w:rsidP="009D7488">
                  <w:pPr>
                    <w:spacing w:after="0" w:line="240" w:lineRule="auto"/>
                    <w:jc w:val="center"/>
                    <w:rPr>
                      <w:rFonts w:eastAsia="Times New Roman" w:cs="Times New Roman"/>
                      <w:color w:val="000000"/>
                      <w:sz w:val="16"/>
                      <w:szCs w:val="16"/>
                      <w:lang w:eastAsia="sk-SK"/>
                    </w:rPr>
                  </w:pPr>
                  <w:r w:rsidRPr="009D7488">
                    <w:rPr>
                      <w:rFonts w:eastAsia="Times New Roman" w:cs="Times New Roman"/>
                      <w:color w:val="000000"/>
                      <w:sz w:val="16"/>
                      <w:szCs w:val="16"/>
                      <w:lang w:eastAsia="sk-SK"/>
                    </w:rPr>
                    <w:t>4</w:t>
                  </w:r>
                </w:p>
              </w:tc>
              <w:tc>
                <w:tcPr>
                  <w:tcW w:w="443" w:type="dxa"/>
                  <w:tcBorders>
                    <w:top w:val="nil"/>
                    <w:left w:val="nil"/>
                    <w:bottom w:val="nil"/>
                    <w:right w:val="nil"/>
                  </w:tcBorders>
                  <w:shd w:val="clear" w:color="auto" w:fill="auto"/>
                  <w:noWrap/>
                  <w:vAlign w:val="center"/>
                  <w:hideMark/>
                </w:tcPr>
                <w:p w14:paraId="3B3808BF" w14:textId="77777777" w:rsidR="009D7488" w:rsidRPr="009D7488" w:rsidRDefault="009D7488" w:rsidP="009D7488">
                  <w:pPr>
                    <w:spacing w:after="0" w:line="240" w:lineRule="auto"/>
                    <w:jc w:val="center"/>
                    <w:rPr>
                      <w:rFonts w:eastAsia="Times New Roman" w:cs="Times New Roman"/>
                      <w:color w:val="000000"/>
                      <w:sz w:val="16"/>
                      <w:szCs w:val="16"/>
                      <w:lang w:eastAsia="sk-SK"/>
                    </w:rPr>
                  </w:pPr>
                  <w:r w:rsidRPr="009D7488">
                    <w:rPr>
                      <w:rFonts w:eastAsia="Times New Roman" w:cs="Times New Roman"/>
                      <w:color w:val="000000"/>
                      <w:sz w:val="16"/>
                      <w:szCs w:val="16"/>
                      <w:lang w:eastAsia="sk-SK"/>
                    </w:rPr>
                    <w:t>ÚR</w:t>
                  </w:r>
                </w:p>
              </w:tc>
              <w:tc>
                <w:tcPr>
                  <w:tcW w:w="850" w:type="dxa"/>
                  <w:tcBorders>
                    <w:top w:val="nil"/>
                    <w:left w:val="nil"/>
                    <w:bottom w:val="nil"/>
                    <w:right w:val="nil"/>
                  </w:tcBorders>
                  <w:shd w:val="clear" w:color="auto" w:fill="auto"/>
                  <w:noWrap/>
                  <w:vAlign w:val="center"/>
                  <w:hideMark/>
                </w:tcPr>
                <w:p w14:paraId="6FB45E60"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0,79</w:t>
                  </w:r>
                </w:p>
              </w:tc>
              <w:tc>
                <w:tcPr>
                  <w:tcW w:w="993" w:type="dxa"/>
                  <w:tcBorders>
                    <w:top w:val="nil"/>
                    <w:left w:val="nil"/>
                    <w:bottom w:val="nil"/>
                    <w:right w:val="nil"/>
                  </w:tcBorders>
                  <w:shd w:val="clear" w:color="auto" w:fill="auto"/>
                  <w:noWrap/>
                  <w:vAlign w:val="center"/>
                  <w:hideMark/>
                </w:tcPr>
                <w:p w14:paraId="759584A7"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0,18</w:t>
                  </w:r>
                </w:p>
              </w:tc>
            </w:tr>
            <w:tr w:rsidR="009D7488" w:rsidRPr="009D7488" w14:paraId="188406F3" w14:textId="77777777" w:rsidTr="00234581">
              <w:trPr>
                <w:trHeight w:val="290"/>
              </w:trPr>
              <w:tc>
                <w:tcPr>
                  <w:tcW w:w="1877" w:type="dxa"/>
                  <w:tcBorders>
                    <w:top w:val="nil"/>
                    <w:left w:val="nil"/>
                    <w:bottom w:val="nil"/>
                    <w:right w:val="nil"/>
                  </w:tcBorders>
                  <w:shd w:val="clear" w:color="auto" w:fill="auto"/>
                  <w:noWrap/>
                  <w:vAlign w:val="center"/>
                  <w:hideMark/>
                </w:tcPr>
                <w:p w14:paraId="4E228A1A" w14:textId="77777777" w:rsidR="009D7488" w:rsidRPr="009D7488" w:rsidRDefault="009D7488" w:rsidP="009D7488">
                  <w:pPr>
                    <w:spacing w:after="0" w:line="240" w:lineRule="auto"/>
                    <w:jc w:val="left"/>
                    <w:rPr>
                      <w:rFonts w:eastAsia="Times New Roman" w:cs="Times New Roman"/>
                      <w:color w:val="000000"/>
                      <w:sz w:val="16"/>
                      <w:szCs w:val="16"/>
                      <w:lang w:eastAsia="sk-SK"/>
                    </w:rPr>
                  </w:pPr>
                  <w:r w:rsidRPr="009D7488">
                    <w:rPr>
                      <w:rFonts w:eastAsia="Times New Roman" w:cs="Times New Roman"/>
                      <w:color w:val="000000"/>
                      <w:sz w:val="16"/>
                      <w:szCs w:val="16"/>
                      <w:lang w:eastAsia="sk-SK"/>
                    </w:rPr>
                    <w:lastRenderedPageBreak/>
                    <w:t>D1 - Turany - Hubová</w:t>
                  </w:r>
                </w:p>
              </w:tc>
              <w:tc>
                <w:tcPr>
                  <w:tcW w:w="992" w:type="dxa"/>
                  <w:tcBorders>
                    <w:top w:val="nil"/>
                    <w:left w:val="nil"/>
                    <w:bottom w:val="nil"/>
                    <w:right w:val="nil"/>
                  </w:tcBorders>
                  <w:shd w:val="clear" w:color="auto" w:fill="auto"/>
                  <w:noWrap/>
                  <w:vAlign w:val="center"/>
                  <w:hideMark/>
                </w:tcPr>
                <w:p w14:paraId="1E18ECE7" w14:textId="77777777" w:rsidR="009D7488" w:rsidRPr="009D7488" w:rsidRDefault="009D7488" w:rsidP="009D7488">
                  <w:pPr>
                    <w:spacing w:after="0" w:line="240" w:lineRule="auto"/>
                    <w:jc w:val="center"/>
                    <w:rPr>
                      <w:rFonts w:eastAsia="Times New Roman" w:cs="Times New Roman"/>
                      <w:color w:val="000000"/>
                      <w:sz w:val="16"/>
                      <w:szCs w:val="16"/>
                      <w:lang w:eastAsia="sk-SK"/>
                    </w:rPr>
                  </w:pPr>
                  <w:r w:rsidRPr="009D7488">
                    <w:rPr>
                      <w:rFonts w:eastAsia="Times New Roman" w:cs="Times New Roman"/>
                      <w:color w:val="000000"/>
                      <w:sz w:val="16"/>
                      <w:szCs w:val="16"/>
                      <w:lang w:eastAsia="sk-SK"/>
                    </w:rPr>
                    <w:t>7</w:t>
                  </w:r>
                </w:p>
              </w:tc>
              <w:tc>
                <w:tcPr>
                  <w:tcW w:w="567" w:type="dxa"/>
                  <w:tcBorders>
                    <w:top w:val="nil"/>
                    <w:left w:val="nil"/>
                    <w:bottom w:val="nil"/>
                    <w:right w:val="nil"/>
                  </w:tcBorders>
                  <w:shd w:val="clear" w:color="auto" w:fill="auto"/>
                  <w:noWrap/>
                  <w:vAlign w:val="center"/>
                  <w:hideMark/>
                </w:tcPr>
                <w:p w14:paraId="1CC9713F" w14:textId="77777777" w:rsidR="009D7488" w:rsidRPr="009D7488" w:rsidRDefault="009D7488" w:rsidP="009D7488">
                  <w:pPr>
                    <w:spacing w:after="0" w:line="240" w:lineRule="auto"/>
                    <w:jc w:val="center"/>
                    <w:rPr>
                      <w:rFonts w:eastAsia="Times New Roman" w:cs="Times New Roman"/>
                      <w:color w:val="000000"/>
                      <w:sz w:val="16"/>
                      <w:szCs w:val="16"/>
                      <w:lang w:eastAsia="sk-SK"/>
                    </w:rPr>
                  </w:pPr>
                  <w:r w:rsidRPr="009D7488">
                    <w:rPr>
                      <w:rFonts w:eastAsia="Times New Roman" w:cs="Times New Roman"/>
                      <w:color w:val="000000"/>
                      <w:sz w:val="16"/>
                      <w:szCs w:val="16"/>
                      <w:lang w:eastAsia="sk-SK"/>
                    </w:rPr>
                    <w:t>Áno</w:t>
                  </w:r>
                </w:p>
              </w:tc>
              <w:tc>
                <w:tcPr>
                  <w:tcW w:w="851" w:type="dxa"/>
                  <w:tcBorders>
                    <w:top w:val="nil"/>
                    <w:left w:val="nil"/>
                    <w:bottom w:val="nil"/>
                    <w:right w:val="nil"/>
                  </w:tcBorders>
                  <w:shd w:val="clear" w:color="auto" w:fill="auto"/>
                  <w:noWrap/>
                  <w:vAlign w:val="center"/>
                  <w:hideMark/>
                </w:tcPr>
                <w:p w14:paraId="770A3974"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94%</w:t>
                  </w:r>
                </w:p>
              </w:tc>
              <w:tc>
                <w:tcPr>
                  <w:tcW w:w="850" w:type="dxa"/>
                  <w:tcBorders>
                    <w:top w:val="nil"/>
                    <w:left w:val="nil"/>
                    <w:bottom w:val="nil"/>
                    <w:right w:val="nil"/>
                  </w:tcBorders>
                  <w:shd w:val="clear" w:color="auto" w:fill="auto"/>
                  <w:noWrap/>
                  <w:vAlign w:val="center"/>
                  <w:hideMark/>
                </w:tcPr>
                <w:p w14:paraId="5E4B007D"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1203,6</w:t>
                  </w:r>
                </w:p>
              </w:tc>
              <w:tc>
                <w:tcPr>
                  <w:tcW w:w="567" w:type="dxa"/>
                  <w:tcBorders>
                    <w:top w:val="nil"/>
                    <w:left w:val="nil"/>
                    <w:bottom w:val="nil"/>
                    <w:right w:val="nil"/>
                  </w:tcBorders>
                  <w:shd w:val="clear" w:color="auto" w:fill="auto"/>
                  <w:noWrap/>
                  <w:vAlign w:val="center"/>
                  <w:hideMark/>
                </w:tcPr>
                <w:p w14:paraId="7E5EA43B"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13,5</w:t>
                  </w:r>
                </w:p>
              </w:tc>
              <w:tc>
                <w:tcPr>
                  <w:tcW w:w="851" w:type="dxa"/>
                  <w:tcBorders>
                    <w:top w:val="nil"/>
                    <w:left w:val="nil"/>
                    <w:bottom w:val="nil"/>
                    <w:right w:val="nil"/>
                  </w:tcBorders>
                  <w:shd w:val="clear" w:color="auto" w:fill="auto"/>
                  <w:noWrap/>
                  <w:vAlign w:val="center"/>
                  <w:hideMark/>
                </w:tcPr>
                <w:p w14:paraId="0FCF700F" w14:textId="77777777" w:rsidR="009D7488" w:rsidRPr="009D7488" w:rsidRDefault="009D7488" w:rsidP="009D7488">
                  <w:pPr>
                    <w:spacing w:after="0" w:line="240" w:lineRule="auto"/>
                    <w:jc w:val="center"/>
                    <w:rPr>
                      <w:rFonts w:eastAsia="Times New Roman" w:cs="Times New Roman"/>
                      <w:color w:val="000000"/>
                      <w:sz w:val="16"/>
                      <w:szCs w:val="16"/>
                      <w:lang w:eastAsia="sk-SK"/>
                    </w:rPr>
                  </w:pPr>
                  <w:r w:rsidRPr="009D7488">
                    <w:rPr>
                      <w:rFonts w:eastAsia="Times New Roman" w:cs="Times New Roman"/>
                      <w:color w:val="000000"/>
                      <w:sz w:val="16"/>
                      <w:szCs w:val="16"/>
                      <w:lang w:eastAsia="sk-SK"/>
                    </w:rPr>
                    <w:t>4</w:t>
                  </w:r>
                </w:p>
              </w:tc>
              <w:tc>
                <w:tcPr>
                  <w:tcW w:w="443" w:type="dxa"/>
                  <w:tcBorders>
                    <w:top w:val="nil"/>
                    <w:left w:val="nil"/>
                    <w:bottom w:val="nil"/>
                    <w:right w:val="nil"/>
                  </w:tcBorders>
                  <w:shd w:val="clear" w:color="auto" w:fill="auto"/>
                  <w:noWrap/>
                  <w:vAlign w:val="center"/>
                  <w:hideMark/>
                </w:tcPr>
                <w:p w14:paraId="240AB669" w14:textId="77777777" w:rsidR="009D7488" w:rsidRPr="009D7488" w:rsidRDefault="009D7488" w:rsidP="009D7488">
                  <w:pPr>
                    <w:spacing w:after="0" w:line="240" w:lineRule="auto"/>
                    <w:jc w:val="center"/>
                    <w:rPr>
                      <w:rFonts w:eastAsia="Times New Roman" w:cs="Times New Roman"/>
                      <w:color w:val="000000"/>
                      <w:sz w:val="16"/>
                      <w:szCs w:val="16"/>
                      <w:lang w:eastAsia="sk-SK"/>
                    </w:rPr>
                  </w:pPr>
                  <w:r w:rsidRPr="009D7488">
                    <w:rPr>
                      <w:rFonts w:eastAsia="Times New Roman" w:cs="Times New Roman"/>
                      <w:color w:val="000000"/>
                      <w:sz w:val="16"/>
                      <w:szCs w:val="16"/>
                      <w:lang w:eastAsia="sk-SK"/>
                    </w:rPr>
                    <w:t>DÚR</w:t>
                  </w:r>
                </w:p>
              </w:tc>
              <w:tc>
                <w:tcPr>
                  <w:tcW w:w="850" w:type="dxa"/>
                  <w:tcBorders>
                    <w:top w:val="nil"/>
                    <w:left w:val="nil"/>
                    <w:bottom w:val="nil"/>
                    <w:right w:val="nil"/>
                  </w:tcBorders>
                  <w:shd w:val="clear" w:color="auto" w:fill="auto"/>
                  <w:noWrap/>
                  <w:vAlign w:val="center"/>
                  <w:hideMark/>
                </w:tcPr>
                <w:p w14:paraId="4A048E25"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0,46</w:t>
                  </w:r>
                </w:p>
              </w:tc>
              <w:tc>
                <w:tcPr>
                  <w:tcW w:w="993" w:type="dxa"/>
                  <w:tcBorders>
                    <w:top w:val="nil"/>
                    <w:left w:val="nil"/>
                    <w:bottom w:val="nil"/>
                    <w:right w:val="nil"/>
                  </w:tcBorders>
                  <w:shd w:val="clear" w:color="auto" w:fill="auto"/>
                  <w:noWrap/>
                  <w:vAlign w:val="center"/>
                  <w:hideMark/>
                </w:tcPr>
                <w:p w14:paraId="2BCDFD88"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-0,42</w:t>
                  </w:r>
                </w:p>
              </w:tc>
            </w:tr>
            <w:tr w:rsidR="009D7488" w:rsidRPr="009D7488" w14:paraId="0CD5736B" w14:textId="77777777" w:rsidTr="00234581">
              <w:trPr>
                <w:trHeight w:val="290"/>
              </w:trPr>
              <w:tc>
                <w:tcPr>
                  <w:tcW w:w="1877" w:type="dxa"/>
                  <w:tcBorders>
                    <w:top w:val="nil"/>
                    <w:left w:val="nil"/>
                    <w:bottom w:val="nil"/>
                    <w:right w:val="nil"/>
                  </w:tcBorders>
                  <w:shd w:val="clear" w:color="auto" w:fill="auto"/>
                  <w:noWrap/>
                  <w:vAlign w:val="center"/>
                  <w:hideMark/>
                </w:tcPr>
                <w:p w14:paraId="1C0B6921" w14:textId="77777777" w:rsidR="009D7488" w:rsidRPr="009D7488" w:rsidRDefault="009D7488" w:rsidP="009D7488">
                  <w:pPr>
                    <w:spacing w:after="0" w:line="240" w:lineRule="auto"/>
                    <w:jc w:val="left"/>
                    <w:rPr>
                      <w:rFonts w:eastAsia="Times New Roman" w:cs="Times New Roman"/>
                      <w:color w:val="000000"/>
                      <w:sz w:val="16"/>
                      <w:szCs w:val="16"/>
                      <w:lang w:eastAsia="sk-SK"/>
                    </w:rPr>
                  </w:pPr>
                  <w:r w:rsidRPr="009D7488">
                    <w:rPr>
                      <w:rFonts w:eastAsia="Times New Roman" w:cs="Times New Roman"/>
                      <w:color w:val="000000"/>
                      <w:sz w:val="16"/>
                      <w:szCs w:val="16"/>
                      <w:lang w:eastAsia="sk-SK"/>
                    </w:rPr>
                    <w:t>D3 - Kysucké Nové Mesto - Oščadnica</w:t>
                  </w:r>
                </w:p>
              </w:tc>
              <w:tc>
                <w:tcPr>
                  <w:tcW w:w="992" w:type="dxa"/>
                  <w:tcBorders>
                    <w:top w:val="nil"/>
                    <w:left w:val="nil"/>
                    <w:bottom w:val="nil"/>
                    <w:right w:val="nil"/>
                  </w:tcBorders>
                  <w:shd w:val="clear" w:color="auto" w:fill="auto"/>
                  <w:noWrap/>
                  <w:vAlign w:val="center"/>
                  <w:hideMark/>
                </w:tcPr>
                <w:p w14:paraId="7CCCCA16" w14:textId="77777777" w:rsidR="009D7488" w:rsidRPr="009D7488" w:rsidRDefault="009D7488" w:rsidP="009D7488">
                  <w:pPr>
                    <w:spacing w:after="0" w:line="240" w:lineRule="auto"/>
                    <w:jc w:val="center"/>
                    <w:rPr>
                      <w:rFonts w:eastAsia="Times New Roman" w:cs="Times New Roman"/>
                      <w:color w:val="000000"/>
                      <w:sz w:val="16"/>
                      <w:szCs w:val="16"/>
                      <w:lang w:eastAsia="sk-SK"/>
                    </w:rPr>
                  </w:pPr>
                  <w:r w:rsidRPr="009D7488">
                    <w:rPr>
                      <w:rFonts w:eastAsia="Times New Roman" w:cs="Times New Roman"/>
                      <w:color w:val="000000"/>
                      <w:sz w:val="16"/>
                      <w:szCs w:val="16"/>
                      <w:lang w:eastAsia="sk-SK"/>
                    </w:rPr>
                    <w:t>8</w:t>
                  </w:r>
                </w:p>
              </w:tc>
              <w:tc>
                <w:tcPr>
                  <w:tcW w:w="567" w:type="dxa"/>
                  <w:tcBorders>
                    <w:top w:val="nil"/>
                    <w:left w:val="nil"/>
                    <w:bottom w:val="nil"/>
                    <w:right w:val="nil"/>
                  </w:tcBorders>
                  <w:shd w:val="clear" w:color="auto" w:fill="auto"/>
                  <w:noWrap/>
                  <w:vAlign w:val="center"/>
                  <w:hideMark/>
                </w:tcPr>
                <w:p w14:paraId="3E824DEE" w14:textId="77777777" w:rsidR="009D7488" w:rsidRPr="009D7488" w:rsidRDefault="009D7488" w:rsidP="009D7488">
                  <w:pPr>
                    <w:spacing w:after="0" w:line="240" w:lineRule="auto"/>
                    <w:jc w:val="center"/>
                    <w:rPr>
                      <w:rFonts w:eastAsia="Times New Roman" w:cs="Times New Roman"/>
                      <w:color w:val="000000"/>
                      <w:sz w:val="16"/>
                      <w:szCs w:val="16"/>
                      <w:lang w:eastAsia="sk-SK"/>
                    </w:rPr>
                  </w:pPr>
                  <w:r w:rsidRPr="009D7488">
                    <w:rPr>
                      <w:rFonts w:eastAsia="Times New Roman" w:cs="Times New Roman"/>
                      <w:color w:val="000000"/>
                      <w:sz w:val="16"/>
                      <w:szCs w:val="16"/>
                      <w:lang w:eastAsia="sk-SK"/>
                    </w:rPr>
                    <w:t>Áno</w:t>
                  </w:r>
                </w:p>
              </w:tc>
              <w:tc>
                <w:tcPr>
                  <w:tcW w:w="851" w:type="dxa"/>
                  <w:tcBorders>
                    <w:top w:val="nil"/>
                    <w:left w:val="nil"/>
                    <w:bottom w:val="nil"/>
                    <w:right w:val="nil"/>
                  </w:tcBorders>
                  <w:shd w:val="clear" w:color="auto" w:fill="auto"/>
                  <w:noWrap/>
                  <w:vAlign w:val="center"/>
                  <w:hideMark/>
                </w:tcPr>
                <w:p w14:paraId="27F476C8"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86%</w:t>
                  </w:r>
                </w:p>
              </w:tc>
              <w:tc>
                <w:tcPr>
                  <w:tcW w:w="850" w:type="dxa"/>
                  <w:tcBorders>
                    <w:top w:val="nil"/>
                    <w:left w:val="nil"/>
                    <w:bottom w:val="nil"/>
                    <w:right w:val="nil"/>
                  </w:tcBorders>
                  <w:shd w:val="clear" w:color="auto" w:fill="auto"/>
                  <w:noWrap/>
                  <w:vAlign w:val="center"/>
                  <w:hideMark/>
                </w:tcPr>
                <w:p w14:paraId="687DAFE5"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305,9</w:t>
                  </w:r>
                </w:p>
              </w:tc>
              <w:tc>
                <w:tcPr>
                  <w:tcW w:w="567" w:type="dxa"/>
                  <w:tcBorders>
                    <w:top w:val="nil"/>
                    <w:left w:val="nil"/>
                    <w:bottom w:val="nil"/>
                    <w:right w:val="nil"/>
                  </w:tcBorders>
                  <w:shd w:val="clear" w:color="auto" w:fill="auto"/>
                  <w:noWrap/>
                  <w:vAlign w:val="center"/>
                  <w:hideMark/>
                </w:tcPr>
                <w:p w14:paraId="38D1CAD8"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10,8</w:t>
                  </w:r>
                </w:p>
              </w:tc>
              <w:tc>
                <w:tcPr>
                  <w:tcW w:w="851" w:type="dxa"/>
                  <w:tcBorders>
                    <w:top w:val="nil"/>
                    <w:left w:val="nil"/>
                    <w:bottom w:val="nil"/>
                    <w:right w:val="nil"/>
                  </w:tcBorders>
                  <w:shd w:val="clear" w:color="auto" w:fill="auto"/>
                  <w:noWrap/>
                  <w:vAlign w:val="center"/>
                  <w:hideMark/>
                </w:tcPr>
                <w:p w14:paraId="635F9476" w14:textId="77777777" w:rsidR="009D7488" w:rsidRPr="009D7488" w:rsidRDefault="009D7488" w:rsidP="009D7488">
                  <w:pPr>
                    <w:spacing w:after="0" w:line="240" w:lineRule="auto"/>
                    <w:jc w:val="center"/>
                    <w:rPr>
                      <w:rFonts w:eastAsia="Times New Roman" w:cs="Times New Roman"/>
                      <w:color w:val="000000"/>
                      <w:sz w:val="16"/>
                      <w:szCs w:val="16"/>
                      <w:lang w:eastAsia="sk-SK"/>
                    </w:rPr>
                  </w:pPr>
                  <w:r w:rsidRPr="009D7488">
                    <w:rPr>
                      <w:rFonts w:eastAsia="Times New Roman" w:cs="Times New Roman"/>
                      <w:color w:val="000000"/>
                      <w:sz w:val="16"/>
                      <w:szCs w:val="16"/>
                      <w:lang w:eastAsia="sk-SK"/>
                    </w:rPr>
                    <w:t>4</w:t>
                  </w:r>
                </w:p>
              </w:tc>
              <w:tc>
                <w:tcPr>
                  <w:tcW w:w="443" w:type="dxa"/>
                  <w:tcBorders>
                    <w:top w:val="nil"/>
                    <w:left w:val="nil"/>
                    <w:bottom w:val="nil"/>
                    <w:right w:val="nil"/>
                  </w:tcBorders>
                  <w:shd w:val="clear" w:color="auto" w:fill="auto"/>
                  <w:noWrap/>
                  <w:vAlign w:val="center"/>
                  <w:hideMark/>
                </w:tcPr>
                <w:p w14:paraId="64CF6475" w14:textId="77777777" w:rsidR="009D7488" w:rsidRPr="009D7488" w:rsidRDefault="009D7488" w:rsidP="009D7488">
                  <w:pPr>
                    <w:spacing w:after="0" w:line="240" w:lineRule="auto"/>
                    <w:jc w:val="center"/>
                    <w:rPr>
                      <w:rFonts w:eastAsia="Times New Roman" w:cs="Times New Roman"/>
                      <w:color w:val="000000"/>
                      <w:sz w:val="16"/>
                      <w:szCs w:val="16"/>
                      <w:lang w:eastAsia="sk-SK"/>
                    </w:rPr>
                  </w:pPr>
                  <w:r w:rsidRPr="009D7488">
                    <w:rPr>
                      <w:rFonts w:eastAsia="Times New Roman" w:cs="Times New Roman"/>
                      <w:color w:val="000000"/>
                      <w:sz w:val="16"/>
                      <w:szCs w:val="16"/>
                      <w:lang w:eastAsia="sk-SK"/>
                    </w:rPr>
                    <w:t>ÚR</w:t>
                  </w:r>
                </w:p>
              </w:tc>
              <w:tc>
                <w:tcPr>
                  <w:tcW w:w="850" w:type="dxa"/>
                  <w:tcBorders>
                    <w:top w:val="nil"/>
                    <w:left w:val="nil"/>
                    <w:bottom w:val="nil"/>
                    <w:right w:val="nil"/>
                  </w:tcBorders>
                  <w:shd w:val="clear" w:color="auto" w:fill="auto"/>
                  <w:noWrap/>
                  <w:vAlign w:val="center"/>
                  <w:hideMark/>
                </w:tcPr>
                <w:p w14:paraId="034DC46F"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0,43</w:t>
                  </w:r>
                </w:p>
              </w:tc>
              <w:tc>
                <w:tcPr>
                  <w:tcW w:w="993" w:type="dxa"/>
                  <w:tcBorders>
                    <w:top w:val="nil"/>
                    <w:left w:val="nil"/>
                    <w:bottom w:val="nil"/>
                    <w:right w:val="nil"/>
                  </w:tcBorders>
                  <w:shd w:val="clear" w:color="auto" w:fill="auto"/>
                  <w:noWrap/>
                  <w:vAlign w:val="center"/>
                  <w:hideMark/>
                </w:tcPr>
                <w:p w14:paraId="59758753" w14:textId="77777777" w:rsidR="009D7488" w:rsidRPr="009D7488" w:rsidRDefault="009D7488" w:rsidP="009D7488">
                  <w:pPr>
                    <w:spacing w:after="0" w:line="240" w:lineRule="auto"/>
                    <w:jc w:val="right"/>
                    <w:rPr>
                      <w:rFonts w:eastAsia="Times New Roman" w:cs="Times New Roman"/>
                      <w:color w:val="000000"/>
                      <w:sz w:val="16"/>
                      <w:szCs w:val="16"/>
                      <w:lang w:eastAsia="sk-SK"/>
                    </w:rPr>
                  </w:pPr>
                  <w:r w:rsidRPr="009D7488">
                    <w:rPr>
                      <w:rFonts w:eastAsia="Times New Roman" w:cs="Times New Roman"/>
                      <w:color w:val="000000"/>
                      <w:sz w:val="16"/>
                      <w:szCs w:val="16"/>
                      <w:lang w:eastAsia="sk-SK"/>
                    </w:rPr>
                    <w:t>-0,47</w:t>
                  </w:r>
                </w:p>
              </w:tc>
            </w:tr>
          </w:tbl>
          <w:p w14:paraId="46B9ABE2" w14:textId="38140CB5" w:rsidR="00982F51" w:rsidRDefault="00982F51" w:rsidP="00234581">
            <w:pPr>
              <w:spacing w:before="120"/>
            </w:pPr>
            <w:r>
              <w:t xml:space="preserve">V oblasti zdravotníctva je možné </w:t>
            </w:r>
            <w:r w:rsidR="00E23DD1">
              <w:t>pri priorizácii budúcich investícií do prevencie</w:t>
            </w:r>
            <w:r>
              <w:t xml:space="preserve"> ochorení </w:t>
            </w:r>
            <w:r w:rsidR="00E23DD1">
              <w:t xml:space="preserve">zohľadniť </w:t>
            </w:r>
            <w:r>
              <w:t>ukazova</w:t>
            </w:r>
            <w:r w:rsidR="00E23DD1">
              <w:t>teľ</w:t>
            </w:r>
            <w:r>
              <w:t xml:space="preserve"> DALY (disability-adjusted life years). DALY vyjadruje počet rokov strávený s poruchou a počet stratených rokov kvôli predčasnému úmrtiu. Podľa štúdie Útvaru hodnoty za peniaze MF SR </w:t>
            </w:r>
            <w:hyperlink r:id="rId31" w:history="1">
              <w:r w:rsidRPr="002A56BA">
                <w:rPr>
                  <w:rStyle w:val="Hypertextovprepojenie"/>
                </w:rPr>
                <w:t>Duševné zdravie a verejné financie</w:t>
              </w:r>
            </w:hyperlink>
            <w:r>
              <w:t xml:space="preserve"> zaťažujú duševné poruchy zdravie ľudí viac ako mnohé ochorenia, ktoré majú v súčasnosti v zdravotných politikách vyššiu prioritu.</w:t>
            </w:r>
          </w:p>
          <w:p w14:paraId="0823E953" w14:textId="1D041DF0" w:rsidR="002A56BA" w:rsidRDefault="005E4215" w:rsidP="00234581">
            <w:pPr>
              <w:pStyle w:val="Popis"/>
            </w:pPr>
            <w:bookmarkStart w:id="110" w:name="_Toc83651100"/>
            <w:r>
              <w:t xml:space="preserve">Schéma </w:t>
            </w:r>
            <w:r w:rsidR="0028456A">
              <w:rPr>
                <w:b w:val="0"/>
                <w:iCs w:val="0"/>
              </w:rPr>
              <w:fldChar w:fldCharType="begin"/>
            </w:r>
            <w:r w:rsidR="0028456A">
              <w:rPr>
                <w:b w:val="0"/>
                <w:iCs w:val="0"/>
              </w:rPr>
              <w:instrText xml:space="preserve"> SEQ Schéma \* ARABIC </w:instrText>
            </w:r>
            <w:r w:rsidR="0028456A">
              <w:rPr>
                <w:b w:val="0"/>
                <w:iCs w:val="0"/>
              </w:rPr>
              <w:fldChar w:fldCharType="separate"/>
            </w:r>
            <w:r w:rsidR="000D2AF7">
              <w:rPr>
                <w:b w:val="0"/>
                <w:iCs w:val="0"/>
                <w:noProof/>
              </w:rPr>
              <w:t>4</w:t>
            </w:r>
            <w:r w:rsidR="0028456A">
              <w:rPr>
                <w:b w:val="0"/>
                <w:iCs w:val="0"/>
                <w:noProof/>
              </w:rPr>
              <w:fldChar w:fldCharType="end"/>
            </w:r>
            <w:r>
              <w:t>: Príklad ohodnotenia priorít na základe ukazovateľa DALY a YLD</w:t>
            </w:r>
            <w:bookmarkEnd w:id="110"/>
          </w:p>
          <w:tbl>
            <w:tblPr>
              <w:tblStyle w:val="Mriekatabuky"/>
              <w:tblW w:w="89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6"/>
              <w:gridCol w:w="200"/>
              <w:gridCol w:w="33"/>
              <w:gridCol w:w="4467"/>
            </w:tblGrid>
            <w:tr w:rsidR="002A56BA" w:rsidRPr="008D36FF" w14:paraId="50D019AD" w14:textId="77777777" w:rsidTr="002522E9">
              <w:trPr>
                <w:trHeight w:val="553"/>
              </w:trPr>
              <w:tc>
                <w:tcPr>
                  <w:tcW w:w="4253" w:type="dxa"/>
                  <w:tcBorders>
                    <w:bottom w:val="single" w:sz="4" w:space="0" w:color="auto"/>
                  </w:tcBorders>
                </w:tcPr>
                <w:p w14:paraId="64BAC6C1" w14:textId="20982B38" w:rsidR="002A56BA" w:rsidRPr="008D36FF" w:rsidRDefault="002A56BA" w:rsidP="002A56BA">
                  <w:pPr>
                    <w:keepNext/>
                  </w:pPr>
                  <w:bookmarkStart w:id="111" w:name="_Toc41826393"/>
                  <w:r w:rsidRPr="00050FEB">
                    <w:rPr>
                      <w:b/>
                      <w:sz w:val="20"/>
                      <w:szCs w:val="20"/>
                    </w:rPr>
                    <w:t xml:space="preserve">Graf </w:t>
                  </w:r>
                  <w:r w:rsidRPr="00050FEB">
                    <w:rPr>
                      <w:b/>
                      <w:sz w:val="20"/>
                      <w:szCs w:val="20"/>
                    </w:rPr>
                    <w:fldChar w:fldCharType="begin"/>
                  </w:r>
                  <w:r w:rsidRPr="00050FEB">
                    <w:rPr>
                      <w:b/>
                      <w:sz w:val="20"/>
                      <w:szCs w:val="20"/>
                    </w:rPr>
                    <w:instrText xml:space="preserve"> SEQ Graf \* ARABIC </w:instrText>
                  </w:r>
                  <w:r w:rsidRPr="00050FEB">
                    <w:rPr>
                      <w:b/>
                      <w:sz w:val="20"/>
                      <w:szCs w:val="20"/>
                    </w:rPr>
                    <w:fldChar w:fldCharType="separate"/>
                  </w:r>
                  <w:r w:rsidR="000D2AF7">
                    <w:rPr>
                      <w:b/>
                      <w:noProof/>
                      <w:sz w:val="20"/>
                      <w:szCs w:val="20"/>
                    </w:rPr>
                    <w:t>1</w:t>
                  </w:r>
                  <w:r w:rsidRPr="00050FEB">
                    <w:rPr>
                      <w:b/>
                      <w:sz w:val="20"/>
                      <w:szCs w:val="20"/>
                    </w:rPr>
                    <w:fldChar w:fldCharType="end"/>
                  </w:r>
                  <w:r w:rsidRPr="00050FEB">
                    <w:rPr>
                      <w:b/>
                      <w:sz w:val="20"/>
                      <w:szCs w:val="20"/>
                    </w:rPr>
                    <w:t xml:space="preserve">: DALY - záťaž </w:t>
                  </w:r>
                  <w:r>
                    <w:rPr>
                      <w:b/>
                      <w:sz w:val="20"/>
                      <w:szCs w:val="20"/>
                    </w:rPr>
                    <w:t>ochorením</w:t>
                  </w:r>
                  <w:r w:rsidRPr="00050FEB">
                    <w:rPr>
                      <w:b/>
                      <w:sz w:val="20"/>
                      <w:szCs w:val="20"/>
                    </w:rPr>
                    <w:t xml:space="preserve"> vrátane predčasného úmrtia v SR, % z DALY všetkých </w:t>
                  </w:r>
                  <w:r>
                    <w:rPr>
                      <w:b/>
                      <w:sz w:val="20"/>
                      <w:szCs w:val="20"/>
                    </w:rPr>
                    <w:t>ochorení</w:t>
                  </w:r>
                  <w:r w:rsidRPr="00050FEB">
                    <w:rPr>
                      <w:b/>
                      <w:sz w:val="20"/>
                      <w:szCs w:val="20"/>
                    </w:rPr>
                    <w:t>, 2017</w:t>
                  </w:r>
                  <w:bookmarkEnd w:id="111"/>
                </w:p>
              </w:tc>
              <w:tc>
                <w:tcPr>
                  <w:tcW w:w="220" w:type="dxa"/>
                  <w:gridSpan w:val="2"/>
                </w:tcPr>
                <w:p w14:paraId="6C67BD64" w14:textId="77777777" w:rsidR="002A56BA" w:rsidRPr="00290BB1" w:rsidRDefault="002A56BA" w:rsidP="002A56BA">
                  <w:pPr>
                    <w:rPr>
                      <w:highlight w:val="yellow"/>
                    </w:rPr>
                  </w:pPr>
                </w:p>
              </w:tc>
              <w:tc>
                <w:tcPr>
                  <w:tcW w:w="4522" w:type="dxa"/>
                  <w:tcBorders>
                    <w:bottom w:val="single" w:sz="4" w:space="0" w:color="auto"/>
                  </w:tcBorders>
                </w:tcPr>
                <w:p w14:paraId="62D99904" w14:textId="1B6F8642" w:rsidR="002A56BA" w:rsidRPr="002C11B6" w:rsidRDefault="002A56BA" w:rsidP="002A56BA">
                  <w:pPr>
                    <w:keepNext/>
                  </w:pPr>
                  <w:bookmarkStart w:id="112" w:name="_Toc41826394"/>
                  <w:r w:rsidRPr="002C11B6">
                    <w:rPr>
                      <w:b/>
                      <w:sz w:val="20"/>
                      <w:szCs w:val="20"/>
                    </w:rPr>
                    <w:t xml:space="preserve">Graf </w:t>
                  </w:r>
                  <w:r w:rsidRPr="002C11B6">
                    <w:rPr>
                      <w:b/>
                      <w:sz w:val="20"/>
                      <w:szCs w:val="20"/>
                    </w:rPr>
                    <w:fldChar w:fldCharType="begin"/>
                  </w:r>
                  <w:r w:rsidRPr="002C11B6">
                    <w:rPr>
                      <w:b/>
                      <w:sz w:val="20"/>
                      <w:szCs w:val="20"/>
                    </w:rPr>
                    <w:instrText xml:space="preserve"> SEQ Graf \* ARABIC </w:instrText>
                  </w:r>
                  <w:r w:rsidRPr="002C11B6">
                    <w:rPr>
                      <w:b/>
                      <w:sz w:val="20"/>
                      <w:szCs w:val="20"/>
                    </w:rPr>
                    <w:fldChar w:fldCharType="separate"/>
                  </w:r>
                  <w:r w:rsidR="000D2AF7">
                    <w:rPr>
                      <w:b/>
                      <w:noProof/>
                      <w:sz w:val="20"/>
                      <w:szCs w:val="20"/>
                    </w:rPr>
                    <w:t>2</w:t>
                  </w:r>
                  <w:r w:rsidRPr="002C11B6">
                    <w:rPr>
                      <w:b/>
                      <w:sz w:val="20"/>
                      <w:szCs w:val="20"/>
                    </w:rPr>
                    <w:fldChar w:fldCharType="end"/>
                  </w:r>
                  <w:r w:rsidRPr="002C11B6">
                    <w:rPr>
                      <w:b/>
                      <w:sz w:val="20"/>
                      <w:szCs w:val="20"/>
                    </w:rPr>
                    <w:t>: YLD - záťaž ochorením počas života bez predčasného úmrtia v SR, % z YLD všetkých ochorení, 2017</w:t>
                  </w:r>
                  <w:bookmarkEnd w:id="112"/>
                </w:p>
              </w:tc>
            </w:tr>
            <w:tr w:rsidR="002A56BA" w:rsidRPr="00290BB1" w14:paraId="06246E8A" w14:textId="77777777" w:rsidTr="00FC70D5">
              <w:tblPrEx>
                <w:tblCellMar>
                  <w:left w:w="70" w:type="dxa"/>
                  <w:right w:w="70" w:type="dxa"/>
                </w:tblCellMar>
              </w:tblPrEx>
              <w:trPr>
                <w:trHeight w:val="3541"/>
              </w:trPr>
              <w:tc>
                <w:tcPr>
                  <w:tcW w:w="4253" w:type="dxa"/>
                  <w:tcBorders>
                    <w:top w:val="single" w:sz="4" w:space="0" w:color="auto"/>
                    <w:bottom w:val="single" w:sz="4" w:space="0" w:color="auto"/>
                  </w:tcBorders>
                  <w:shd w:val="clear" w:color="auto" w:fill="auto"/>
                </w:tcPr>
                <w:p w14:paraId="5A75D8EA" w14:textId="3E069194" w:rsidR="002A56BA" w:rsidRPr="008D36FF" w:rsidRDefault="00FC70D5" w:rsidP="002A56BA">
                  <w:r w:rsidRPr="008D36FF">
                    <w:rPr>
                      <w:noProof/>
                      <w:lang w:eastAsia="sk-SK"/>
                    </w:rPr>
                    <w:drawing>
                      <wp:inline distT="0" distB="0" distL="0" distR="0" wp14:anchorId="1D0BAB3E" wp14:editId="0BD4503E">
                        <wp:extent cx="2611755" cy="2249424"/>
                        <wp:effectExtent l="0" t="0" r="0" b="0"/>
                        <wp:docPr id="35" name="Graf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tc>
              <w:tc>
                <w:tcPr>
                  <w:tcW w:w="200" w:type="dxa"/>
                </w:tcPr>
                <w:p w14:paraId="760F6564" w14:textId="77777777" w:rsidR="002A56BA" w:rsidRPr="008D36FF" w:rsidRDefault="002A56BA" w:rsidP="002A56BA"/>
              </w:tc>
              <w:tc>
                <w:tcPr>
                  <w:tcW w:w="4542" w:type="dxa"/>
                  <w:gridSpan w:val="2"/>
                </w:tcPr>
                <w:p w14:paraId="47B1AC1B" w14:textId="77777777" w:rsidR="002A56BA" w:rsidRPr="002C11B6" w:rsidRDefault="002A56BA" w:rsidP="002A56BA">
                  <w:r>
                    <w:rPr>
                      <w:noProof/>
                      <w:lang w:eastAsia="sk-SK"/>
                    </w:rPr>
                    <w:drawing>
                      <wp:inline distT="0" distB="0" distL="0" distR="0" wp14:anchorId="32725E65" wp14:editId="1C490D17">
                        <wp:extent cx="2833255" cy="2272145"/>
                        <wp:effectExtent l="0" t="0" r="0" b="0"/>
                        <wp:docPr id="8" name="Graf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tc>
            </w:tr>
            <w:tr w:rsidR="002A56BA" w:rsidRPr="008D36FF" w14:paraId="09E68C07" w14:textId="77777777" w:rsidTr="002522E9">
              <w:trPr>
                <w:trHeight w:val="703"/>
              </w:trPr>
              <w:tc>
                <w:tcPr>
                  <w:tcW w:w="4253" w:type="dxa"/>
                  <w:tcBorders>
                    <w:top w:val="single" w:sz="4" w:space="0" w:color="auto"/>
                  </w:tcBorders>
                </w:tcPr>
                <w:p w14:paraId="3EB158BC" w14:textId="77777777" w:rsidR="002A56BA" w:rsidRPr="004A3F8F" w:rsidRDefault="002A56BA" w:rsidP="002A56BA">
                  <w:pPr>
                    <w:rPr>
                      <w:sz w:val="16"/>
                      <w:szCs w:val="16"/>
                    </w:rPr>
                  </w:pPr>
                  <w:r w:rsidRPr="004A3F8F">
                    <w:rPr>
                      <w:sz w:val="16"/>
                      <w:szCs w:val="16"/>
                    </w:rPr>
                    <w:t>*Podľa klasifikácie Global burden of disease zahŕňa duševné ochorenia, ochorenia spojené s užívaním psychoaktívnych látok a sebapoškodzovanie. Nezahŕňa demenciu.</w:t>
                  </w:r>
                </w:p>
                <w:p w14:paraId="34A5EB68" w14:textId="77777777" w:rsidR="002A56BA" w:rsidRPr="004A3F8F" w:rsidRDefault="002A56BA" w:rsidP="002A56BA">
                  <w:pPr>
                    <w:jc w:val="right"/>
                    <w:rPr>
                      <w:i/>
                      <w:sz w:val="16"/>
                      <w:szCs w:val="16"/>
                    </w:rPr>
                  </w:pPr>
                  <w:r w:rsidRPr="004A3F8F">
                    <w:rPr>
                      <w:i/>
                      <w:sz w:val="16"/>
                      <w:szCs w:val="16"/>
                    </w:rPr>
                    <w:t>Zdroj: IHME</w:t>
                  </w:r>
                </w:p>
              </w:tc>
              <w:tc>
                <w:tcPr>
                  <w:tcW w:w="220" w:type="dxa"/>
                  <w:gridSpan w:val="2"/>
                </w:tcPr>
                <w:p w14:paraId="5C44B6B7" w14:textId="77777777" w:rsidR="002A56BA" w:rsidRPr="004A3F8F" w:rsidRDefault="002A56BA" w:rsidP="002A56BA">
                  <w:pPr>
                    <w:jc w:val="right"/>
                    <w:rPr>
                      <w:sz w:val="16"/>
                      <w:szCs w:val="16"/>
                      <w:highlight w:val="yellow"/>
                    </w:rPr>
                  </w:pPr>
                </w:p>
              </w:tc>
              <w:tc>
                <w:tcPr>
                  <w:tcW w:w="4522" w:type="dxa"/>
                  <w:tcBorders>
                    <w:top w:val="single" w:sz="4" w:space="0" w:color="auto"/>
                  </w:tcBorders>
                </w:tcPr>
                <w:p w14:paraId="532284B0" w14:textId="77777777" w:rsidR="002A56BA" w:rsidRPr="004A3F8F" w:rsidRDefault="002A56BA" w:rsidP="002A56BA">
                  <w:pPr>
                    <w:rPr>
                      <w:sz w:val="16"/>
                      <w:szCs w:val="16"/>
                    </w:rPr>
                  </w:pPr>
                  <w:r w:rsidRPr="004A3F8F">
                    <w:rPr>
                      <w:sz w:val="16"/>
                      <w:szCs w:val="16"/>
                    </w:rPr>
                    <w:t>*Podľa klasifikácie Global burden of disease zahŕňa duševné ochorenia, ochorenia spojené s užívaním psychoaktívnych látok a sebapoškodzovanie. Nezahŕňa demenciu.</w:t>
                  </w:r>
                </w:p>
                <w:p w14:paraId="6E493797" w14:textId="77777777" w:rsidR="002A56BA" w:rsidRPr="004A3F8F" w:rsidRDefault="002A56BA" w:rsidP="002A56BA">
                  <w:pPr>
                    <w:jc w:val="right"/>
                    <w:rPr>
                      <w:i/>
                      <w:sz w:val="16"/>
                      <w:szCs w:val="16"/>
                    </w:rPr>
                  </w:pPr>
                  <w:r w:rsidRPr="004A3F8F">
                    <w:rPr>
                      <w:i/>
                      <w:sz w:val="16"/>
                      <w:szCs w:val="16"/>
                    </w:rPr>
                    <w:t>Zdroj: IHME</w:t>
                  </w:r>
                </w:p>
              </w:tc>
            </w:tr>
          </w:tbl>
          <w:p w14:paraId="19818195" w14:textId="416801FE" w:rsidR="00E23DD1" w:rsidRPr="005C2CEC" w:rsidRDefault="00E23DD1" w:rsidP="00CE234A">
            <w:r>
              <w:t xml:space="preserve">Ďalšími príkladmi </w:t>
            </w:r>
            <w:r w:rsidR="00CE234A">
              <w:t>možných ukazovateľov sú</w:t>
            </w:r>
            <w:r>
              <w:t xml:space="preserve"> skrátenie čakacích </w:t>
            </w:r>
            <w:r w:rsidR="00CE234A">
              <w:t>lehôt</w:t>
            </w:r>
            <w:r>
              <w:t>, zvýšenie kvality podmienok pacientov,</w:t>
            </w:r>
            <w:r w:rsidR="00CE234A">
              <w:t xml:space="preserve"> skvalitnenie pracovných podmienok zamestnancov, zlepšenie technického</w:t>
            </w:r>
            <w:r>
              <w:t xml:space="preserve"> </w:t>
            </w:r>
            <w:r w:rsidR="00CE234A">
              <w:t>stavu prístrojov a technologického vybavenia a pod.</w:t>
            </w:r>
          </w:p>
        </w:tc>
      </w:tr>
    </w:tbl>
    <w:p w14:paraId="4C5D5367" w14:textId="25CFEC99" w:rsidR="00280830" w:rsidRPr="005C2CEC" w:rsidRDefault="001E79A6" w:rsidP="00B7407C">
      <w:pPr>
        <w:pStyle w:val="Nadpis3"/>
      </w:pPr>
      <w:bookmarkStart w:id="113" w:name="_Ref54963121"/>
      <w:r w:rsidRPr="005C2CEC">
        <w:lastRenderedPageBreak/>
        <w:t>Investičný plán</w:t>
      </w:r>
      <w:bookmarkEnd w:id="113"/>
    </w:p>
    <w:p w14:paraId="568D13AC" w14:textId="08074C69" w:rsidR="00A67E20" w:rsidRPr="005C2CEC" w:rsidRDefault="00305725" w:rsidP="00A67E20">
      <w:r w:rsidRPr="005C2CEC">
        <w:t xml:space="preserve">Na základe </w:t>
      </w:r>
      <w:r w:rsidR="00904D18" w:rsidRPr="005C2CEC">
        <w:t>priorizovaného</w:t>
      </w:r>
      <w:r w:rsidRPr="005C2CEC">
        <w:t xml:space="preserve"> </w:t>
      </w:r>
      <w:r w:rsidR="003A4A24" w:rsidRPr="005C2CEC">
        <w:t>zoznamu</w:t>
      </w:r>
      <w:r w:rsidR="00CE1B65" w:rsidRPr="005C2CEC">
        <w:t xml:space="preserve"> investičných</w:t>
      </w:r>
      <w:r w:rsidRPr="005C2CEC">
        <w:t xml:space="preserve"> projektov ministerstvo</w:t>
      </w:r>
      <w:r w:rsidR="00BD5BA8">
        <w:t xml:space="preserve">, ktorého </w:t>
      </w:r>
      <w:r w:rsidR="00A91196">
        <w:t xml:space="preserve">priemerné ročné </w:t>
      </w:r>
      <w:r w:rsidR="00BD5BA8">
        <w:t xml:space="preserve">kapitálové výdavky za obdobie </w:t>
      </w:r>
      <w:r w:rsidR="00A91196">
        <w:t>predchádzajúcich 5 rokov presiahli</w:t>
      </w:r>
      <w:r w:rsidR="00BD5BA8">
        <w:t xml:space="preserve"> hodnotu 20 mil. eur,</w:t>
      </w:r>
      <w:r w:rsidR="00904D18" w:rsidRPr="005C2CEC">
        <w:t xml:space="preserve"> </w:t>
      </w:r>
      <w:r w:rsidR="00A91196">
        <w:t xml:space="preserve">vytvorí </w:t>
      </w:r>
      <w:r w:rsidR="00904D18" w:rsidRPr="005C2CEC">
        <w:t>v spolupráci s</w:t>
      </w:r>
      <w:r w:rsidR="000F6513" w:rsidRPr="005C2CEC">
        <w:t> </w:t>
      </w:r>
      <w:r w:rsidR="002506A8" w:rsidRPr="005C2CEC">
        <w:t xml:space="preserve">MF SR </w:t>
      </w:r>
      <w:r w:rsidR="00477835" w:rsidRPr="005C2CEC">
        <w:t>investičný plán</w:t>
      </w:r>
      <w:r w:rsidR="003772D9" w:rsidRPr="005C2CEC">
        <w:t xml:space="preserve"> </w:t>
      </w:r>
      <w:r w:rsidR="00904D18" w:rsidRPr="005C2CEC">
        <w:t xml:space="preserve">s harmonogramom realizácie najmenej </w:t>
      </w:r>
      <w:r w:rsidRPr="005C2CEC">
        <w:t>na obdobie</w:t>
      </w:r>
      <w:r w:rsidR="008B0F71" w:rsidRPr="005C2CEC">
        <w:t xml:space="preserve"> </w:t>
      </w:r>
      <w:r w:rsidR="009A1EA3">
        <w:t>nasledujúcich 5</w:t>
      </w:r>
      <w:r w:rsidR="008B0F71" w:rsidRPr="005C2CEC">
        <w:t xml:space="preserve"> rokov</w:t>
      </w:r>
      <w:r w:rsidR="00904D18" w:rsidRPr="005C2CEC">
        <w:t xml:space="preserve"> </w:t>
      </w:r>
      <w:r w:rsidR="008B0F71" w:rsidRPr="005C2CEC">
        <w:t xml:space="preserve">(prvý investičný plán bude vypracovaný </w:t>
      </w:r>
      <w:r w:rsidR="00AC5122">
        <w:t xml:space="preserve">v roku 2021 s platnosťou </w:t>
      </w:r>
      <w:r w:rsidR="00E85795">
        <w:t>na roky 2022 až</w:t>
      </w:r>
      <w:r w:rsidR="00983211" w:rsidRPr="005C2CEC">
        <w:t xml:space="preserve"> 202</w:t>
      </w:r>
      <w:r w:rsidR="009A1EA3">
        <w:t>6</w:t>
      </w:r>
      <w:r w:rsidR="008B0F71" w:rsidRPr="005C2CEC">
        <w:t>)</w:t>
      </w:r>
      <w:r w:rsidRPr="005C2CEC">
        <w:t xml:space="preserve">. </w:t>
      </w:r>
      <w:r w:rsidR="002A074B">
        <w:t xml:space="preserve">Pre ministerstvo, ktorého priemerné ročné kapitálové výdavky nepresiahli hodnotu 20 mil. eur, je vypracovanie investičného plánu odporúčané. </w:t>
      </w:r>
      <w:r w:rsidR="005B5CF2">
        <w:t>Ministerstvo môže</w:t>
      </w:r>
      <w:r w:rsidR="005B5CF2" w:rsidRPr="005C2CEC">
        <w:t xml:space="preserve"> vypracovať viaceré investičné </w:t>
      </w:r>
      <w:r w:rsidR="005B5CF2">
        <w:t xml:space="preserve">plány </w:t>
      </w:r>
      <w:r w:rsidR="005B5CF2" w:rsidRPr="005C2CEC">
        <w:t>v členení podľa jednotlivých sektorov</w:t>
      </w:r>
      <w:r w:rsidR="005B5CF2">
        <w:t xml:space="preserve"> v jeho pôsobnosti</w:t>
      </w:r>
      <w:r w:rsidR="00E73191">
        <w:t xml:space="preserve"> (napr. v prípade MDV SR môže byť vypracovaný zvlášť pre železničné projekty a zvlášť pre cestné projekty)</w:t>
      </w:r>
      <w:r w:rsidR="005B5CF2">
        <w:t>.</w:t>
      </w:r>
      <w:r w:rsidR="005B5CF2" w:rsidRPr="005C2CEC">
        <w:t xml:space="preserve"> </w:t>
      </w:r>
      <w:r w:rsidR="0091443B">
        <w:t xml:space="preserve">Cieľom tvorby investičného plánu je v rámci možností </w:t>
      </w:r>
      <w:r w:rsidR="0005307B">
        <w:t>čo naj</w:t>
      </w:r>
      <w:r w:rsidR="0091443B">
        <w:t>rovnomerne</w:t>
      </w:r>
      <w:r w:rsidR="0005307B">
        <w:t>jšie</w:t>
      </w:r>
      <w:r w:rsidR="0091443B">
        <w:t xml:space="preserve"> plánovať investičné výdavky na dlhšie časové obdobie. </w:t>
      </w:r>
      <w:r w:rsidR="00A67E20" w:rsidRPr="005C2CEC">
        <w:t>Do investičného plánu ministerstvo zaradí investičné projekty</w:t>
      </w:r>
      <w:r w:rsidR="00A61255">
        <w:t xml:space="preserve"> s hodnotou nad 1 mil. eur, ktoré pripravuje</w:t>
      </w:r>
      <w:r w:rsidR="00A67E20" w:rsidRPr="005C2CEC">
        <w:t xml:space="preserve"> </w:t>
      </w:r>
      <w:r w:rsidR="00A61255">
        <w:t xml:space="preserve">kapitola, rozpočtové a príspevkové organizácie kapitoly, ako aj ostatné subjekty verejnej správy v riadiacej pôsobnosti kapitoly (vrátane štátnych podnikov) </w:t>
      </w:r>
      <w:r w:rsidR="00A67E20" w:rsidRPr="005C2CEC">
        <w:t>na základe:</w:t>
      </w:r>
    </w:p>
    <w:p w14:paraId="6AB54294" w14:textId="27FBD2DD" w:rsidR="00A67E20" w:rsidRPr="005C2CEC" w:rsidRDefault="00A67E20" w:rsidP="005A3A94">
      <w:pPr>
        <w:pStyle w:val="Odsekzoznamu"/>
        <w:numPr>
          <w:ilvl w:val="0"/>
          <w:numId w:val="21"/>
        </w:numPr>
      </w:pPr>
      <w:r w:rsidRPr="005C2CEC">
        <w:lastRenderedPageBreak/>
        <w:t>poradia priority projektu</w:t>
      </w:r>
      <w:r w:rsidR="00450C18">
        <w:t xml:space="preserve"> (t.j. priorizovaného zoznamu investičných projektov)</w:t>
      </w:r>
      <w:r w:rsidR="009B34AE">
        <w:t>,</w:t>
      </w:r>
    </w:p>
    <w:p w14:paraId="7D389D80" w14:textId="77777777" w:rsidR="00A67E20" w:rsidRPr="005C2CEC" w:rsidRDefault="00A67E20" w:rsidP="005A3A94">
      <w:pPr>
        <w:pStyle w:val="Odsekzoznamu"/>
        <w:numPr>
          <w:ilvl w:val="0"/>
          <w:numId w:val="21"/>
        </w:numPr>
      </w:pPr>
      <w:r w:rsidRPr="005C2CEC">
        <w:t>predpokladaných rozpočtových limitov na dané obdobie,</w:t>
      </w:r>
    </w:p>
    <w:p w14:paraId="7FFF268A" w14:textId="29858D35" w:rsidR="00A67E20" w:rsidRPr="005C2CEC" w:rsidRDefault="00A67E20" w:rsidP="005A3A94">
      <w:pPr>
        <w:pStyle w:val="Odsekzoznamu"/>
        <w:numPr>
          <w:ilvl w:val="0"/>
          <w:numId w:val="21"/>
        </w:numPr>
      </w:pPr>
      <w:r w:rsidRPr="005C2CEC">
        <w:t>reálneho stavu rozpracovania investičných projektov</w:t>
      </w:r>
      <w:r w:rsidR="0050312C">
        <w:t>,</w:t>
      </w:r>
      <w:r w:rsidRPr="005C2CEC">
        <w:t xml:space="preserve"> a </w:t>
      </w:r>
    </w:p>
    <w:p w14:paraId="7A7683D3" w14:textId="77777777" w:rsidR="00A67E20" w:rsidRPr="005C2CEC" w:rsidRDefault="00A67E20" w:rsidP="005A3A94">
      <w:pPr>
        <w:pStyle w:val="Odsekzoznamu"/>
        <w:numPr>
          <w:ilvl w:val="0"/>
          <w:numId w:val="21"/>
        </w:numPr>
      </w:pPr>
      <w:r w:rsidRPr="005C2CEC">
        <w:t xml:space="preserve">časového rámca potrebného na realizáciu investičných projektov. </w:t>
      </w:r>
    </w:p>
    <w:p w14:paraId="660571ED" w14:textId="77777777" w:rsidR="001A69A2" w:rsidRDefault="00C07F6F" w:rsidP="0074745B">
      <w:r>
        <w:t>Investičné projekty s hodnotou nižšou ako 1 mil. eur uvedie ministerstvo v investičnom pláne sumárne v rámci jednej položky, prípadne v rámci skupín položiek (napr.</w:t>
      </w:r>
      <w:r w:rsidR="001A69A2">
        <w:t xml:space="preserve"> rozdelené na</w:t>
      </w:r>
      <w:r>
        <w:t xml:space="preserve"> stavebné práce, IT, </w:t>
      </w:r>
      <w:r w:rsidR="001A69A2">
        <w:t>ostatné,</w:t>
      </w:r>
      <w:r>
        <w:t xml:space="preserve"> a pod). </w:t>
      </w:r>
    </w:p>
    <w:p w14:paraId="2290C577" w14:textId="1F590402" w:rsidR="0074745B" w:rsidRPr="00577F95" w:rsidRDefault="0074745B" w:rsidP="0074745B">
      <w:pPr>
        <w:rPr>
          <w:lang w:val="en-GB"/>
        </w:rPr>
      </w:pPr>
      <w:r w:rsidRPr="005C2CEC">
        <w:t xml:space="preserve">Ministerstvo </w:t>
      </w:r>
      <w:r w:rsidR="00634ABD">
        <w:t xml:space="preserve">môže </w:t>
      </w:r>
      <w:r w:rsidRPr="005C2CEC">
        <w:t xml:space="preserve">v investičnom pláne </w:t>
      </w:r>
      <w:r w:rsidR="00634ABD">
        <w:t xml:space="preserve">uviesť </w:t>
      </w:r>
      <w:r w:rsidRPr="005C2CEC">
        <w:t xml:space="preserve">indikatívny rámec budúcich ročných kapitálových výdavkov stanovený na základe priemernej ročnej </w:t>
      </w:r>
      <w:r w:rsidR="00D964FB" w:rsidRPr="005C2CEC">
        <w:t xml:space="preserve">nominálnej </w:t>
      </w:r>
      <w:r w:rsidRPr="005C2CEC">
        <w:t>hodnoty kapitálových výdavkov ministerstva za obdobie predchádzajúcich 5 rokov. Priemernú ročnú hodnotu kapitálových výdavkov</w:t>
      </w:r>
      <w:r w:rsidR="00634ABD">
        <w:t xml:space="preserve"> by malo ministerstvo upraviť</w:t>
      </w:r>
      <w:r w:rsidRPr="005C2CEC">
        <w:t xml:space="preserve"> (zníži</w:t>
      </w:r>
      <w:r w:rsidR="00634ABD">
        <w:t>ť</w:t>
      </w:r>
      <w:r w:rsidRPr="005C2CEC">
        <w:t>) o kapitálové výdavky, ktoré boli jednorazového charakteru a nebudú sa v období platnosti investičného plánu (</w:t>
      </w:r>
      <w:r w:rsidR="009A1EA3">
        <w:t>5</w:t>
      </w:r>
      <w:r w:rsidRPr="005C2CEC">
        <w:t xml:space="preserve"> rokov) opakovať. Indikatívny rámec budúcich ročných kapitálových výdavkov </w:t>
      </w:r>
      <w:r w:rsidR="00634ABD">
        <w:t>by mal byť upravený</w:t>
      </w:r>
      <w:r w:rsidRPr="005C2CEC">
        <w:t xml:space="preserve"> o:</w:t>
      </w:r>
    </w:p>
    <w:p w14:paraId="26F42EC3" w14:textId="5F4F429F" w:rsidR="0074745B" w:rsidRPr="005C2CEC" w:rsidRDefault="0074745B" w:rsidP="004A2BFA">
      <w:pPr>
        <w:pStyle w:val="Odsekzoznamu"/>
        <w:numPr>
          <w:ilvl w:val="0"/>
          <w:numId w:val="41"/>
        </w:numPr>
      </w:pPr>
      <w:r w:rsidRPr="005C2CEC">
        <w:t xml:space="preserve">všetky </w:t>
      </w:r>
      <w:r w:rsidR="00C02733">
        <w:t>schválené</w:t>
      </w:r>
      <w:r w:rsidR="00C02733" w:rsidRPr="005C2CEC">
        <w:t xml:space="preserve"> </w:t>
      </w:r>
      <w:r w:rsidRPr="005C2CEC">
        <w:t>opatrenia vo verejnej politike s očakávaným dlhodobým dopadom na rozpočet kapitálových výdavkov kapitoly (napr. zmena vo vyžadovanom rozsahu údržby cestnej infraštruktúry),</w:t>
      </w:r>
    </w:p>
    <w:p w14:paraId="64CC9843" w14:textId="4D1D225A" w:rsidR="0074745B" w:rsidRPr="005C2CEC" w:rsidRDefault="0074745B" w:rsidP="004A2BFA">
      <w:pPr>
        <w:pStyle w:val="Odsekzoznamu"/>
        <w:numPr>
          <w:ilvl w:val="0"/>
          <w:numId w:val="41"/>
        </w:numPr>
      </w:pPr>
      <w:r w:rsidRPr="005C2CEC">
        <w:t xml:space="preserve">všetky známe zmeny v možnostiach financovania z fondov EÚ a iných zahraničných zdrojov s očakávaným dopadom na rozpočet kapitálových výdavkov kapitoly (napr. schválené financovanie rekonštrukcie nemocníc v určitom objeme z </w:t>
      </w:r>
      <w:r w:rsidR="00A95A41">
        <w:t>Plánu</w:t>
      </w:r>
      <w:r w:rsidR="00A95A41" w:rsidRPr="005C2CEC">
        <w:t xml:space="preserve"> </w:t>
      </w:r>
      <w:r w:rsidRPr="005C2CEC">
        <w:t>obnovy a</w:t>
      </w:r>
      <w:r w:rsidR="0091443B">
        <w:t> </w:t>
      </w:r>
      <w:r w:rsidRPr="005C2CEC">
        <w:t>odolnosti</w:t>
      </w:r>
      <w:r w:rsidR="0091443B">
        <w:t xml:space="preserve"> alebo </w:t>
      </w:r>
      <w:r w:rsidR="00876DF0">
        <w:t>čerpanie</w:t>
      </w:r>
      <w:r w:rsidR="0091443B">
        <w:t xml:space="preserve"> prostriedkov z EŠIF, kde je alokácia na programové obdobie známa dopredu</w:t>
      </w:r>
      <w:r w:rsidRPr="005C2CEC">
        <w:t>)</w:t>
      </w:r>
      <w:r w:rsidR="006430B8">
        <w:t>.</w:t>
      </w:r>
    </w:p>
    <w:p w14:paraId="3C17C9F7" w14:textId="3D90B566" w:rsidR="00103323" w:rsidRDefault="00422129">
      <w:r>
        <w:t>Výpočet indikatívneho rámca budúcich ročných kapitálových výdavkov</w:t>
      </w:r>
      <w:r w:rsidR="00634ABD">
        <w:t xml:space="preserve"> by malo</w:t>
      </w:r>
      <w:r>
        <w:t xml:space="preserve"> ministerstvo</w:t>
      </w:r>
      <w:r w:rsidR="0098764E">
        <w:t xml:space="preserve"> v investičnom pláne op</w:t>
      </w:r>
      <w:r w:rsidR="00634ABD">
        <w:t>ísať</w:t>
      </w:r>
      <w:r w:rsidR="0098764E">
        <w:t xml:space="preserve"> a</w:t>
      </w:r>
      <w:r>
        <w:t xml:space="preserve"> </w:t>
      </w:r>
      <w:r w:rsidR="00634ABD">
        <w:t>adekvátne zdôvodniť</w:t>
      </w:r>
      <w:r w:rsidR="00103323">
        <w:t>.</w:t>
      </w:r>
    </w:p>
    <w:p w14:paraId="7B648393" w14:textId="3E85E922" w:rsidR="00CF4641" w:rsidRPr="005C2CEC" w:rsidRDefault="00477835">
      <w:r w:rsidRPr="005C2CEC">
        <w:t>Investičný plán</w:t>
      </w:r>
      <w:r w:rsidR="00F854C9" w:rsidRPr="005C2CEC">
        <w:t xml:space="preserve"> obsahuje</w:t>
      </w:r>
      <w:r w:rsidR="008F53DE" w:rsidRPr="005C2CEC">
        <w:t xml:space="preserve"> aj predpokladané výdavky</w:t>
      </w:r>
      <w:r w:rsidR="000C63FD" w:rsidRPr="005C2CEC">
        <w:t xml:space="preserve"> na prípravu a realizáciu jednotlivých investičných projektov</w:t>
      </w:r>
      <w:r w:rsidR="00831CCB" w:rsidRPr="005C2CEC">
        <w:t>, ktoré sú</w:t>
      </w:r>
      <w:r w:rsidR="000C63FD" w:rsidRPr="005C2CEC">
        <w:t xml:space="preserve"> </w:t>
      </w:r>
      <w:r w:rsidR="00831CCB" w:rsidRPr="005C2CEC">
        <w:t>uvedené po kalendárnych rokoch.</w:t>
      </w:r>
      <w:r w:rsidR="00CF4641" w:rsidRPr="005C2CEC">
        <w:t xml:space="preserve"> </w:t>
      </w:r>
      <w:r w:rsidR="002757FB">
        <w:t xml:space="preserve">V prípade PPP projektov zahŕňa investičný plán aj výdavky vykazované </w:t>
      </w:r>
      <w:r w:rsidR="00F81FB6">
        <w:t xml:space="preserve">ako bežné výdavky. </w:t>
      </w:r>
      <w:r w:rsidR="00762F87" w:rsidRPr="005C2CEC">
        <w:t xml:space="preserve">Súčasťou </w:t>
      </w:r>
      <w:r w:rsidRPr="005C2CEC">
        <w:t>investičného plánu</w:t>
      </w:r>
      <w:r w:rsidR="003772D9" w:rsidRPr="005C2CEC">
        <w:t xml:space="preserve"> </w:t>
      </w:r>
      <w:r w:rsidR="00762F87" w:rsidRPr="005C2CEC">
        <w:t>je harmonogram prípravy projektovej dokumentácie.</w:t>
      </w:r>
      <w:r w:rsidR="00BF6EA0" w:rsidRPr="005C2CEC">
        <w:t xml:space="preserve"> Investor</w:t>
      </w:r>
      <w:r w:rsidR="00D964FB" w:rsidRPr="005C2CEC">
        <w:t xml:space="preserve"> a MF SR</w:t>
      </w:r>
      <w:r w:rsidR="00BF6EA0" w:rsidRPr="005C2CEC">
        <w:t xml:space="preserve"> zohľadní</w:t>
      </w:r>
      <w:r w:rsidR="00D964FB" w:rsidRPr="005C2CEC">
        <w:t xml:space="preserve"> investičný plán</w:t>
      </w:r>
      <w:r w:rsidR="00BF6EA0" w:rsidRPr="005C2CEC">
        <w:t xml:space="preserve"> pri tvorbe rozpočtu v súlade s kapitolou </w:t>
      </w:r>
      <w:r w:rsidR="00BF6EA0" w:rsidRPr="005C2CEC">
        <w:fldChar w:fldCharType="begin"/>
      </w:r>
      <w:r w:rsidR="00BF6EA0" w:rsidRPr="005C2CEC">
        <w:instrText xml:space="preserve"> REF _Ref47967456 \r \h </w:instrText>
      </w:r>
      <w:r w:rsidR="005C2CEC">
        <w:instrText xml:space="preserve"> \* MERGEFORMAT </w:instrText>
      </w:r>
      <w:r w:rsidR="00BF6EA0" w:rsidRPr="005C2CEC">
        <w:fldChar w:fldCharType="separate"/>
      </w:r>
      <w:r w:rsidR="000D2AF7">
        <w:t>6</w:t>
      </w:r>
      <w:r w:rsidR="00BF6EA0" w:rsidRPr="005C2CEC">
        <w:fldChar w:fldCharType="end"/>
      </w:r>
      <w:r w:rsidR="00BF6EA0" w:rsidRPr="005C2CEC">
        <w:t xml:space="preserve"> </w:t>
      </w:r>
      <w:r w:rsidR="00BF6EA0" w:rsidRPr="005C2CEC">
        <w:fldChar w:fldCharType="begin"/>
      </w:r>
      <w:r w:rsidR="00BF6EA0" w:rsidRPr="005C2CEC">
        <w:instrText xml:space="preserve"> REF _Ref47967458 \h </w:instrText>
      </w:r>
      <w:r w:rsidR="005C2CEC">
        <w:instrText xml:space="preserve"> \* MERGEFORMAT </w:instrText>
      </w:r>
      <w:r w:rsidR="00BF6EA0" w:rsidRPr="005C2CEC">
        <w:fldChar w:fldCharType="separate"/>
      </w:r>
      <w:r w:rsidR="000D2AF7">
        <w:t>Rozpočtovanie</w:t>
      </w:r>
      <w:r w:rsidR="000D2AF7" w:rsidRPr="005C2CEC">
        <w:t xml:space="preserve"> kapitálových výdavkov</w:t>
      </w:r>
      <w:r w:rsidR="00BF6EA0" w:rsidRPr="005C2CEC">
        <w:fldChar w:fldCharType="end"/>
      </w:r>
      <w:r w:rsidR="00BF6EA0" w:rsidRPr="005C2CEC">
        <w:t>.</w:t>
      </w:r>
    </w:p>
    <w:p w14:paraId="6A63D76C" w14:textId="7F0268D8" w:rsidR="00F10A6C" w:rsidRPr="005C2CEC" w:rsidRDefault="00F10A6C" w:rsidP="00F10A6C">
      <w:pPr>
        <w:pStyle w:val="Popis"/>
      </w:pPr>
      <w:r w:rsidRPr="005C2CEC">
        <w:t xml:space="preserve">Box </w:t>
      </w:r>
      <w:r w:rsidR="001F2F09" w:rsidRPr="005C2CEC">
        <w:rPr>
          <w:noProof/>
        </w:rPr>
        <w:fldChar w:fldCharType="begin"/>
      </w:r>
      <w:r w:rsidR="001F2F09" w:rsidRPr="005C2CEC">
        <w:rPr>
          <w:noProof/>
        </w:rPr>
        <w:instrText xml:space="preserve"> SEQ Box \* ARABIC </w:instrText>
      </w:r>
      <w:r w:rsidR="001F2F09" w:rsidRPr="005C2CEC">
        <w:rPr>
          <w:noProof/>
        </w:rPr>
        <w:fldChar w:fldCharType="separate"/>
      </w:r>
      <w:r w:rsidR="000D2AF7">
        <w:rPr>
          <w:noProof/>
        </w:rPr>
        <w:t>7</w:t>
      </w:r>
      <w:r w:rsidR="001F2F09" w:rsidRPr="005C2CEC">
        <w:rPr>
          <w:noProof/>
        </w:rPr>
        <w:fldChar w:fldCharType="end"/>
      </w:r>
      <w:r w:rsidRPr="005C2CEC">
        <w:t xml:space="preserve">: Príklad </w:t>
      </w:r>
      <w:r w:rsidR="003772D9" w:rsidRPr="005C2CEC">
        <w:t>investičn</w:t>
      </w:r>
      <w:r w:rsidR="00F16206" w:rsidRPr="005C2CEC">
        <w:t>ého plán</w:t>
      </w:r>
      <w:r w:rsidR="00CC6029" w:rsidRPr="005C2CEC">
        <w:t>ovania</w:t>
      </w:r>
      <w:r w:rsidR="003772D9" w:rsidRPr="005C2CEC">
        <w:t xml:space="preserve"> </w:t>
      </w:r>
      <w:r w:rsidR="00CC6029" w:rsidRPr="005C2CEC">
        <w:t>vo</w:t>
      </w:r>
      <w:r w:rsidR="001577A0" w:rsidRPr="005C2CEC">
        <w:t> Veľkej Británi</w:t>
      </w:r>
      <w:r w:rsidR="00CC6029" w:rsidRPr="005C2CEC">
        <w:t>i</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Layout w:type="fixed"/>
        <w:tblCellMar>
          <w:left w:w="70" w:type="dxa"/>
          <w:right w:w="70" w:type="dxa"/>
        </w:tblCellMar>
        <w:tblLook w:val="04A0" w:firstRow="1" w:lastRow="0" w:firstColumn="1" w:lastColumn="0" w:noHBand="0" w:noVBand="1"/>
      </w:tblPr>
      <w:tblGrid>
        <w:gridCol w:w="9072"/>
      </w:tblGrid>
      <w:tr w:rsidR="00F10A6C" w:rsidRPr="005C2CEC" w14:paraId="6E6E8023" w14:textId="77777777" w:rsidTr="00AD3587">
        <w:tc>
          <w:tcPr>
            <w:tcW w:w="9072" w:type="dxa"/>
            <w:shd w:val="clear" w:color="auto" w:fill="DEEAF6" w:themeFill="accent1" w:themeFillTint="33"/>
          </w:tcPr>
          <w:p w14:paraId="28FE8538" w14:textId="6F145F9B" w:rsidR="007176E4" w:rsidRPr="005C2CEC" w:rsidRDefault="00865D6B" w:rsidP="00C00A8E">
            <w:r w:rsidRPr="005C2CEC">
              <w:t xml:space="preserve">Národná investičná autorita </w:t>
            </w:r>
            <w:r w:rsidR="001577A0" w:rsidRPr="005C2CEC">
              <w:t xml:space="preserve">vo Veľkej Británii </w:t>
            </w:r>
            <w:r w:rsidR="001F0FD8" w:rsidRPr="005C2CEC">
              <w:t>zverejnila</w:t>
            </w:r>
            <w:r w:rsidRPr="005C2CEC">
              <w:t xml:space="preserve"> </w:t>
            </w:r>
            <w:r w:rsidR="001F0FD8" w:rsidRPr="005C2CEC">
              <w:t xml:space="preserve">v roku </w:t>
            </w:r>
            <w:r w:rsidR="007176E4" w:rsidRPr="005C2CEC">
              <w:t>2015</w:t>
            </w:r>
            <w:r w:rsidR="001F0FD8" w:rsidRPr="005C2CEC">
              <w:t xml:space="preserve"> </w:t>
            </w:r>
            <w:r w:rsidRPr="005C2CEC">
              <w:t xml:space="preserve">strategický dokument </w:t>
            </w:r>
            <w:hyperlink r:id="rId34" w:history="1">
              <w:r w:rsidRPr="002A56BA">
                <w:rPr>
                  <w:rStyle w:val="Hypertextovprepojenie"/>
                </w:rPr>
                <w:t>National Infrastructure Delivery Plan</w:t>
              </w:r>
              <w:r w:rsidR="007176E4" w:rsidRPr="002A56BA">
                <w:rPr>
                  <w:rStyle w:val="Hypertextovprepojenie"/>
                </w:rPr>
                <w:t xml:space="preserve"> 2016-2021</w:t>
              </w:r>
            </w:hyperlink>
            <w:r w:rsidR="002A56BA">
              <w:t>,</w:t>
            </w:r>
            <w:r w:rsidRPr="005C2CEC">
              <w:t xml:space="preserve"> ktorý predstavuje </w:t>
            </w:r>
            <w:r w:rsidR="001F0FD8" w:rsidRPr="005C2CEC">
              <w:t>5-ročný plán budovania ekonomickej, obytnej a spoločenskej infraštruktúry naprieč krajinou.</w:t>
            </w:r>
            <w:r w:rsidR="007176E4" w:rsidRPr="005C2CEC">
              <w:t xml:space="preserve"> Súčasťou plánu sú </w:t>
            </w:r>
            <w:r w:rsidR="000D6972" w:rsidRPr="005C2CEC">
              <w:t>kľúčové projekty a programy, významné míľniky verejných politík, ako aj podrobnosti týkajúce sa priorizácie, účinnosti a výstavby infraštruktúry.</w:t>
            </w:r>
          </w:p>
          <w:p w14:paraId="12689FB5" w14:textId="687C39C2" w:rsidR="007176E4" w:rsidRPr="005C2CEC" w:rsidRDefault="007176E4" w:rsidP="00C00A8E">
            <w:r w:rsidRPr="005C2CEC">
              <w:t>Plán je každoročne aktualizovaný</w:t>
            </w:r>
            <w:r w:rsidR="000D6972" w:rsidRPr="005C2CEC">
              <w:t xml:space="preserve"> a vyhodnocovaný</w:t>
            </w:r>
            <w:r w:rsidRPr="005C2CEC">
              <w:t xml:space="preserve"> prostredníctvom dokumentu „National Infrastructure and Construction Pipeline“, ktorý upresňuje objem a stav plánovaných investícií</w:t>
            </w:r>
            <w:r w:rsidR="000D6972" w:rsidRPr="005C2CEC">
              <w:t xml:space="preserve"> v jednotlivých sektoroch</w:t>
            </w:r>
            <w:r w:rsidRPr="005C2CEC">
              <w:t>.</w:t>
            </w:r>
            <w:r w:rsidR="000D6972" w:rsidRPr="005C2CEC">
              <w:t xml:space="preserve"> Súčasťou sprievodnej dokumentácie je zoznam približne 700 projektov, programov a iných investícií</w:t>
            </w:r>
            <w:r w:rsidR="006F1171" w:rsidRPr="005C2CEC">
              <w:t xml:space="preserve"> rozložených v jednotlivých rokoch</w:t>
            </w:r>
            <w:r w:rsidR="000D6972" w:rsidRPr="005C2CEC">
              <w:t>.</w:t>
            </w:r>
          </w:p>
          <w:p w14:paraId="5F58D72D" w14:textId="3A86458F" w:rsidR="002A56BA" w:rsidRPr="005C2CEC" w:rsidRDefault="005E4215" w:rsidP="00450439">
            <w:pPr>
              <w:pStyle w:val="Popis"/>
            </w:pPr>
            <w:bookmarkStart w:id="114" w:name="_Toc83651111"/>
            <w:r>
              <w:t xml:space="preserve">Tabuľka </w:t>
            </w:r>
            <w:r w:rsidR="0028456A">
              <w:rPr>
                <w:b w:val="0"/>
                <w:iCs w:val="0"/>
              </w:rPr>
              <w:fldChar w:fldCharType="begin"/>
            </w:r>
            <w:r w:rsidR="0028456A">
              <w:rPr>
                <w:b w:val="0"/>
                <w:iCs w:val="0"/>
              </w:rPr>
              <w:instrText xml:space="preserve"> SEQ Tabuľka \* ARABIC </w:instrText>
            </w:r>
            <w:r w:rsidR="0028456A">
              <w:rPr>
                <w:b w:val="0"/>
                <w:iCs w:val="0"/>
              </w:rPr>
              <w:fldChar w:fldCharType="separate"/>
            </w:r>
            <w:r w:rsidR="003B5091">
              <w:rPr>
                <w:b w:val="0"/>
                <w:iCs w:val="0"/>
                <w:noProof/>
              </w:rPr>
              <w:t>6</w:t>
            </w:r>
            <w:r w:rsidR="0028456A">
              <w:rPr>
                <w:b w:val="0"/>
                <w:iCs w:val="0"/>
                <w:noProof/>
              </w:rPr>
              <w:fldChar w:fldCharType="end"/>
            </w:r>
            <w:r>
              <w:t>: Príklad investičného plánovania vo Veľkej Británii</w:t>
            </w:r>
            <w:bookmarkEnd w:id="114"/>
          </w:p>
          <w:tbl>
            <w:tblPr>
              <w:tblW w:w="8864" w:type="dxa"/>
              <w:tblLayout w:type="fixed"/>
              <w:tblCellMar>
                <w:left w:w="0" w:type="dxa"/>
                <w:right w:w="0" w:type="dxa"/>
              </w:tblCellMar>
              <w:tblLook w:val="04A0" w:firstRow="1" w:lastRow="0" w:firstColumn="1" w:lastColumn="0" w:noHBand="0" w:noVBand="1"/>
            </w:tblPr>
            <w:tblGrid>
              <w:gridCol w:w="642"/>
              <w:gridCol w:w="2552"/>
              <w:gridCol w:w="567"/>
              <w:gridCol w:w="567"/>
              <w:gridCol w:w="708"/>
              <w:gridCol w:w="751"/>
              <w:gridCol w:w="752"/>
              <w:gridCol w:w="751"/>
              <w:gridCol w:w="752"/>
              <w:gridCol w:w="822"/>
            </w:tblGrid>
            <w:tr w:rsidR="002522E9" w:rsidRPr="002A56BA" w14:paraId="61F97175" w14:textId="77777777" w:rsidTr="00450439">
              <w:trPr>
                <w:trHeight w:val="420"/>
              </w:trPr>
              <w:tc>
                <w:tcPr>
                  <w:tcW w:w="642" w:type="dxa"/>
                  <w:tcBorders>
                    <w:top w:val="nil"/>
                    <w:left w:val="nil"/>
                    <w:bottom w:val="nil"/>
                    <w:right w:val="nil"/>
                  </w:tcBorders>
                  <w:shd w:val="clear" w:color="84A2CD" w:fill="84A2CD"/>
                  <w:vAlign w:val="center"/>
                  <w:hideMark/>
                </w:tcPr>
                <w:p w14:paraId="6E43B8E1" w14:textId="77777777" w:rsidR="002A56BA" w:rsidRPr="002A56BA" w:rsidRDefault="002A56BA" w:rsidP="002A56BA">
                  <w:pPr>
                    <w:spacing w:after="0" w:line="240" w:lineRule="auto"/>
                    <w:jc w:val="center"/>
                    <w:rPr>
                      <w:rFonts w:eastAsia="Times New Roman" w:cs="Times New Roman"/>
                      <w:b/>
                      <w:bCs/>
                      <w:sz w:val="16"/>
                      <w:szCs w:val="16"/>
                      <w:lang w:eastAsia="sk-SK"/>
                    </w:rPr>
                  </w:pPr>
                  <w:r w:rsidRPr="002A56BA">
                    <w:rPr>
                      <w:rFonts w:eastAsia="Times New Roman" w:cs="Times New Roman"/>
                      <w:b/>
                      <w:bCs/>
                      <w:sz w:val="16"/>
                      <w:szCs w:val="16"/>
                      <w:lang w:eastAsia="sk-SK"/>
                    </w:rPr>
                    <w:t>Sector</w:t>
                  </w:r>
                </w:p>
              </w:tc>
              <w:tc>
                <w:tcPr>
                  <w:tcW w:w="2552" w:type="dxa"/>
                  <w:tcBorders>
                    <w:top w:val="nil"/>
                    <w:left w:val="single" w:sz="4" w:space="0" w:color="FFFFFF"/>
                    <w:bottom w:val="nil"/>
                    <w:right w:val="nil"/>
                  </w:tcBorders>
                  <w:shd w:val="clear" w:color="84A2CD" w:fill="84A2CD"/>
                  <w:vAlign w:val="center"/>
                  <w:hideMark/>
                </w:tcPr>
                <w:p w14:paraId="37188048" w14:textId="77777777" w:rsidR="002A56BA" w:rsidRPr="002A56BA" w:rsidRDefault="002A56BA" w:rsidP="002A56BA">
                  <w:pPr>
                    <w:spacing w:after="0" w:line="240" w:lineRule="auto"/>
                    <w:jc w:val="center"/>
                    <w:rPr>
                      <w:rFonts w:eastAsia="Times New Roman" w:cs="Times New Roman"/>
                      <w:b/>
                      <w:bCs/>
                      <w:sz w:val="16"/>
                      <w:szCs w:val="16"/>
                      <w:lang w:eastAsia="sk-SK"/>
                    </w:rPr>
                  </w:pPr>
                  <w:r w:rsidRPr="002A56BA">
                    <w:rPr>
                      <w:rFonts w:eastAsia="Times New Roman" w:cs="Times New Roman"/>
                      <w:b/>
                      <w:bCs/>
                      <w:sz w:val="16"/>
                      <w:szCs w:val="16"/>
                      <w:lang w:eastAsia="sk-SK"/>
                    </w:rPr>
                    <w:t>Project / Programme Name</w:t>
                  </w:r>
                </w:p>
              </w:tc>
              <w:tc>
                <w:tcPr>
                  <w:tcW w:w="567" w:type="dxa"/>
                  <w:tcBorders>
                    <w:top w:val="nil"/>
                    <w:left w:val="single" w:sz="4" w:space="0" w:color="FFFFFF"/>
                    <w:bottom w:val="nil"/>
                    <w:right w:val="nil"/>
                  </w:tcBorders>
                  <w:shd w:val="clear" w:color="84A2CD" w:fill="84A2CD"/>
                  <w:vAlign w:val="center"/>
                  <w:hideMark/>
                </w:tcPr>
                <w:p w14:paraId="41FE1D67" w14:textId="77777777" w:rsidR="002A56BA" w:rsidRPr="002A56BA" w:rsidRDefault="002A56BA" w:rsidP="002A56BA">
                  <w:pPr>
                    <w:spacing w:after="0" w:line="240" w:lineRule="auto"/>
                    <w:jc w:val="center"/>
                    <w:rPr>
                      <w:rFonts w:eastAsia="Times New Roman" w:cs="Times New Roman"/>
                      <w:b/>
                      <w:bCs/>
                      <w:sz w:val="16"/>
                      <w:szCs w:val="16"/>
                      <w:lang w:eastAsia="sk-SK"/>
                    </w:rPr>
                  </w:pPr>
                  <w:r w:rsidRPr="002A56BA">
                    <w:rPr>
                      <w:rFonts w:eastAsia="Times New Roman" w:cs="Times New Roman"/>
                      <w:b/>
                      <w:bCs/>
                      <w:sz w:val="16"/>
                      <w:szCs w:val="16"/>
                      <w:lang w:eastAsia="sk-SK"/>
                    </w:rPr>
                    <w:t>Region</w:t>
                  </w:r>
                </w:p>
              </w:tc>
              <w:tc>
                <w:tcPr>
                  <w:tcW w:w="567" w:type="dxa"/>
                  <w:tcBorders>
                    <w:top w:val="nil"/>
                    <w:left w:val="single" w:sz="4" w:space="0" w:color="FFFFFF"/>
                    <w:bottom w:val="nil"/>
                    <w:right w:val="nil"/>
                  </w:tcBorders>
                  <w:shd w:val="clear" w:color="84A2CD" w:fill="84A2CD"/>
                  <w:vAlign w:val="center"/>
                  <w:hideMark/>
                </w:tcPr>
                <w:p w14:paraId="4CBACAB0" w14:textId="635CD501" w:rsidR="002A56BA" w:rsidRPr="002A56BA" w:rsidRDefault="002522E9">
                  <w:pPr>
                    <w:spacing w:after="0" w:line="240" w:lineRule="auto"/>
                    <w:jc w:val="center"/>
                    <w:rPr>
                      <w:rFonts w:eastAsia="Times New Roman" w:cs="Times New Roman"/>
                      <w:b/>
                      <w:bCs/>
                      <w:sz w:val="16"/>
                      <w:szCs w:val="16"/>
                      <w:lang w:eastAsia="sk-SK"/>
                    </w:rPr>
                  </w:pPr>
                  <w:r>
                    <w:rPr>
                      <w:rFonts w:eastAsia="Times New Roman" w:cs="Times New Roman"/>
                      <w:b/>
                      <w:bCs/>
                      <w:sz w:val="16"/>
                      <w:szCs w:val="16"/>
                      <w:lang w:eastAsia="sk-SK"/>
                    </w:rPr>
                    <w:t>Start of Works</w:t>
                  </w:r>
                </w:p>
              </w:tc>
              <w:tc>
                <w:tcPr>
                  <w:tcW w:w="708" w:type="dxa"/>
                  <w:tcBorders>
                    <w:top w:val="nil"/>
                    <w:left w:val="single" w:sz="4" w:space="0" w:color="FFFFFF"/>
                    <w:bottom w:val="nil"/>
                    <w:right w:val="nil"/>
                  </w:tcBorders>
                  <w:shd w:val="clear" w:color="84A2CD" w:fill="84A2CD"/>
                  <w:vAlign w:val="center"/>
                  <w:hideMark/>
                </w:tcPr>
                <w:p w14:paraId="34FEACB6" w14:textId="77777777" w:rsidR="002A56BA" w:rsidRPr="002A56BA" w:rsidRDefault="002A56BA" w:rsidP="002A56BA">
                  <w:pPr>
                    <w:spacing w:after="0" w:line="240" w:lineRule="auto"/>
                    <w:jc w:val="center"/>
                    <w:rPr>
                      <w:rFonts w:eastAsia="Times New Roman" w:cs="Times New Roman"/>
                      <w:b/>
                      <w:bCs/>
                      <w:sz w:val="16"/>
                      <w:szCs w:val="16"/>
                      <w:lang w:eastAsia="sk-SK"/>
                    </w:rPr>
                  </w:pPr>
                  <w:r w:rsidRPr="002A56BA">
                    <w:rPr>
                      <w:rFonts w:eastAsia="Times New Roman" w:cs="Times New Roman"/>
                      <w:b/>
                      <w:bCs/>
                      <w:sz w:val="16"/>
                      <w:szCs w:val="16"/>
                      <w:lang w:eastAsia="sk-SK"/>
                    </w:rPr>
                    <w:t>Total Capex Cost (£m)</w:t>
                  </w:r>
                </w:p>
              </w:tc>
              <w:tc>
                <w:tcPr>
                  <w:tcW w:w="751" w:type="dxa"/>
                  <w:tcBorders>
                    <w:top w:val="nil"/>
                    <w:left w:val="single" w:sz="4" w:space="0" w:color="FFFFFF"/>
                    <w:bottom w:val="nil"/>
                    <w:right w:val="nil"/>
                  </w:tcBorders>
                  <w:shd w:val="clear" w:color="84A2CD" w:fill="84A2CD"/>
                  <w:vAlign w:val="center"/>
                  <w:hideMark/>
                </w:tcPr>
                <w:p w14:paraId="293495BD" w14:textId="77777777" w:rsidR="002A56BA" w:rsidRPr="002A56BA" w:rsidRDefault="002A56BA" w:rsidP="002A56BA">
                  <w:pPr>
                    <w:spacing w:after="0" w:line="240" w:lineRule="auto"/>
                    <w:jc w:val="center"/>
                    <w:rPr>
                      <w:rFonts w:eastAsia="Times New Roman" w:cs="Times New Roman"/>
                      <w:b/>
                      <w:bCs/>
                      <w:sz w:val="16"/>
                      <w:szCs w:val="16"/>
                      <w:lang w:eastAsia="sk-SK"/>
                    </w:rPr>
                  </w:pPr>
                  <w:r w:rsidRPr="002A56BA">
                    <w:rPr>
                      <w:rFonts w:eastAsia="Times New Roman" w:cs="Times New Roman"/>
                      <w:b/>
                      <w:bCs/>
                      <w:sz w:val="16"/>
                      <w:szCs w:val="16"/>
                      <w:lang w:eastAsia="sk-SK"/>
                    </w:rPr>
                    <w:t>2017/18</w:t>
                  </w:r>
                  <w:r w:rsidRPr="002A56BA">
                    <w:rPr>
                      <w:rFonts w:eastAsia="Times New Roman" w:cs="Times New Roman"/>
                      <w:b/>
                      <w:bCs/>
                      <w:sz w:val="16"/>
                      <w:szCs w:val="16"/>
                      <w:lang w:eastAsia="sk-SK"/>
                    </w:rPr>
                    <w:br/>
                    <w:t>(£m)</w:t>
                  </w:r>
                </w:p>
              </w:tc>
              <w:tc>
                <w:tcPr>
                  <w:tcW w:w="752" w:type="dxa"/>
                  <w:tcBorders>
                    <w:top w:val="nil"/>
                    <w:left w:val="single" w:sz="4" w:space="0" w:color="FFFFFF"/>
                    <w:bottom w:val="nil"/>
                    <w:right w:val="nil"/>
                  </w:tcBorders>
                  <w:shd w:val="clear" w:color="84A2CD" w:fill="84A2CD"/>
                  <w:vAlign w:val="center"/>
                  <w:hideMark/>
                </w:tcPr>
                <w:p w14:paraId="61614268" w14:textId="77777777" w:rsidR="002A56BA" w:rsidRPr="002A56BA" w:rsidRDefault="002A56BA" w:rsidP="002A56BA">
                  <w:pPr>
                    <w:spacing w:after="0" w:line="240" w:lineRule="auto"/>
                    <w:jc w:val="center"/>
                    <w:rPr>
                      <w:rFonts w:eastAsia="Times New Roman" w:cs="Times New Roman"/>
                      <w:b/>
                      <w:bCs/>
                      <w:sz w:val="16"/>
                      <w:szCs w:val="16"/>
                      <w:lang w:eastAsia="sk-SK"/>
                    </w:rPr>
                  </w:pPr>
                  <w:r w:rsidRPr="002A56BA">
                    <w:rPr>
                      <w:rFonts w:eastAsia="Times New Roman" w:cs="Times New Roman"/>
                      <w:b/>
                      <w:bCs/>
                      <w:sz w:val="16"/>
                      <w:szCs w:val="16"/>
                      <w:lang w:eastAsia="sk-SK"/>
                    </w:rPr>
                    <w:t>2018/19</w:t>
                  </w:r>
                  <w:r w:rsidRPr="002A56BA">
                    <w:rPr>
                      <w:rFonts w:eastAsia="Times New Roman" w:cs="Times New Roman"/>
                      <w:b/>
                      <w:bCs/>
                      <w:sz w:val="16"/>
                      <w:szCs w:val="16"/>
                      <w:lang w:eastAsia="sk-SK"/>
                    </w:rPr>
                    <w:br/>
                    <w:t>(£m)</w:t>
                  </w:r>
                </w:p>
              </w:tc>
              <w:tc>
                <w:tcPr>
                  <w:tcW w:w="751" w:type="dxa"/>
                  <w:tcBorders>
                    <w:top w:val="nil"/>
                    <w:left w:val="single" w:sz="4" w:space="0" w:color="FFFFFF"/>
                    <w:bottom w:val="nil"/>
                    <w:right w:val="nil"/>
                  </w:tcBorders>
                  <w:shd w:val="clear" w:color="84A2CD" w:fill="84A2CD"/>
                  <w:vAlign w:val="center"/>
                  <w:hideMark/>
                </w:tcPr>
                <w:p w14:paraId="6B3D8C4F" w14:textId="77777777" w:rsidR="002A56BA" w:rsidRPr="002A56BA" w:rsidRDefault="002A56BA" w:rsidP="002A56BA">
                  <w:pPr>
                    <w:spacing w:after="0" w:line="240" w:lineRule="auto"/>
                    <w:jc w:val="center"/>
                    <w:rPr>
                      <w:rFonts w:eastAsia="Times New Roman" w:cs="Times New Roman"/>
                      <w:b/>
                      <w:bCs/>
                      <w:sz w:val="16"/>
                      <w:szCs w:val="16"/>
                      <w:lang w:eastAsia="sk-SK"/>
                    </w:rPr>
                  </w:pPr>
                  <w:r w:rsidRPr="002A56BA">
                    <w:rPr>
                      <w:rFonts w:eastAsia="Times New Roman" w:cs="Times New Roman"/>
                      <w:b/>
                      <w:bCs/>
                      <w:sz w:val="16"/>
                      <w:szCs w:val="16"/>
                      <w:lang w:eastAsia="sk-SK"/>
                    </w:rPr>
                    <w:t>2019/20</w:t>
                  </w:r>
                  <w:r w:rsidRPr="002A56BA">
                    <w:rPr>
                      <w:rFonts w:eastAsia="Times New Roman" w:cs="Times New Roman"/>
                      <w:b/>
                      <w:bCs/>
                      <w:sz w:val="16"/>
                      <w:szCs w:val="16"/>
                      <w:lang w:eastAsia="sk-SK"/>
                    </w:rPr>
                    <w:br/>
                    <w:t>(£m)</w:t>
                  </w:r>
                </w:p>
              </w:tc>
              <w:tc>
                <w:tcPr>
                  <w:tcW w:w="752" w:type="dxa"/>
                  <w:tcBorders>
                    <w:top w:val="nil"/>
                    <w:left w:val="single" w:sz="4" w:space="0" w:color="FFFFFF"/>
                    <w:bottom w:val="nil"/>
                    <w:right w:val="nil"/>
                  </w:tcBorders>
                  <w:shd w:val="clear" w:color="84A2CD" w:fill="84A2CD"/>
                  <w:vAlign w:val="center"/>
                  <w:hideMark/>
                </w:tcPr>
                <w:p w14:paraId="333CAE8F" w14:textId="77777777" w:rsidR="002A56BA" w:rsidRPr="002A56BA" w:rsidRDefault="002A56BA" w:rsidP="002A56BA">
                  <w:pPr>
                    <w:spacing w:after="0" w:line="240" w:lineRule="auto"/>
                    <w:jc w:val="center"/>
                    <w:rPr>
                      <w:rFonts w:eastAsia="Times New Roman" w:cs="Times New Roman"/>
                      <w:b/>
                      <w:bCs/>
                      <w:sz w:val="16"/>
                      <w:szCs w:val="16"/>
                      <w:lang w:eastAsia="sk-SK"/>
                    </w:rPr>
                  </w:pPr>
                  <w:r w:rsidRPr="002A56BA">
                    <w:rPr>
                      <w:rFonts w:eastAsia="Times New Roman" w:cs="Times New Roman"/>
                      <w:b/>
                      <w:bCs/>
                      <w:sz w:val="16"/>
                      <w:szCs w:val="16"/>
                      <w:lang w:eastAsia="sk-SK"/>
                    </w:rPr>
                    <w:t>2020/21</w:t>
                  </w:r>
                  <w:r w:rsidRPr="002A56BA">
                    <w:rPr>
                      <w:rFonts w:eastAsia="Times New Roman" w:cs="Times New Roman"/>
                      <w:b/>
                      <w:bCs/>
                      <w:sz w:val="16"/>
                      <w:szCs w:val="16"/>
                      <w:lang w:eastAsia="sk-SK"/>
                    </w:rPr>
                    <w:br/>
                    <w:t>(£m)</w:t>
                  </w:r>
                </w:p>
              </w:tc>
              <w:tc>
                <w:tcPr>
                  <w:tcW w:w="822" w:type="dxa"/>
                  <w:tcBorders>
                    <w:top w:val="nil"/>
                    <w:left w:val="single" w:sz="4" w:space="0" w:color="FFFFFF"/>
                    <w:bottom w:val="nil"/>
                    <w:right w:val="nil"/>
                  </w:tcBorders>
                  <w:shd w:val="clear" w:color="84A2CD" w:fill="84A2CD"/>
                  <w:vAlign w:val="center"/>
                  <w:hideMark/>
                </w:tcPr>
                <w:p w14:paraId="3A01612B" w14:textId="77777777" w:rsidR="002A56BA" w:rsidRPr="002A56BA" w:rsidRDefault="002A56BA" w:rsidP="002A56BA">
                  <w:pPr>
                    <w:spacing w:after="0" w:line="240" w:lineRule="auto"/>
                    <w:jc w:val="center"/>
                    <w:rPr>
                      <w:rFonts w:eastAsia="Times New Roman" w:cs="Times New Roman"/>
                      <w:b/>
                      <w:bCs/>
                      <w:sz w:val="16"/>
                      <w:szCs w:val="16"/>
                      <w:lang w:eastAsia="sk-SK"/>
                    </w:rPr>
                  </w:pPr>
                  <w:r w:rsidRPr="002A56BA">
                    <w:rPr>
                      <w:rFonts w:eastAsia="Times New Roman" w:cs="Times New Roman"/>
                      <w:b/>
                      <w:bCs/>
                      <w:sz w:val="16"/>
                      <w:szCs w:val="16"/>
                      <w:lang w:eastAsia="sk-SK"/>
                    </w:rPr>
                    <w:t xml:space="preserve"> 2021/22 and Beyond (£m)</w:t>
                  </w:r>
                </w:p>
              </w:tc>
            </w:tr>
            <w:tr w:rsidR="002522E9" w:rsidRPr="002A56BA" w14:paraId="20EE224E" w14:textId="77777777" w:rsidTr="00450439">
              <w:trPr>
                <w:trHeight w:val="210"/>
              </w:trPr>
              <w:tc>
                <w:tcPr>
                  <w:tcW w:w="642" w:type="dxa"/>
                  <w:tcBorders>
                    <w:top w:val="single" w:sz="4" w:space="0" w:color="FFFFFF"/>
                    <w:left w:val="nil"/>
                    <w:bottom w:val="nil"/>
                    <w:right w:val="nil"/>
                  </w:tcBorders>
                  <w:shd w:val="clear" w:color="A5BAD7" w:fill="A5BAD7"/>
                  <w:hideMark/>
                </w:tcPr>
                <w:p w14:paraId="3982703E"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Transport</w:t>
                  </w:r>
                </w:p>
              </w:tc>
              <w:tc>
                <w:tcPr>
                  <w:tcW w:w="2552" w:type="dxa"/>
                  <w:tcBorders>
                    <w:top w:val="single" w:sz="4" w:space="0" w:color="FFFFFF"/>
                    <w:left w:val="single" w:sz="4" w:space="0" w:color="FFFFFF"/>
                    <w:bottom w:val="nil"/>
                    <w:right w:val="nil"/>
                  </w:tcBorders>
                  <w:shd w:val="clear" w:color="A5BAD7" w:fill="A5BAD7"/>
                  <w:hideMark/>
                </w:tcPr>
                <w:p w14:paraId="5C18D316"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HS2 - National high speed rail network (phases one and two)</w:t>
                  </w:r>
                </w:p>
              </w:tc>
              <w:tc>
                <w:tcPr>
                  <w:tcW w:w="567" w:type="dxa"/>
                  <w:tcBorders>
                    <w:top w:val="single" w:sz="4" w:space="0" w:color="FFFFFF"/>
                    <w:left w:val="single" w:sz="4" w:space="0" w:color="FFFFFF"/>
                    <w:bottom w:val="nil"/>
                    <w:right w:val="nil"/>
                  </w:tcBorders>
                  <w:shd w:val="clear" w:color="A5BAD7" w:fill="A5BAD7"/>
                  <w:hideMark/>
                </w:tcPr>
                <w:p w14:paraId="3F66E7A8"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England</w:t>
                  </w:r>
                </w:p>
              </w:tc>
              <w:tc>
                <w:tcPr>
                  <w:tcW w:w="567" w:type="dxa"/>
                  <w:tcBorders>
                    <w:top w:val="single" w:sz="4" w:space="0" w:color="FFFFFF"/>
                    <w:left w:val="single" w:sz="4" w:space="0" w:color="FFFFFF"/>
                    <w:bottom w:val="nil"/>
                    <w:right w:val="nil"/>
                  </w:tcBorders>
                  <w:shd w:val="clear" w:color="A5BAD7" w:fill="A5BAD7"/>
                  <w:noWrap/>
                  <w:hideMark/>
                </w:tcPr>
                <w:p w14:paraId="69D1EAC0" w14:textId="77777777" w:rsidR="002A56BA" w:rsidRPr="002A56BA" w:rsidRDefault="002A56BA">
                  <w:pPr>
                    <w:spacing w:after="0" w:line="240" w:lineRule="auto"/>
                    <w:jc w:val="center"/>
                    <w:rPr>
                      <w:rFonts w:eastAsia="Times New Roman" w:cs="Times New Roman"/>
                      <w:color w:val="000000"/>
                      <w:sz w:val="16"/>
                      <w:szCs w:val="16"/>
                      <w:lang w:eastAsia="sk-SK"/>
                    </w:rPr>
                  </w:pPr>
                  <w:r w:rsidRPr="002A56BA">
                    <w:rPr>
                      <w:rFonts w:eastAsia="Times New Roman" w:cs="Times New Roman"/>
                      <w:color w:val="000000"/>
                      <w:sz w:val="16"/>
                      <w:szCs w:val="16"/>
                      <w:lang w:eastAsia="sk-SK"/>
                    </w:rPr>
                    <w:t>2017</w:t>
                  </w:r>
                </w:p>
              </w:tc>
              <w:tc>
                <w:tcPr>
                  <w:tcW w:w="708" w:type="dxa"/>
                  <w:tcBorders>
                    <w:top w:val="single" w:sz="4" w:space="0" w:color="FFFFFF"/>
                    <w:left w:val="single" w:sz="4" w:space="0" w:color="FFFFFF"/>
                    <w:bottom w:val="nil"/>
                    <w:right w:val="nil"/>
                  </w:tcBorders>
                  <w:shd w:val="clear" w:color="A5BAD7" w:fill="A5BAD7"/>
                  <w:noWrap/>
                  <w:hideMark/>
                </w:tcPr>
                <w:p w14:paraId="3527B5F8" w14:textId="77777777" w:rsidR="002A56BA" w:rsidRPr="002A56BA" w:rsidRDefault="002A56BA" w:rsidP="00450439">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55 700,00 </w:t>
                  </w:r>
                </w:p>
              </w:tc>
              <w:tc>
                <w:tcPr>
                  <w:tcW w:w="751" w:type="dxa"/>
                  <w:tcBorders>
                    <w:top w:val="single" w:sz="4" w:space="0" w:color="FFFFFF"/>
                    <w:left w:val="single" w:sz="4" w:space="0" w:color="FFFFFF"/>
                    <w:bottom w:val="nil"/>
                    <w:right w:val="nil"/>
                  </w:tcBorders>
                  <w:shd w:val="clear" w:color="A5BAD7" w:fill="A5BAD7"/>
                  <w:noWrap/>
                  <w:hideMark/>
                </w:tcPr>
                <w:p w14:paraId="4F7CCC5A"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1 858,40 </w:t>
                  </w:r>
                </w:p>
              </w:tc>
              <w:tc>
                <w:tcPr>
                  <w:tcW w:w="752" w:type="dxa"/>
                  <w:tcBorders>
                    <w:top w:val="single" w:sz="4" w:space="0" w:color="FFFFFF"/>
                    <w:left w:val="single" w:sz="4" w:space="0" w:color="FFFFFF"/>
                    <w:bottom w:val="nil"/>
                    <w:right w:val="nil"/>
                  </w:tcBorders>
                  <w:shd w:val="clear" w:color="A5BAD7" w:fill="A5BAD7"/>
                  <w:noWrap/>
                  <w:hideMark/>
                </w:tcPr>
                <w:p w14:paraId="01B869B2"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2 876,00 </w:t>
                  </w:r>
                </w:p>
              </w:tc>
              <w:tc>
                <w:tcPr>
                  <w:tcW w:w="751" w:type="dxa"/>
                  <w:tcBorders>
                    <w:top w:val="single" w:sz="4" w:space="0" w:color="FFFFFF"/>
                    <w:left w:val="single" w:sz="4" w:space="0" w:color="FFFFFF"/>
                    <w:bottom w:val="nil"/>
                    <w:right w:val="nil"/>
                  </w:tcBorders>
                  <w:shd w:val="clear" w:color="A5BAD7" w:fill="A5BAD7"/>
                  <w:noWrap/>
                  <w:hideMark/>
                </w:tcPr>
                <w:p w14:paraId="1ABB92B4"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4 600,00 </w:t>
                  </w:r>
                </w:p>
              </w:tc>
              <w:tc>
                <w:tcPr>
                  <w:tcW w:w="752" w:type="dxa"/>
                  <w:tcBorders>
                    <w:top w:val="single" w:sz="4" w:space="0" w:color="FFFFFF"/>
                    <w:left w:val="single" w:sz="4" w:space="0" w:color="FFFFFF"/>
                    <w:bottom w:val="nil"/>
                    <w:right w:val="nil"/>
                  </w:tcBorders>
                  <w:shd w:val="clear" w:color="A5BAD7" w:fill="A5BAD7"/>
                  <w:noWrap/>
                  <w:hideMark/>
                </w:tcPr>
                <w:p w14:paraId="28F7D059"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4 600,00 </w:t>
                  </w:r>
                </w:p>
              </w:tc>
              <w:tc>
                <w:tcPr>
                  <w:tcW w:w="822" w:type="dxa"/>
                  <w:tcBorders>
                    <w:top w:val="single" w:sz="4" w:space="0" w:color="FFFFFF"/>
                    <w:left w:val="single" w:sz="4" w:space="0" w:color="FFFFFF"/>
                    <w:bottom w:val="nil"/>
                    <w:right w:val="nil"/>
                  </w:tcBorders>
                  <w:shd w:val="clear" w:color="A5BAD7" w:fill="A5BAD7"/>
                  <w:noWrap/>
                  <w:hideMark/>
                </w:tcPr>
                <w:p w14:paraId="46009F5A" w14:textId="28EAF4DE" w:rsidR="002A56BA" w:rsidRPr="002A56BA" w:rsidRDefault="002522E9">
                  <w:pPr>
                    <w:spacing w:after="0" w:line="240" w:lineRule="auto"/>
                    <w:jc w:val="right"/>
                    <w:rPr>
                      <w:rFonts w:eastAsia="Times New Roman" w:cs="Times New Roman"/>
                      <w:color w:val="000000"/>
                      <w:sz w:val="16"/>
                      <w:szCs w:val="16"/>
                      <w:lang w:eastAsia="sk-SK"/>
                    </w:rPr>
                  </w:pPr>
                  <w:r>
                    <w:rPr>
                      <w:rFonts w:eastAsia="Times New Roman" w:cs="Times New Roman"/>
                      <w:color w:val="000000"/>
                      <w:sz w:val="16"/>
                      <w:szCs w:val="16"/>
                      <w:lang w:eastAsia="sk-SK"/>
                    </w:rPr>
                    <w:t xml:space="preserve">    40 </w:t>
                  </w:r>
                  <w:r w:rsidR="002A56BA" w:rsidRPr="002A56BA">
                    <w:rPr>
                      <w:rFonts w:eastAsia="Times New Roman" w:cs="Times New Roman"/>
                      <w:color w:val="000000"/>
                      <w:sz w:val="16"/>
                      <w:szCs w:val="16"/>
                      <w:lang w:eastAsia="sk-SK"/>
                    </w:rPr>
                    <w:t xml:space="preserve">528,60 </w:t>
                  </w:r>
                </w:p>
              </w:tc>
            </w:tr>
            <w:tr w:rsidR="002522E9" w:rsidRPr="002A56BA" w14:paraId="61F83802" w14:textId="77777777" w:rsidTr="00450439">
              <w:trPr>
                <w:trHeight w:val="210"/>
              </w:trPr>
              <w:tc>
                <w:tcPr>
                  <w:tcW w:w="642" w:type="dxa"/>
                  <w:tcBorders>
                    <w:top w:val="single" w:sz="4" w:space="0" w:color="FFFFFF"/>
                    <w:left w:val="nil"/>
                    <w:bottom w:val="nil"/>
                    <w:right w:val="nil"/>
                  </w:tcBorders>
                  <w:shd w:val="clear" w:color="DBE5F1" w:fill="DBE5F1"/>
                  <w:hideMark/>
                </w:tcPr>
                <w:p w14:paraId="6AA6BF4F"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Energy</w:t>
                  </w:r>
                </w:p>
              </w:tc>
              <w:tc>
                <w:tcPr>
                  <w:tcW w:w="2552" w:type="dxa"/>
                  <w:tcBorders>
                    <w:top w:val="single" w:sz="4" w:space="0" w:color="FFFFFF"/>
                    <w:left w:val="single" w:sz="4" w:space="0" w:color="FFFFFF"/>
                    <w:bottom w:val="nil"/>
                    <w:right w:val="nil"/>
                  </w:tcBorders>
                  <w:shd w:val="clear" w:color="DBE5F1" w:fill="DBE5F1"/>
                  <w:hideMark/>
                </w:tcPr>
                <w:p w14:paraId="1A0623A7"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Upstream Oil &amp; Gas</w:t>
                  </w:r>
                </w:p>
              </w:tc>
              <w:tc>
                <w:tcPr>
                  <w:tcW w:w="567" w:type="dxa"/>
                  <w:tcBorders>
                    <w:top w:val="single" w:sz="4" w:space="0" w:color="FFFFFF"/>
                    <w:left w:val="single" w:sz="4" w:space="0" w:color="FFFFFF"/>
                    <w:bottom w:val="nil"/>
                    <w:right w:val="nil"/>
                  </w:tcBorders>
                  <w:shd w:val="clear" w:color="DBE5F1" w:fill="DBE5F1"/>
                  <w:hideMark/>
                </w:tcPr>
                <w:p w14:paraId="78926AFF"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Offshore</w:t>
                  </w:r>
                </w:p>
              </w:tc>
              <w:tc>
                <w:tcPr>
                  <w:tcW w:w="567" w:type="dxa"/>
                  <w:tcBorders>
                    <w:top w:val="single" w:sz="4" w:space="0" w:color="FFFFFF"/>
                    <w:left w:val="single" w:sz="4" w:space="0" w:color="FFFFFF"/>
                    <w:bottom w:val="nil"/>
                    <w:right w:val="nil"/>
                  </w:tcBorders>
                  <w:shd w:val="clear" w:color="DBE5F1" w:fill="DBE5F1"/>
                  <w:noWrap/>
                  <w:hideMark/>
                </w:tcPr>
                <w:p w14:paraId="241FB4B8" w14:textId="77777777" w:rsidR="002A56BA" w:rsidRPr="002A56BA" w:rsidRDefault="002A56BA">
                  <w:pPr>
                    <w:spacing w:after="0" w:line="240" w:lineRule="auto"/>
                    <w:jc w:val="center"/>
                    <w:rPr>
                      <w:rFonts w:eastAsia="Times New Roman" w:cs="Times New Roman"/>
                      <w:color w:val="000000"/>
                      <w:sz w:val="16"/>
                      <w:szCs w:val="16"/>
                      <w:lang w:eastAsia="sk-SK"/>
                    </w:rPr>
                  </w:pPr>
                  <w:r w:rsidRPr="002A56BA">
                    <w:rPr>
                      <w:rFonts w:eastAsia="Times New Roman" w:cs="Times New Roman"/>
                      <w:color w:val="000000"/>
                      <w:sz w:val="16"/>
                      <w:szCs w:val="16"/>
                      <w:lang w:eastAsia="sk-SK"/>
                    </w:rPr>
                    <w:t>Started</w:t>
                  </w:r>
                </w:p>
              </w:tc>
              <w:tc>
                <w:tcPr>
                  <w:tcW w:w="708" w:type="dxa"/>
                  <w:tcBorders>
                    <w:top w:val="single" w:sz="4" w:space="0" w:color="FFFFFF"/>
                    <w:left w:val="single" w:sz="4" w:space="0" w:color="FFFFFF"/>
                    <w:bottom w:val="nil"/>
                    <w:right w:val="nil"/>
                  </w:tcBorders>
                  <w:shd w:val="clear" w:color="DBE5F1" w:fill="DBE5F1"/>
                  <w:noWrap/>
                  <w:hideMark/>
                </w:tcPr>
                <w:p w14:paraId="6F64C8E3" w14:textId="77777777" w:rsidR="002A56BA" w:rsidRPr="002A56BA" w:rsidRDefault="002A56BA" w:rsidP="00450439">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41 021,93 </w:t>
                  </w:r>
                </w:p>
              </w:tc>
              <w:tc>
                <w:tcPr>
                  <w:tcW w:w="751" w:type="dxa"/>
                  <w:tcBorders>
                    <w:top w:val="single" w:sz="4" w:space="0" w:color="FFFFFF"/>
                    <w:left w:val="single" w:sz="4" w:space="0" w:color="FFFFFF"/>
                    <w:bottom w:val="nil"/>
                    <w:right w:val="nil"/>
                  </w:tcBorders>
                  <w:shd w:val="clear" w:color="DBE5F1" w:fill="DBE5F1"/>
                  <w:noWrap/>
                  <w:hideMark/>
                </w:tcPr>
                <w:p w14:paraId="087BA8B3"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5 603,10 </w:t>
                  </w:r>
                </w:p>
              </w:tc>
              <w:tc>
                <w:tcPr>
                  <w:tcW w:w="752" w:type="dxa"/>
                  <w:tcBorders>
                    <w:top w:val="single" w:sz="4" w:space="0" w:color="FFFFFF"/>
                    <w:left w:val="single" w:sz="4" w:space="0" w:color="FFFFFF"/>
                    <w:bottom w:val="nil"/>
                    <w:right w:val="nil"/>
                  </w:tcBorders>
                  <w:shd w:val="clear" w:color="DBE5F1" w:fill="DBE5F1"/>
                  <w:noWrap/>
                  <w:hideMark/>
                </w:tcPr>
                <w:p w14:paraId="0B0394CD"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5 800,00 </w:t>
                  </w:r>
                </w:p>
              </w:tc>
              <w:tc>
                <w:tcPr>
                  <w:tcW w:w="751" w:type="dxa"/>
                  <w:tcBorders>
                    <w:top w:val="single" w:sz="4" w:space="0" w:color="FFFFFF"/>
                    <w:left w:val="single" w:sz="4" w:space="0" w:color="FFFFFF"/>
                    <w:bottom w:val="nil"/>
                    <w:right w:val="nil"/>
                  </w:tcBorders>
                  <w:shd w:val="clear" w:color="DBE5F1" w:fill="DBE5F1"/>
                  <w:noWrap/>
                  <w:hideMark/>
                </w:tcPr>
                <w:p w14:paraId="237031AC"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5 400,00 </w:t>
                  </w:r>
                </w:p>
              </w:tc>
              <w:tc>
                <w:tcPr>
                  <w:tcW w:w="752" w:type="dxa"/>
                  <w:tcBorders>
                    <w:top w:val="single" w:sz="4" w:space="0" w:color="FFFFFF"/>
                    <w:left w:val="single" w:sz="4" w:space="0" w:color="FFFFFF"/>
                    <w:bottom w:val="nil"/>
                    <w:right w:val="nil"/>
                  </w:tcBorders>
                  <w:shd w:val="clear" w:color="DBE5F1" w:fill="DBE5F1"/>
                  <w:noWrap/>
                  <w:hideMark/>
                </w:tcPr>
                <w:p w14:paraId="222E6BFA"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5 000,00 </w:t>
                  </w:r>
                </w:p>
              </w:tc>
              <w:tc>
                <w:tcPr>
                  <w:tcW w:w="822" w:type="dxa"/>
                  <w:tcBorders>
                    <w:top w:val="single" w:sz="4" w:space="0" w:color="FFFFFF"/>
                    <w:left w:val="single" w:sz="4" w:space="0" w:color="FFFFFF"/>
                    <w:bottom w:val="nil"/>
                    <w:right w:val="nil"/>
                  </w:tcBorders>
                  <w:shd w:val="clear" w:color="DBE5F1" w:fill="DBE5F1"/>
                  <w:noWrap/>
                  <w:hideMark/>
                </w:tcPr>
                <w:p w14:paraId="69F11D26"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10 750,00 </w:t>
                  </w:r>
                </w:p>
              </w:tc>
            </w:tr>
            <w:tr w:rsidR="002522E9" w:rsidRPr="002A56BA" w14:paraId="61D76BB0" w14:textId="77777777" w:rsidTr="00450439">
              <w:trPr>
                <w:trHeight w:val="210"/>
              </w:trPr>
              <w:tc>
                <w:tcPr>
                  <w:tcW w:w="642" w:type="dxa"/>
                  <w:tcBorders>
                    <w:top w:val="single" w:sz="4" w:space="0" w:color="FFFFFF"/>
                    <w:left w:val="nil"/>
                    <w:bottom w:val="nil"/>
                    <w:right w:val="nil"/>
                  </w:tcBorders>
                  <w:shd w:val="clear" w:color="A5BAD7" w:fill="A5BAD7"/>
                  <w:hideMark/>
                </w:tcPr>
                <w:p w14:paraId="0A899293"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Transport</w:t>
                  </w:r>
                </w:p>
              </w:tc>
              <w:tc>
                <w:tcPr>
                  <w:tcW w:w="2552" w:type="dxa"/>
                  <w:tcBorders>
                    <w:top w:val="single" w:sz="4" w:space="0" w:color="FFFFFF"/>
                    <w:left w:val="single" w:sz="4" w:space="0" w:color="FFFFFF"/>
                    <w:bottom w:val="nil"/>
                    <w:right w:val="nil"/>
                  </w:tcBorders>
                  <w:shd w:val="clear" w:color="A5BAD7" w:fill="A5BAD7"/>
                  <w:hideMark/>
                </w:tcPr>
                <w:p w14:paraId="5AC8CFD1"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Crossrail</w:t>
                  </w:r>
                </w:p>
              </w:tc>
              <w:tc>
                <w:tcPr>
                  <w:tcW w:w="567" w:type="dxa"/>
                  <w:tcBorders>
                    <w:top w:val="single" w:sz="4" w:space="0" w:color="FFFFFF"/>
                    <w:left w:val="single" w:sz="4" w:space="0" w:color="FFFFFF"/>
                    <w:bottom w:val="nil"/>
                    <w:right w:val="nil"/>
                  </w:tcBorders>
                  <w:shd w:val="clear" w:color="A5BAD7" w:fill="A5BAD7"/>
                  <w:hideMark/>
                </w:tcPr>
                <w:p w14:paraId="64D96A87"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London</w:t>
                  </w:r>
                </w:p>
              </w:tc>
              <w:tc>
                <w:tcPr>
                  <w:tcW w:w="567" w:type="dxa"/>
                  <w:tcBorders>
                    <w:top w:val="single" w:sz="4" w:space="0" w:color="FFFFFF"/>
                    <w:left w:val="single" w:sz="4" w:space="0" w:color="FFFFFF"/>
                    <w:bottom w:val="nil"/>
                    <w:right w:val="nil"/>
                  </w:tcBorders>
                  <w:shd w:val="clear" w:color="A5BAD7" w:fill="A5BAD7"/>
                  <w:noWrap/>
                  <w:hideMark/>
                </w:tcPr>
                <w:p w14:paraId="03D8A293" w14:textId="77777777" w:rsidR="002A56BA" w:rsidRPr="002A56BA" w:rsidRDefault="002A56BA">
                  <w:pPr>
                    <w:spacing w:after="0" w:line="240" w:lineRule="auto"/>
                    <w:jc w:val="center"/>
                    <w:rPr>
                      <w:rFonts w:eastAsia="Times New Roman" w:cs="Times New Roman"/>
                      <w:color w:val="000000"/>
                      <w:sz w:val="16"/>
                      <w:szCs w:val="16"/>
                      <w:lang w:eastAsia="sk-SK"/>
                    </w:rPr>
                  </w:pPr>
                  <w:r w:rsidRPr="002A56BA">
                    <w:rPr>
                      <w:rFonts w:eastAsia="Times New Roman" w:cs="Times New Roman"/>
                      <w:color w:val="000000"/>
                      <w:sz w:val="16"/>
                      <w:szCs w:val="16"/>
                      <w:lang w:eastAsia="sk-SK"/>
                    </w:rPr>
                    <w:t>2009</w:t>
                  </w:r>
                </w:p>
              </w:tc>
              <w:tc>
                <w:tcPr>
                  <w:tcW w:w="708" w:type="dxa"/>
                  <w:tcBorders>
                    <w:top w:val="single" w:sz="4" w:space="0" w:color="FFFFFF"/>
                    <w:left w:val="single" w:sz="4" w:space="0" w:color="FFFFFF"/>
                    <w:bottom w:val="nil"/>
                    <w:right w:val="nil"/>
                  </w:tcBorders>
                  <w:shd w:val="clear" w:color="A5BAD7" w:fill="A5BAD7"/>
                  <w:noWrap/>
                  <w:hideMark/>
                </w:tcPr>
                <w:p w14:paraId="28E1999A" w14:textId="77777777" w:rsidR="002A56BA" w:rsidRPr="002A56BA" w:rsidRDefault="002A56BA" w:rsidP="00450439">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15 740,00 </w:t>
                  </w:r>
                </w:p>
              </w:tc>
              <w:tc>
                <w:tcPr>
                  <w:tcW w:w="751" w:type="dxa"/>
                  <w:tcBorders>
                    <w:top w:val="single" w:sz="4" w:space="0" w:color="FFFFFF"/>
                    <w:left w:val="single" w:sz="4" w:space="0" w:color="FFFFFF"/>
                    <w:bottom w:val="nil"/>
                    <w:right w:val="nil"/>
                  </w:tcBorders>
                  <w:shd w:val="clear" w:color="A5BAD7" w:fill="A5BAD7"/>
                  <w:noWrap/>
                  <w:hideMark/>
                </w:tcPr>
                <w:p w14:paraId="71CE6543"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2 030,00 </w:t>
                  </w:r>
                </w:p>
              </w:tc>
              <w:tc>
                <w:tcPr>
                  <w:tcW w:w="752" w:type="dxa"/>
                  <w:tcBorders>
                    <w:top w:val="single" w:sz="4" w:space="0" w:color="FFFFFF"/>
                    <w:left w:val="single" w:sz="4" w:space="0" w:color="FFFFFF"/>
                    <w:bottom w:val="nil"/>
                    <w:right w:val="nil"/>
                  </w:tcBorders>
                  <w:shd w:val="clear" w:color="A5BAD7" w:fill="A5BAD7"/>
                  <w:noWrap/>
                  <w:hideMark/>
                </w:tcPr>
                <w:p w14:paraId="160F9DA6"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1 188,00 </w:t>
                  </w:r>
                </w:p>
              </w:tc>
              <w:tc>
                <w:tcPr>
                  <w:tcW w:w="751" w:type="dxa"/>
                  <w:tcBorders>
                    <w:top w:val="single" w:sz="4" w:space="0" w:color="FFFFFF"/>
                    <w:left w:val="single" w:sz="4" w:space="0" w:color="FFFFFF"/>
                    <w:bottom w:val="nil"/>
                    <w:right w:val="nil"/>
                  </w:tcBorders>
                  <w:shd w:val="clear" w:color="A5BAD7" w:fill="A5BAD7"/>
                  <w:noWrap/>
                  <w:hideMark/>
                </w:tcPr>
                <w:p w14:paraId="701FA8C4"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76,00 </w:t>
                  </w:r>
                </w:p>
              </w:tc>
              <w:tc>
                <w:tcPr>
                  <w:tcW w:w="752" w:type="dxa"/>
                  <w:tcBorders>
                    <w:top w:val="single" w:sz="4" w:space="0" w:color="FFFFFF"/>
                    <w:left w:val="single" w:sz="4" w:space="0" w:color="FFFFFF"/>
                    <w:bottom w:val="nil"/>
                    <w:right w:val="nil"/>
                  </w:tcBorders>
                  <w:shd w:val="clear" w:color="A5BAD7" w:fill="A5BAD7"/>
                  <w:noWrap/>
                  <w:hideMark/>
                </w:tcPr>
                <w:p w14:paraId="099A61A4"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25,00 </w:t>
                  </w:r>
                </w:p>
              </w:tc>
              <w:tc>
                <w:tcPr>
                  <w:tcW w:w="822" w:type="dxa"/>
                  <w:tcBorders>
                    <w:top w:val="single" w:sz="4" w:space="0" w:color="FFFFFF"/>
                    <w:left w:val="single" w:sz="4" w:space="0" w:color="FFFFFF"/>
                    <w:bottom w:val="nil"/>
                    <w:right w:val="nil"/>
                  </w:tcBorders>
                  <w:shd w:val="clear" w:color="A5BAD7" w:fill="A5BAD7"/>
                  <w:noWrap/>
                  <w:hideMark/>
                </w:tcPr>
                <w:p w14:paraId="02A07C91"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   </w:t>
                  </w:r>
                </w:p>
              </w:tc>
            </w:tr>
            <w:tr w:rsidR="002522E9" w:rsidRPr="002A56BA" w14:paraId="3559892A" w14:textId="77777777" w:rsidTr="00450439">
              <w:trPr>
                <w:trHeight w:val="210"/>
              </w:trPr>
              <w:tc>
                <w:tcPr>
                  <w:tcW w:w="642" w:type="dxa"/>
                  <w:tcBorders>
                    <w:top w:val="single" w:sz="4" w:space="0" w:color="FFFFFF"/>
                    <w:left w:val="nil"/>
                    <w:bottom w:val="nil"/>
                    <w:right w:val="nil"/>
                  </w:tcBorders>
                  <w:shd w:val="clear" w:color="DBE5F1" w:fill="DBE5F1"/>
                  <w:hideMark/>
                </w:tcPr>
                <w:p w14:paraId="204B34CE"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Education</w:t>
                  </w:r>
                </w:p>
              </w:tc>
              <w:tc>
                <w:tcPr>
                  <w:tcW w:w="2552" w:type="dxa"/>
                  <w:tcBorders>
                    <w:top w:val="single" w:sz="4" w:space="0" w:color="FFFFFF"/>
                    <w:left w:val="single" w:sz="4" w:space="0" w:color="FFFFFF"/>
                    <w:bottom w:val="nil"/>
                    <w:right w:val="nil"/>
                  </w:tcBorders>
                  <w:shd w:val="clear" w:color="DBE5F1" w:fill="DBE5F1"/>
                  <w:hideMark/>
                </w:tcPr>
                <w:p w14:paraId="0035829B"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Balance of spend identified in investing in Britain's Future</w:t>
                  </w:r>
                </w:p>
              </w:tc>
              <w:tc>
                <w:tcPr>
                  <w:tcW w:w="567" w:type="dxa"/>
                  <w:tcBorders>
                    <w:top w:val="single" w:sz="4" w:space="0" w:color="FFFFFF"/>
                    <w:left w:val="single" w:sz="4" w:space="0" w:color="FFFFFF"/>
                    <w:bottom w:val="nil"/>
                    <w:right w:val="nil"/>
                  </w:tcBorders>
                  <w:shd w:val="clear" w:color="DBE5F1" w:fill="DBE5F1"/>
                  <w:hideMark/>
                </w:tcPr>
                <w:p w14:paraId="1FE01787"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England</w:t>
                  </w:r>
                </w:p>
              </w:tc>
              <w:tc>
                <w:tcPr>
                  <w:tcW w:w="567" w:type="dxa"/>
                  <w:tcBorders>
                    <w:top w:val="single" w:sz="4" w:space="0" w:color="FFFFFF"/>
                    <w:left w:val="single" w:sz="4" w:space="0" w:color="FFFFFF"/>
                    <w:bottom w:val="nil"/>
                    <w:right w:val="nil"/>
                  </w:tcBorders>
                  <w:shd w:val="clear" w:color="DBE5F1" w:fill="DBE5F1"/>
                  <w:noWrap/>
                  <w:hideMark/>
                </w:tcPr>
                <w:p w14:paraId="72F357C1" w14:textId="77777777" w:rsidR="002A56BA" w:rsidRPr="002A56BA" w:rsidRDefault="002A56BA">
                  <w:pPr>
                    <w:spacing w:after="0" w:line="240" w:lineRule="auto"/>
                    <w:jc w:val="center"/>
                    <w:rPr>
                      <w:rFonts w:eastAsia="Times New Roman" w:cs="Times New Roman"/>
                      <w:color w:val="000000"/>
                      <w:sz w:val="16"/>
                      <w:szCs w:val="16"/>
                      <w:lang w:eastAsia="sk-SK"/>
                    </w:rPr>
                  </w:pPr>
                  <w:r w:rsidRPr="002A56BA">
                    <w:rPr>
                      <w:rFonts w:eastAsia="Times New Roman" w:cs="Times New Roman"/>
                      <w:color w:val="000000"/>
                      <w:sz w:val="16"/>
                      <w:szCs w:val="16"/>
                      <w:lang w:eastAsia="sk-SK"/>
                    </w:rPr>
                    <w:t>2015/16</w:t>
                  </w:r>
                </w:p>
              </w:tc>
              <w:tc>
                <w:tcPr>
                  <w:tcW w:w="708" w:type="dxa"/>
                  <w:tcBorders>
                    <w:top w:val="single" w:sz="4" w:space="0" w:color="FFFFFF"/>
                    <w:left w:val="single" w:sz="4" w:space="0" w:color="FFFFFF"/>
                    <w:bottom w:val="nil"/>
                    <w:right w:val="nil"/>
                  </w:tcBorders>
                  <w:shd w:val="clear" w:color="DBE5F1" w:fill="DBE5F1"/>
                  <w:noWrap/>
                  <w:hideMark/>
                </w:tcPr>
                <w:p w14:paraId="7C7A7ACD" w14:textId="77777777" w:rsidR="002A56BA" w:rsidRPr="002A56BA" w:rsidRDefault="002A56BA" w:rsidP="00450439">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14 997,00 </w:t>
                  </w:r>
                </w:p>
              </w:tc>
              <w:tc>
                <w:tcPr>
                  <w:tcW w:w="751" w:type="dxa"/>
                  <w:tcBorders>
                    <w:top w:val="single" w:sz="4" w:space="0" w:color="FFFFFF"/>
                    <w:left w:val="single" w:sz="4" w:space="0" w:color="FFFFFF"/>
                    <w:bottom w:val="nil"/>
                    <w:right w:val="nil"/>
                  </w:tcBorders>
                  <w:shd w:val="clear" w:color="DBE5F1" w:fill="DBE5F1"/>
                  <w:noWrap/>
                  <w:hideMark/>
                </w:tcPr>
                <w:p w14:paraId="01C5F5B3"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1 068,79 </w:t>
                  </w:r>
                </w:p>
              </w:tc>
              <w:tc>
                <w:tcPr>
                  <w:tcW w:w="752" w:type="dxa"/>
                  <w:tcBorders>
                    <w:top w:val="single" w:sz="4" w:space="0" w:color="FFFFFF"/>
                    <w:left w:val="single" w:sz="4" w:space="0" w:color="FFFFFF"/>
                    <w:bottom w:val="nil"/>
                    <w:right w:val="nil"/>
                  </w:tcBorders>
                  <w:shd w:val="clear" w:color="DBE5F1" w:fill="DBE5F1"/>
                  <w:noWrap/>
                  <w:hideMark/>
                </w:tcPr>
                <w:p w14:paraId="226F84CF"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2 354,54 </w:t>
                  </w:r>
                </w:p>
              </w:tc>
              <w:tc>
                <w:tcPr>
                  <w:tcW w:w="751" w:type="dxa"/>
                  <w:tcBorders>
                    <w:top w:val="single" w:sz="4" w:space="0" w:color="FFFFFF"/>
                    <w:left w:val="single" w:sz="4" w:space="0" w:color="FFFFFF"/>
                    <w:bottom w:val="nil"/>
                    <w:right w:val="nil"/>
                  </w:tcBorders>
                  <w:shd w:val="clear" w:color="DBE5F1" w:fill="DBE5F1"/>
                  <w:noWrap/>
                  <w:hideMark/>
                </w:tcPr>
                <w:p w14:paraId="2B46B632"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2 899,51 </w:t>
                  </w:r>
                </w:p>
              </w:tc>
              <w:tc>
                <w:tcPr>
                  <w:tcW w:w="752" w:type="dxa"/>
                  <w:tcBorders>
                    <w:top w:val="single" w:sz="4" w:space="0" w:color="FFFFFF"/>
                    <w:left w:val="single" w:sz="4" w:space="0" w:color="FFFFFF"/>
                    <w:bottom w:val="nil"/>
                    <w:right w:val="nil"/>
                  </w:tcBorders>
                  <w:shd w:val="clear" w:color="DBE5F1" w:fill="DBE5F1"/>
                  <w:noWrap/>
                  <w:hideMark/>
                </w:tcPr>
                <w:p w14:paraId="52C86119"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3 035,71 </w:t>
                  </w:r>
                </w:p>
              </w:tc>
              <w:tc>
                <w:tcPr>
                  <w:tcW w:w="822" w:type="dxa"/>
                  <w:tcBorders>
                    <w:top w:val="single" w:sz="4" w:space="0" w:color="FFFFFF"/>
                    <w:left w:val="single" w:sz="4" w:space="0" w:color="FFFFFF"/>
                    <w:bottom w:val="nil"/>
                    <w:right w:val="nil"/>
                  </w:tcBorders>
                  <w:shd w:val="clear" w:color="DBE5F1" w:fill="DBE5F1"/>
                  <w:noWrap/>
                  <w:hideMark/>
                </w:tcPr>
                <w:p w14:paraId="6C41DA1D"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   </w:t>
                  </w:r>
                </w:p>
              </w:tc>
            </w:tr>
            <w:tr w:rsidR="002522E9" w:rsidRPr="002A56BA" w14:paraId="02BF8AF2" w14:textId="77777777" w:rsidTr="00450439">
              <w:trPr>
                <w:trHeight w:val="210"/>
              </w:trPr>
              <w:tc>
                <w:tcPr>
                  <w:tcW w:w="642" w:type="dxa"/>
                  <w:tcBorders>
                    <w:top w:val="single" w:sz="4" w:space="0" w:color="FFFFFF"/>
                    <w:left w:val="nil"/>
                    <w:bottom w:val="nil"/>
                    <w:right w:val="nil"/>
                  </w:tcBorders>
                  <w:shd w:val="clear" w:color="A5BAD7" w:fill="A5BAD7"/>
                  <w:hideMark/>
                </w:tcPr>
                <w:p w14:paraId="46EFE933"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Energy</w:t>
                  </w:r>
                </w:p>
              </w:tc>
              <w:tc>
                <w:tcPr>
                  <w:tcW w:w="2552" w:type="dxa"/>
                  <w:tcBorders>
                    <w:top w:val="single" w:sz="4" w:space="0" w:color="FFFFFF"/>
                    <w:left w:val="single" w:sz="4" w:space="0" w:color="FFFFFF"/>
                    <w:bottom w:val="nil"/>
                    <w:right w:val="nil"/>
                  </w:tcBorders>
                  <w:shd w:val="clear" w:color="A5BAD7" w:fill="A5BAD7"/>
                  <w:hideMark/>
                </w:tcPr>
                <w:p w14:paraId="7CD2144D"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Other Generation to 2021</w:t>
                  </w:r>
                </w:p>
              </w:tc>
              <w:tc>
                <w:tcPr>
                  <w:tcW w:w="567" w:type="dxa"/>
                  <w:tcBorders>
                    <w:top w:val="single" w:sz="4" w:space="0" w:color="FFFFFF"/>
                    <w:left w:val="single" w:sz="4" w:space="0" w:color="FFFFFF"/>
                    <w:bottom w:val="nil"/>
                    <w:right w:val="nil"/>
                  </w:tcBorders>
                  <w:shd w:val="clear" w:color="A5BAD7" w:fill="A5BAD7"/>
                  <w:hideMark/>
                </w:tcPr>
                <w:p w14:paraId="2261D8D1"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UK</w:t>
                  </w:r>
                </w:p>
              </w:tc>
              <w:tc>
                <w:tcPr>
                  <w:tcW w:w="567" w:type="dxa"/>
                  <w:tcBorders>
                    <w:top w:val="single" w:sz="4" w:space="0" w:color="FFFFFF"/>
                    <w:left w:val="single" w:sz="4" w:space="0" w:color="FFFFFF"/>
                    <w:bottom w:val="nil"/>
                    <w:right w:val="nil"/>
                  </w:tcBorders>
                  <w:shd w:val="clear" w:color="A5BAD7" w:fill="A5BAD7"/>
                  <w:noWrap/>
                  <w:hideMark/>
                </w:tcPr>
                <w:p w14:paraId="1EC793BC" w14:textId="77777777" w:rsidR="002A56BA" w:rsidRPr="002A56BA" w:rsidRDefault="002A56BA">
                  <w:pPr>
                    <w:spacing w:after="0" w:line="240" w:lineRule="auto"/>
                    <w:jc w:val="center"/>
                    <w:rPr>
                      <w:rFonts w:eastAsia="Times New Roman" w:cs="Times New Roman"/>
                      <w:color w:val="000000"/>
                      <w:sz w:val="16"/>
                      <w:szCs w:val="16"/>
                      <w:lang w:eastAsia="sk-SK"/>
                    </w:rPr>
                  </w:pPr>
                  <w:r w:rsidRPr="002A56BA">
                    <w:rPr>
                      <w:rFonts w:eastAsia="Times New Roman" w:cs="Times New Roman"/>
                      <w:color w:val="000000"/>
                      <w:sz w:val="16"/>
                      <w:szCs w:val="16"/>
                      <w:lang w:eastAsia="sk-SK"/>
                    </w:rPr>
                    <w:t>2016/17</w:t>
                  </w:r>
                </w:p>
              </w:tc>
              <w:tc>
                <w:tcPr>
                  <w:tcW w:w="708" w:type="dxa"/>
                  <w:tcBorders>
                    <w:top w:val="single" w:sz="4" w:space="0" w:color="FFFFFF"/>
                    <w:left w:val="single" w:sz="4" w:space="0" w:color="FFFFFF"/>
                    <w:bottom w:val="nil"/>
                    <w:right w:val="nil"/>
                  </w:tcBorders>
                  <w:shd w:val="clear" w:color="A5BAD7" w:fill="A5BAD7"/>
                  <w:noWrap/>
                  <w:hideMark/>
                </w:tcPr>
                <w:p w14:paraId="697B438C" w14:textId="77777777" w:rsidR="002A56BA" w:rsidRPr="002A56BA" w:rsidRDefault="002A56BA" w:rsidP="00450439">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14 631,44 </w:t>
                  </w:r>
                </w:p>
              </w:tc>
              <w:tc>
                <w:tcPr>
                  <w:tcW w:w="751" w:type="dxa"/>
                  <w:tcBorders>
                    <w:top w:val="single" w:sz="4" w:space="0" w:color="FFFFFF"/>
                    <w:left w:val="single" w:sz="4" w:space="0" w:color="FFFFFF"/>
                    <w:bottom w:val="nil"/>
                    <w:right w:val="nil"/>
                  </w:tcBorders>
                  <w:shd w:val="clear" w:color="A5BAD7" w:fill="A5BAD7"/>
                  <w:noWrap/>
                  <w:hideMark/>
                </w:tcPr>
                <w:p w14:paraId="38DB512A"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2 851,22 </w:t>
                  </w:r>
                </w:p>
              </w:tc>
              <w:tc>
                <w:tcPr>
                  <w:tcW w:w="752" w:type="dxa"/>
                  <w:tcBorders>
                    <w:top w:val="single" w:sz="4" w:space="0" w:color="FFFFFF"/>
                    <w:left w:val="single" w:sz="4" w:space="0" w:color="FFFFFF"/>
                    <w:bottom w:val="nil"/>
                    <w:right w:val="nil"/>
                  </w:tcBorders>
                  <w:shd w:val="clear" w:color="A5BAD7" w:fill="A5BAD7"/>
                  <w:noWrap/>
                  <w:hideMark/>
                </w:tcPr>
                <w:p w14:paraId="50C58309"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2 930,19 </w:t>
                  </w:r>
                </w:p>
              </w:tc>
              <w:tc>
                <w:tcPr>
                  <w:tcW w:w="751" w:type="dxa"/>
                  <w:tcBorders>
                    <w:top w:val="single" w:sz="4" w:space="0" w:color="FFFFFF"/>
                    <w:left w:val="single" w:sz="4" w:space="0" w:color="FFFFFF"/>
                    <w:bottom w:val="nil"/>
                    <w:right w:val="nil"/>
                  </w:tcBorders>
                  <w:shd w:val="clear" w:color="A5BAD7" w:fill="A5BAD7"/>
                  <w:noWrap/>
                  <w:hideMark/>
                </w:tcPr>
                <w:p w14:paraId="4440D4C0"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2 964,80 </w:t>
                  </w:r>
                </w:p>
              </w:tc>
              <w:tc>
                <w:tcPr>
                  <w:tcW w:w="752" w:type="dxa"/>
                  <w:tcBorders>
                    <w:top w:val="single" w:sz="4" w:space="0" w:color="FFFFFF"/>
                    <w:left w:val="single" w:sz="4" w:space="0" w:color="FFFFFF"/>
                    <w:bottom w:val="nil"/>
                    <w:right w:val="nil"/>
                  </w:tcBorders>
                  <w:shd w:val="clear" w:color="A5BAD7" w:fill="A5BAD7"/>
                  <w:noWrap/>
                  <w:hideMark/>
                </w:tcPr>
                <w:p w14:paraId="062E937C"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3 034,00 </w:t>
                  </w:r>
                </w:p>
              </w:tc>
              <w:tc>
                <w:tcPr>
                  <w:tcW w:w="822" w:type="dxa"/>
                  <w:tcBorders>
                    <w:top w:val="single" w:sz="4" w:space="0" w:color="FFFFFF"/>
                    <w:left w:val="single" w:sz="4" w:space="0" w:color="FFFFFF"/>
                    <w:bottom w:val="nil"/>
                    <w:right w:val="nil"/>
                  </w:tcBorders>
                  <w:shd w:val="clear" w:color="A5BAD7" w:fill="A5BAD7"/>
                  <w:noWrap/>
                  <w:hideMark/>
                </w:tcPr>
                <w:p w14:paraId="43DCA555"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   </w:t>
                  </w:r>
                </w:p>
              </w:tc>
            </w:tr>
            <w:tr w:rsidR="002522E9" w:rsidRPr="002A56BA" w14:paraId="131E17F4" w14:textId="77777777" w:rsidTr="00450439">
              <w:trPr>
                <w:trHeight w:val="210"/>
              </w:trPr>
              <w:tc>
                <w:tcPr>
                  <w:tcW w:w="642" w:type="dxa"/>
                  <w:tcBorders>
                    <w:top w:val="single" w:sz="4" w:space="0" w:color="FFFFFF"/>
                    <w:left w:val="nil"/>
                    <w:bottom w:val="nil"/>
                    <w:right w:val="nil"/>
                  </w:tcBorders>
                  <w:shd w:val="clear" w:color="DBE5F1" w:fill="DBE5F1"/>
                  <w:hideMark/>
                </w:tcPr>
                <w:p w14:paraId="094209F5"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Transport</w:t>
                  </w:r>
                </w:p>
              </w:tc>
              <w:tc>
                <w:tcPr>
                  <w:tcW w:w="2552" w:type="dxa"/>
                  <w:tcBorders>
                    <w:top w:val="single" w:sz="4" w:space="0" w:color="FFFFFF"/>
                    <w:left w:val="single" w:sz="4" w:space="0" w:color="FFFFFF"/>
                    <w:bottom w:val="nil"/>
                    <w:right w:val="nil"/>
                  </w:tcBorders>
                  <w:shd w:val="clear" w:color="DBE5F1" w:fill="DBE5F1"/>
                  <w:hideMark/>
                </w:tcPr>
                <w:p w14:paraId="4584BDA5"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Renewals Programme</w:t>
                  </w:r>
                </w:p>
              </w:tc>
              <w:tc>
                <w:tcPr>
                  <w:tcW w:w="567" w:type="dxa"/>
                  <w:tcBorders>
                    <w:top w:val="single" w:sz="4" w:space="0" w:color="FFFFFF"/>
                    <w:left w:val="single" w:sz="4" w:space="0" w:color="FFFFFF"/>
                    <w:bottom w:val="nil"/>
                    <w:right w:val="nil"/>
                  </w:tcBorders>
                  <w:shd w:val="clear" w:color="DBE5F1" w:fill="DBE5F1"/>
                  <w:hideMark/>
                </w:tcPr>
                <w:p w14:paraId="106C31E9"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UK</w:t>
                  </w:r>
                </w:p>
              </w:tc>
              <w:tc>
                <w:tcPr>
                  <w:tcW w:w="567" w:type="dxa"/>
                  <w:tcBorders>
                    <w:top w:val="single" w:sz="4" w:space="0" w:color="FFFFFF"/>
                    <w:left w:val="single" w:sz="4" w:space="0" w:color="FFFFFF"/>
                    <w:bottom w:val="nil"/>
                    <w:right w:val="nil"/>
                  </w:tcBorders>
                  <w:shd w:val="clear" w:color="DBE5F1" w:fill="DBE5F1"/>
                  <w:noWrap/>
                  <w:hideMark/>
                </w:tcPr>
                <w:p w14:paraId="21C36D12" w14:textId="77777777" w:rsidR="002A56BA" w:rsidRPr="002A56BA" w:rsidRDefault="002A56BA">
                  <w:pPr>
                    <w:spacing w:after="0" w:line="240" w:lineRule="auto"/>
                    <w:jc w:val="center"/>
                    <w:rPr>
                      <w:rFonts w:eastAsia="Times New Roman" w:cs="Times New Roman"/>
                      <w:color w:val="000000"/>
                      <w:sz w:val="16"/>
                      <w:szCs w:val="16"/>
                      <w:lang w:eastAsia="sk-SK"/>
                    </w:rPr>
                  </w:pPr>
                  <w:r w:rsidRPr="002A56BA">
                    <w:rPr>
                      <w:rFonts w:eastAsia="Times New Roman" w:cs="Times New Roman"/>
                      <w:color w:val="000000"/>
                      <w:sz w:val="16"/>
                      <w:szCs w:val="16"/>
                      <w:lang w:eastAsia="sk-SK"/>
                    </w:rPr>
                    <w:t>2014</w:t>
                  </w:r>
                </w:p>
              </w:tc>
              <w:tc>
                <w:tcPr>
                  <w:tcW w:w="708" w:type="dxa"/>
                  <w:tcBorders>
                    <w:top w:val="single" w:sz="4" w:space="0" w:color="FFFFFF"/>
                    <w:left w:val="single" w:sz="4" w:space="0" w:color="FFFFFF"/>
                    <w:bottom w:val="nil"/>
                    <w:right w:val="nil"/>
                  </w:tcBorders>
                  <w:shd w:val="clear" w:color="DBE5F1" w:fill="DBE5F1"/>
                  <w:noWrap/>
                  <w:hideMark/>
                </w:tcPr>
                <w:p w14:paraId="613C1292" w14:textId="77777777" w:rsidR="002A56BA" w:rsidRPr="002A56BA" w:rsidRDefault="002A56BA" w:rsidP="00450439">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13 965,00 </w:t>
                  </w:r>
                </w:p>
              </w:tc>
              <w:tc>
                <w:tcPr>
                  <w:tcW w:w="751" w:type="dxa"/>
                  <w:tcBorders>
                    <w:top w:val="single" w:sz="4" w:space="0" w:color="FFFFFF"/>
                    <w:left w:val="single" w:sz="4" w:space="0" w:color="FFFFFF"/>
                    <w:bottom w:val="nil"/>
                    <w:right w:val="nil"/>
                  </w:tcBorders>
                  <w:shd w:val="clear" w:color="DBE5F1" w:fill="DBE5F1"/>
                  <w:noWrap/>
                  <w:hideMark/>
                </w:tcPr>
                <w:p w14:paraId="58A14C5F"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2 413,00 </w:t>
                  </w:r>
                </w:p>
              </w:tc>
              <w:tc>
                <w:tcPr>
                  <w:tcW w:w="752" w:type="dxa"/>
                  <w:tcBorders>
                    <w:top w:val="single" w:sz="4" w:space="0" w:color="FFFFFF"/>
                    <w:left w:val="single" w:sz="4" w:space="0" w:color="FFFFFF"/>
                    <w:bottom w:val="nil"/>
                    <w:right w:val="nil"/>
                  </w:tcBorders>
                  <w:shd w:val="clear" w:color="DBE5F1" w:fill="DBE5F1"/>
                  <w:noWrap/>
                  <w:hideMark/>
                </w:tcPr>
                <w:p w14:paraId="3EFBB07A"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2 750,00 </w:t>
                  </w:r>
                </w:p>
              </w:tc>
              <w:tc>
                <w:tcPr>
                  <w:tcW w:w="751" w:type="dxa"/>
                  <w:tcBorders>
                    <w:top w:val="single" w:sz="4" w:space="0" w:color="FFFFFF"/>
                    <w:left w:val="single" w:sz="4" w:space="0" w:color="FFFFFF"/>
                    <w:bottom w:val="nil"/>
                    <w:right w:val="nil"/>
                  </w:tcBorders>
                  <w:shd w:val="clear" w:color="DBE5F1" w:fill="DBE5F1"/>
                  <w:noWrap/>
                  <w:hideMark/>
                </w:tcPr>
                <w:p w14:paraId="58AE1B99"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   </w:t>
                  </w:r>
                </w:p>
              </w:tc>
              <w:tc>
                <w:tcPr>
                  <w:tcW w:w="752" w:type="dxa"/>
                  <w:tcBorders>
                    <w:top w:val="single" w:sz="4" w:space="0" w:color="FFFFFF"/>
                    <w:left w:val="single" w:sz="4" w:space="0" w:color="FFFFFF"/>
                    <w:bottom w:val="nil"/>
                    <w:right w:val="nil"/>
                  </w:tcBorders>
                  <w:shd w:val="clear" w:color="DBE5F1" w:fill="DBE5F1"/>
                  <w:noWrap/>
                  <w:hideMark/>
                </w:tcPr>
                <w:p w14:paraId="2A65B046"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   </w:t>
                  </w:r>
                </w:p>
              </w:tc>
              <w:tc>
                <w:tcPr>
                  <w:tcW w:w="822" w:type="dxa"/>
                  <w:tcBorders>
                    <w:top w:val="single" w:sz="4" w:space="0" w:color="FFFFFF"/>
                    <w:left w:val="single" w:sz="4" w:space="0" w:color="FFFFFF"/>
                    <w:bottom w:val="nil"/>
                    <w:right w:val="nil"/>
                  </w:tcBorders>
                  <w:shd w:val="clear" w:color="DBE5F1" w:fill="DBE5F1"/>
                  <w:noWrap/>
                  <w:hideMark/>
                </w:tcPr>
                <w:p w14:paraId="1A28324B"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   </w:t>
                  </w:r>
                </w:p>
              </w:tc>
            </w:tr>
            <w:tr w:rsidR="002522E9" w:rsidRPr="002A56BA" w14:paraId="3A509D91" w14:textId="77777777" w:rsidTr="00450439">
              <w:trPr>
                <w:trHeight w:val="210"/>
              </w:trPr>
              <w:tc>
                <w:tcPr>
                  <w:tcW w:w="642" w:type="dxa"/>
                  <w:tcBorders>
                    <w:top w:val="single" w:sz="4" w:space="0" w:color="FFFFFF"/>
                    <w:left w:val="nil"/>
                    <w:bottom w:val="nil"/>
                    <w:right w:val="nil"/>
                  </w:tcBorders>
                  <w:shd w:val="clear" w:color="A5BAD7" w:fill="A5BAD7"/>
                  <w:hideMark/>
                </w:tcPr>
                <w:p w14:paraId="0489A1AB"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Transport</w:t>
                  </w:r>
                </w:p>
              </w:tc>
              <w:tc>
                <w:tcPr>
                  <w:tcW w:w="2552" w:type="dxa"/>
                  <w:tcBorders>
                    <w:top w:val="single" w:sz="4" w:space="0" w:color="FFFFFF"/>
                    <w:left w:val="single" w:sz="4" w:space="0" w:color="FFFFFF"/>
                    <w:bottom w:val="nil"/>
                    <w:right w:val="nil"/>
                  </w:tcBorders>
                  <w:shd w:val="clear" w:color="A5BAD7" w:fill="A5BAD7"/>
                  <w:hideMark/>
                </w:tcPr>
                <w:p w14:paraId="2F0BCF2D"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Thameslink Programme </w:t>
                  </w:r>
                </w:p>
              </w:tc>
              <w:tc>
                <w:tcPr>
                  <w:tcW w:w="567" w:type="dxa"/>
                  <w:tcBorders>
                    <w:top w:val="single" w:sz="4" w:space="0" w:color="FFFFFF"/>
                    <w:left w:val="single" w:sz="4" w:space="0" w:color="FFFFFF"/>
                    <w:bottom w:val="nil"/>
                    <w:right w:val="nil"/>
                  </w:tcBorders>
                  <w:shd w:val="clear" w:color="A5BAD7" w:fill="A5BAD7"/>
                  <w:hideMark/>
                </w:tcPr>
                <w:p w14:paraId="7317B1B5"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London</w:t>
                  </w:r>
                </w:p>
              </w:tc>
              <w:tc>
                <w:tcPr>
                  <w:tcW w:w="567" w:type="dxa"/>
                  <w:tcBorders>
                    <w:top w:val="single" w:sz="4" w:space="0" w:color="FFFFFF"/>
                    <w:left w:val="single" w:sz="4" w:space="0" w:color="FFFFFF"/>
                    <w:bottom w:val="nil"/>
                    <w:right w:val="nil"/>
                  </w:tcBorders>
                  <w:shd w:val="clear" w:color="A5BAD7" w:fill="A5BAD7"/>
                  <w:noWrap/>
                  <w:hideMark/>
                </w:tcPr>
                <w:p w14:paraId="6F096E14" w14:textId="77777777" w:rsidR="002A56BA" w:rsidRPr="002A56BA" w:rsidRDefault="002A56BA">
                  <w:pPr>
                    <w:spacing w:after="0" w:line="240" w:lineRule="auto"/>
                    <w:jc w:val="center"/>
                    <w:rPr>
                      <w:rFonts w:eastAsia="Times New Roman" w:cs="Times New Roman"/>
                      <w:color w:val="000000"/>
                      <w:sz w:val="16"/>
                      <w:szCs w:val="16"/>
                      <w:lang w:eastAsia="sk-SK"/>
                    </w:rPr>
                  </w:pPr>
                  <w:r w:rsidRPr="002A56BA">
                    <w:rPr>
                      <w:rFonts w:eastAsia="Times New Roman" w:cs="Times New Roman"/>
                      <w:color w:val="000000"/>
                      <w:sz w:val="16"/>
                      <w:szCs w:val="16"/>
                      <w:lang w:eastAsia="sk-SK"/>
                    </w:rPr>
                    <w:t>2005</w:t>
                  </w:r>
                </w:p>
              </w:tc>
              <w:tc>
                <w:tcPr>
                  <w:tcW w:w="708" w:type="dxa"/>
                  <w:tcBorders>
                    <w:top w:val="single" w:sz="4" w:space="0" w:color="FFFFFF"/>
                    <w:left w:val="single" w:sz="4" w:space="0" w:color="FFFFFF"/>
                    <w:bottom w:val="nil"/>
                    <w:right w:val="nil"/>
                  </w:tcBorders>
                  <w:shd w:val="clear" w:color="A5BAD7" w:fill="A5BAD7"/>
                  <w:noWrap/>
                  <w:hideMark/>
                </w:tcPr>
                <w:p w14:paraId="57D0E2E2" w14:textId="77777777" w:rsidR="002A56BA" w:rsidRPr="002A56BA" w:rsidRDefault="002A56BA" w:rsidP="00450439">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9 915,00 </w:t>
                  </w:r>
                </w:p>
              </w:tc>
              <w:tc>
                <w:tcPr>
                  <w:tcW w:w="751" w:type="dxa"/>
                  <w:tcBorders>
                    <w:top w:val="single" w:sz="4" w:space="0" w:color="FFFFFF"/>
                    <w:left w:val="single" w:sz="4" w:space="0" w:color="FFFFFF"/>
                    <w:bottom w:val="nil"/>
                    <w:right w:val="nil"/>
                  </w:tcBorders>
                  <w:shd w:val="clear" w:color="A5BAD7" w:fill="A5BAD7"/>
                  <w:noWrap/>
                  <w:hideMark/>
                </w:tcPr>
                <w:p w14:paraId="039CEE6B"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395,00 </w:t>
                  </w:r>
                </w:p>
              </w:tc>
              <w:tc>
                <w:tcPr>
                  <w:tcW w:w="752" w:type="dxa"/>
                  <w:tcBorders>
                    <w:top w:val="single" w:sz="4" w:space="0" w:color="FFFFFF"/>
                    <w:left w:val="single" w:sz="4" w:space="0" w:color="FFFFFF"/>
                    <w:bottom w:val="nil"/>
                    <w:right w:val="nil"/>
                  </w:tcBorders>
                  <w:shd w:val="clear" w:color="A5BAD7" w:fill="A5BAD7"/>
                  <w:noWrap/>
                  <w:hideMark/>
                </w:tcPr>
                <w:p w14:paraId="36732B14"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283,00 </w:t>
                  </w:r>
                </w:p>
              </w:tc>
              <w:tc>
                <w:tcPr>
                  <w:tcW w:w="751" w:type="dxa"/>
                  <w:tcBorders>
                    <w:top w:val="single" w:sz="4" w:space="0" w:color="FFFFFF"/>
                    <w:left w:val="single" w:sz="4" w:space="0" w:color="FFFFFF"/>
                    <w:bottom w:val="nil"/>
                    <w:right w:val="nil"/>
                  </w:tcBorders>
                  <w:shd w:val="clear" w:color="A5BAD7" w:fill="A5BAD7"/>
                  <w:noWrap/>
                  <w:hideMark/>
                </w:tcPr>
                <w:p w14:paraId="7B487E8C"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102,00 </w:t>
                  </w:r>
                </w:p>
              </w:tc>
              <w:tc>
                <w:tcPr>
                  <w:tcW w:w="752" w:type="dxa"/>
                  <w:tcBorders>
                    <w:top w:val="single" w:sz="4" w:space="0" w:color="FFFFFF"/>
                    <w:left w:val="single" w:sz="4" w:space="0" w:color="FFFFFF"/>
                    <w:bottom w:val="nil"/>
                    <w:right w:val="nil"/>
                  </w:tcBorders>
                  <w:shd w:val="clear" w:color="A5BAD7" w:fill="A5BAD7"/>
                  <w:noWrap/>
                  <w:hideMark/>
                </w:tcPr>
                <w:p w14:paraId="272BAA5C"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5,00 </w:t>
                  </w:r>
                </w:p>
              </w:tc>
              <w:tc>
                <w:tcPr>
                  <w:tcW w:w="822" w:type="dxa"/>
                  <w:tcBorders>
                    <w:top w:val="single" w:sz="4" w:space="0" w:color="FFFFFF"/>
                    <w:left w:val="single" w:sz="4" w:space="0" w:color="FFFFFF"/>
                    <w:bottom w:val="nil"/>
                    <w:right w:val="nil"/>
                  </w:tcBorders>
                  <w:shd w:val="clear" w:color="A5BAD7" w:fill="A5BAD7"/>
                  <w:noWrap/>
                  <w:hideMark/>
                </w:tcPr>
                <w:p w14:paraId="51335BAB"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   </w:t>
                  </w:r>
                </w:p>
              </w:tc>
            </w:tr>
            <w:tr w:rsidR="002522E9" w:rsidRPr="002A56BA" w14:paraId="167547F4" w14:textId="77777777" w:rsidTr="00450439">
              <w:trPr>
                <w:trHeight w:val="210"/>
              </w:trPr>
              <w:tc>
                <w:tcPr>
                  <w:tcW w:w="642" w:type="dxa"/>
                  <w:tcBorders>
                    <w:top w:val="single" w:sz="4" w:space="0" w:color="FFFFFF"/>
                    <w:left w:val="nil"/>
                    <w:bottom w:val="nil"/>
                    <w:right w:val="nil"/>
                  </w:tcBorders>
                  <w:shd w:val="clear" w:color="DBE5F1" w:fill="DBE5F1"/>
                  <w:hideMark/>
                </w:tcPr>
                <w:p w14:paraId="41B9937A"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lastRenderedPageBreak/>
                    <w:t>Utilities</w:t>
                  </w:r>
                </w:p>
              </w:tc>
              <w:tc>
                <w:tcPr>
                  <w:tcW w:w="2552" w:type="dxa"/>
                  <w:tcBorders>
                    <w:top w:val="single" w:sz="4" w:space="0" w:color="FFFFFF"/>
                    <w:left w:val="single" w:sz="4" w:space="0" w:color="FFFFFF"/>
                    <w:bottom w:val="nil"/>
                    <w:right w:val="nil"/>
                  </w:tcBorders>
                  <w:shd w:val="clear" w:color="DBE5F1" w:fill="DBE5F1"/>
                  <w:hideMark/>
                </w:tcPr>
                <w:p w14:paraId="075B73F5"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Other Investments</w:t>
                  </w:r>
                </w:p>
              </w:tc>
              <w:tc>
                <w:tcPr>
                  <w:tcW w:w="567" w:type="dxa"/>
                  <w:tcBorders>
                    <w:top w:val="single" w:sz="4" w:space="0" w:color="FFFFFF"/>
                    <w:left w:val="single" w:sz="4" w:space="0" w:color="FFFFFF"/>
                    <w:bottom w:val="nil"/>
                    <w:right w:val="nil"/>
                  </w:tcBorders>
                  <w:shd w:val="clear" w:color="DBE5F1" w:fill="DBE5F1"/>
                  <w:hideMark/>
                </w:tcPr>
                <w:p w14:paraId="5A7C402A"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UK</w:t>
                  </w:r>
                </w:p>
              </w:tc>
              <w:tc>
                <w:tcPr>
                  <w:tcW w:w="567" w:type="dxa"/>
                  <w:tcBorders>
                    <w:top w:val="single" w:sz="4" w:space="0" w:color="FFFFFF"/>
                    <w:left w:val="single" w:sz="4" w:space="0" w:color="FFFFFF"/>
                    <w:bottom w:val="nil"/>
                    <w:right w:val="nil"/>
                  </w:tcBorders>
                  <w:shd w:val="clear" w:color="DBE5F1" w:fill="DBE5F1"/>
                  <w:noWrap/>
                  <w:hideMark/>
                </w:tcPr>
                <w:p w14:paraId="6BB67401" w14:textId="77777777" w:rsidR="002A56BA" w:rsidRPr="002A56BA" w:rsidRDefault="002A56BA">
                  <w:pPr>
                    <w:spacing w:after="0" w:line="240" w:lineRule="auto"/>
                    <w:jc w:val="center"/>
                    <w:rPr>
                      <w:rFonts w:eastAsia="Times New Roman" w:cs="Times New Roman"/>
                      <w:color w:val="000000"/>
                      <w:sz w:val="16"/>
                      <w:szCs w:val="16"/>
                      <w:lang w:eastAsia="sk-SK"/>
                    </w:rPr>
                  </w:pPr>
                  <w:r w:rsidRPr="002A56BA">
                    <w:rPr>
                      <w:rFonts w:eastAsia="Times New Roman" w:cs="Times New Roman"/>
                      <w:color w:val="000000"/>
                      <w:sz w:val="16"/>
                      <w:szCs w:val="16"/>
                      <w:lang w:eastAsia="sk-SK"/>
                    </w:rPr>
                    <w:t>Started</w:t>
                  </w:r>
                </w:p>
              </w:tc>
              <w:tc>
                <w:tcPr>
                  <w:tcW w:w="708" w:type="dxa"/>
                  <w:tcBorders>
                    <w:top w:val="single" w:sz="4" w:space="0" w:color="FFFFFF"/>
                    <w:left w:val="single" w:sz="4" w:space="0" w:color="FFFFFF"/>
                    <w:bottom w:val="nil"/>
                    <w:right w:val="nil"/>
                  </w:tcBorders>
                  <w:shd w:val="clear" w:color="DBE5F1" w:fill="DBE5F1"/>
                  <w:noWrap/>
                  <w:hideMark/>
                </w:tcPr>
                <w:p w14:paraId="518D4804" w14:textId="77777777" w:rsidR="002A56BA" w:rsidRPr="002A56BA" w:rsidRDefault="002A56BA" w:rsidP="00450439">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6 594,43 </w:t>
                  </w:r>
                </w:p>
              </w:tc>
              <w:tc>
                <w:tcPr>
                  <w:tcW w:w="751" w:type="dxa"/>
                  <w:tcBorders>
                    <w:top w:val="single" w:sz="4" w:space="0" w:color="FFFFFF"/>
                    <w:left w:val="single" w:sz="4" w:space="0" w:color="FFFFFF"/>
                    <w:bottom w:val="nil"/>
                    <w:right w:val="nil"/>
                  </w:tcBorders>
                  <w:shd w:val="clear" w:color="DBE5F1" w:fill="DBE5F1"/>
                  <w:noWrap/>
                  <w:hideMark/>
                </w:tcPr>
                <w:p w14:paraId="3410B2D2"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234,27 </w:t>
                  </w:r>
                </w:p>
              </w:tc>
              <w:tc>
                <w:tcPr>
                  <w:tcW w:w="752" w:type="dxa"/>
                  <w:tcBorders>
                    <w:top w:val="single" w:sz="4" w:space="0" w:color="FFFFFF"/>
                    <w:left w:val="single" w:sz="4" w:space="0" w:color="FFFFFF"/>
                    <w:bottom w:val="nil"/>
                    <w:right w:val="nil"/>
                  </w:tcBorders>
                  <w:shd w:val="clear" w:color="DBE5F1" w:fill="DBE5F1"/>
                  <w:noWrap/>
                  <w:hideMark/>
                </w:tcPr>
                <w:p w14:paraId="7FA8F54E"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377,43 </w:t>
                  </w:r>
                </w:p>
              </w:tc>
              <w:tc>
                <w:tcPr>
                  <w:tcW w:w="751" w:type="dxa"/>
                  <w:tcBorders>
                    <w:top w:val="single" w:sz="4" w:space="0" w:color="FFFFFF"/>
                    <w:left w:val="single" w:sz="4" w:space="0" w:color="FFFFFF"/>
                    <w:bottom w:val="nil"/>
                    <w:right w:val="nil"/>
                  </w:tcBorders>
                  <w:shd w:val="clear" w:color="DBE5F1" w:fill="DBE5F1"/>
                  <w:noWrap/>
                  <w:hideMark/>
                </w:tcPr>
                <w:p w14:paraId="0FD7BB6F"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551,07 </w:t>
                  </w:r>
                </w:p>
              </w:tc>
              <w:tc>
                <w:tcPr>
                  <w:tcW w:w="752" w:type="dxa"/>
                  <w:tcBorders>
                    <w:top w:val="single" w:sz="4" w:space="0" w:color="FFFFFF"/>
                    <w:left w:val="single" w:sz="4" w:space="0" w:color="FFFFFF"/>
                    <w:bottom w:val="nil"/>
                    <w:right w:val="nil"/>
                  </w:tcBorders>
                  <w:shd w:val="clear" w:color="DBE5F1" w:fill="DBE5F1"/>
                  <w:noWrap/>
                  <w:hideMark/>
                </w:tcPr>
                <w:p w14:paraId="623E3BCF"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510,56 </w:t>
                  </w:r>
                </w:p>
              </w:tc>
              <w:tc>
                <w:tcPr>
                  <w:tcW w:w="822" w:type="dxa"/>
                  <w:tcBorders>
                    <w:top w:val="single" w:sz="4" w:space="0" w:color="FFFFFF"/>
                    <w:left w:val="single" w:sz="4" w:space="0" w:color="FFFFFF"/>
                    <w:bottom w:val="nil"/>
                    <w:right w:val="nil"/>
                  </w:tcBorders>
                  <w:shd w:val="clear" w:color="DBE5F1" w:fill="DBE5F1"/>
                  <w:noWrap/>
                  <w:hideMark/>
                </w:tcPr>
                <w:p w14:paraId="08894DAB"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   </w:t>
                  </w:r>
                </w:p>
              </w:tc>
            </w:tr>
            <w:tr w:rsidR="002522E9" w:rsidRPr="002A56BA" w14:paraId="5BD452E3" w14:textId="77777777" w:rsidTr="00450439">
              <w:trPr>
                <w:trHeight w:val="210"/>
              </w:trPr>
              <w:tc>
                <w:tcPr>
                  <w:tcW w:w="642" w:type="dxa"/>
                  <w:tcBorders>
                    <w:top w:val="single" w:sz="4" w:space="0" w:color="FFFFFF"/>
                    <w:left w:val="nil"/>
                    <w:bottom w:val="nil"/>
                    <w:right w:val="nil"/>
                  </w:tcBorders>
                  <w:shd w:val="clear" w:color="A5BAD7" w:fill="A5BAD7"/>
                  <w:hideMark/>
                </w:tcPr>
                <w:p w14:paraId="2C562346"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Transport</w:t>
                  </w:r>
                </w:p>
              </w:tc>
              <w:tc>
                <w:tcPr>
                  <w:tcW w:w="2552" w:type="dxa"/>
                  <w:tcBorders>
                    <w:top w:val="single" w:sz="4" w:space="0" w:color="FFFFFF"/>
                    <w:left w:val="single" w:sz="4" w:space="0" w:color="FFFFFF"/>
                    <w:bottom w:val="nil"/>
                    <w:right w:val="nil"/>
                  </w:tcBorders>
                  <w:shd w:val="clear" w:color="A5BAD7" w:fill="A5BAD7"/>
                  <w:hideMark/>
                </w:tcPr>
                <w:p w14:paraId="7F9400C7"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Intercity Express Programme - Infrastructure</w:t>
                  </w:r>
                </w:p>
              </w:tc>
              <w:tc>
                <w:tcPr>
                  <w:tcW w:w="567" w:type="dxa"/>
                  <w:tcBorders>
                    <w:top w:val="single" w:sz="4" w:space="0" w:color="FFFFFF"/>
                    <w:left w:val="single" w:sz="4" w:space="0" w:color="FFFFFF"/>
                    <w:bottom w:val="nil"/>
                    <w:right w:val="nil"/>
                  </w:tcBorders>
                  <w:shd w:val="clear" w:color="A5BAD7" w:fill="A5BAD7"/>
                  <w:hideMark/>
                </w:tcPr>
                <w:p w14:paraId="6BEED604"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UK</w:t>
                  </w:r>
                </w:p>
              </w:tc>
              <w:tc>
                <w:tcPr>
                  <w:tcW w:w="567" w:type="dxa"/>
                  <w:tcBorders>
                    <w:top w:val="single" w:sz="4" w:space="0" w:color="FFFFFF"/>
                    <w:left w:val="single" w:sz="4" w:space="0" w:color="FFFFFF"/>
                    <w:bottom w:val="nil"/>
                    <w:right w:val="nil"/>
                  </w:tcBorders>
                  <w:shd w:val="clear" w:color="A5BAD7" w:fill="A5BAD7"/>
                  <w:noWrap/>
                  <w:hideMark/>
                </w:tcPr>
                <w:p w14:paraId="44953DE1" w14:textId="77777777" w:rsidR="002A56BA" w:rsidRPr="002A56BA" w:rsidRDefault="002A56BA">
                  <w:pPr>
                    <w:spacing w:after="0" w:line="240" w:lineRule="auto"/>
                    <w:jc w:val="center"/>
                    <w:rPr>
                      <w:rFonts w:eastAsia="Times New Roman" w:cs="Times New Roman"/>
                      <w:color w:val="000000"/>
                      <w:sz w:val="16"/>
                      <w:szCs w:val="16"/>
                      <w:lang w:eastAsia="sk-SK"/>
                    </w:rPr>
                  </w:pPr>
                  <w:r w:rsidRPr="002A56BA">
                    <w:rPr>
                      <w:rFonts w:eastAsia="Times New Roman" w:cs="Times New Roman"/>
                      <w:color w:val="000000"/>
                      <w:sz w:val="16"/>
                      <w:szCs w:val="16"/>
                      <w:lang w:eastAsia="sk-SK"/>
                    </w:rPr>
                    <w:t>2015</w:t>
                  </w:r>
                </w:p>
              </w:tc>
              <w:tc>
                <w:tcPr>
                  <w:tcW w:w="708" w:type="dxa"/>
                  <w:tcBorders>
                    <w:top w:val="single" w:sz="4" w:space="0" w:color="FFFFFF"/>
                    <w:left w:val="single" w:sz="4" w:space="0" w:color="FFFFFF"/>
                    <w:bottom w:val="nil"/>
                    <w:right w:val="nil"/>
                  </w:tcBorders>
                  <w:shd w:val="clear" w:color="A5BAD7" w:fill="A5BAD7"/>
                  <w:noWrap/>
                  <w:hideMark/>
                </w:tcPr>
                <w:p w14:paraId="2C73C645" w14:textId="77777777" w:rsidR="002A56BA" w:rsidRPr="002A56BA" w:rsidRDefault="002A56BA" w:rsidP="00450439">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6 180,00 </w:t>
                  </w:r>
                </w:p>
              </w:tc>
              <w:tc>
                <w:tcPr>
                  <w:tcW w:w="751" w:type="dxa"/>
                  <w:tcBorders>
                    <w:top w:val="single" w:sz="4" w:space="0" w:color="FFFFFF"/>
                    <w:left w:val="single" w:sz="4" w:space="0" w:color="FFFFFF"/>
                    <w:bottom w:val="nil"/>
                    <w:right w:val="nil"/>
                  </w:tcBorders>
                  <w:shd w:val="clear" w:color="A5BAD7" w:fill="A5BAD7"/>
                  <w:noWrap/>
                  <w:hideMark/>
                </w:tcPr>
                <w:p w14:paraId="7089FD43"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96,00 </w:t>
                  </w:r>
                </w:p>
              </w:tc>
              <w:tc>
                <w:tcPr>
                  <w:tcW w:w="752" w:type="dxa"/>
                  <w:tcBorders>
                    <w:top w:val="single" w:sz="4" w:space="0" w:color="FFFFFF"/>
                    <w:left w:val="single" w:sz="4" w:space="0" w:color="FFFFFF"/>
                    <w:bottom w:val="nil"/>
                    <w:right w:val="nil"/>
                  </w:tcBorders>
                  <w:shd w:val="clear" w:color="A5BAD7" w:fill="A5BAD7"/>
                  <w:noWrap/>
                  <w:hideMark/>
                </w:tcPr>
                <w:p w14:paraId="78C5D604"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96,00 </w:t>
                  </w:r>
                </w:p>
              </w:tc>
              <w:tc>
                <w:tcPr>
                  <w:tcW w:w="751" w:type="dxa"/>
                  <w:tcBorders>
                    <w:top w:val="single" w:sz="4" w:space="0" w:color="FFFFFF"/>
                    <w:left w:val="single" w:sz="4" w:space="0" w:color="FFFFFF"/>
                    <w:bottom w:val="nil"/>
                    <w:right w:val="nil"/>
                  </w:tcBorders>
                  <w:shd w:val="clear" w:color="A5BAD7" w:fill="A5BAD7"/>
                  <w:noWrap/>
                  <w:hideMark/>
                </w:tcPr>
                <w:p w14:paraId="58B06032"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96,00 </w:t>
                  </w:r>
                </w:p>
              </w:tc>
              <w:tc>
                <w:tcPr>
                  <w:tcW w:w="752" w:type="dxa"/>
                  <w:tcBorders>
                    <w:top w:val="single" w:sz="4" w:space="0" w:color="FFFFFF"/>
                    <w:left w:val="single" w:sz="4" w:space="0" w:color="FFFFFF"/>
                    <w:bottom w:val="nil"/>
                    <w:right w:val="nil"/>
                  </w:tcBorders>
                  <w:shd w:val="clear" w:color="A5BAD7" w:fill="A5BAD7"/>
                  <w:noWrap/>
                  <w:hideMark/>
                </w:tcPr>
                <w:p w14:paraId="01674B0A"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96,00 </w:t>
                  </w:r>
                </w:p>
              </w:tc>
              <w:tc>
                <w:tcPr>
                  <w:tcW w:w="822" w:type="dxa"/>
                  <w:tcBorders>
                    <w:top w:val="single" w:sz="4" w:space="0" w:color="FFFFFF"/>
                    <w:left w:val="single" w:sz="4" w:space="0" w:color="FFFFFF"/>
                    <w:bottom w:val="nil"/>
                    <w:right w:val="nil"/>
                  </w:tcBorders>
                  <w:shd w:val="clear" w:color="A5BAD7" w:fill="A5BAD7"/>
                  <w:noWrap/>
                  <w:hideMark/>
                </w:tcPr>
                <w:p w14:paraId="72B66F2F"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5 604,00 </w:t>
                  </w:r>
                </w:p>
              </w:tc>
            </w:tr>
            <w:tr w:rsidR="002522E9" w:rsidRPr="002A56BA" w14:paraId="072AB8D7" w14:textId="77777777" w:rsidTr="00450439">
              <w:trPr>
                <w:trHeight w:val="210"/>
              </w:trPr>
              <w:tc>
                <w:tcPr>
                  <w:tcW w:w="642" w:type="dxa"/>
                  <w:tcBorders>
                    <w:top w:val="single" w:sz="4" w:space="0" w:color="FFFFFF"/>
                    <w:left w:val="nil"/>
                    <w:bottom w:val="nil"/>
                    <w:right w:val="nil"/>
                  </w:tcBorders>
                  <w:shd w:val="clear" w:color="DBE5F1" w:fill="DBE5F1"/>
                  <w:hideMark/>
                </w:tcPr>
                <w:p w14:paraId="7B7CBABC"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Utilities</w:t>
                  </w:r>
                </w:p>
              </w:tc>
              <w:tc>
                <w:tcPr>
                  <w:tcW w:w="2552" w:type="dxa"/>
                  <w:tcBorders>
                    <w:top w:val="single" w:sz="4" w:space="0" w:color="FFFFFF"/>
                    <w:left w:val="single" w:sz="4" w:space="0" w:color="FFFFFF"/>
                    <w:bottom w:val="nil"/>
                    <w:right w:val="nil"/>
                  </w:tcBorders>
                  <w:shd w:val="clear" w:color="DBE5F1" w:fill="DBE5F1"/>
                  <w:hideMark/>
                </w:tcPr>
                <w:p w14:paraId="7B14AA31"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Smart Metering Implementation Programme</w:t>
                  </w:r>
                </w:p>
              </w:tc>
              <w:tc>
                <w:tcPr>
                  <w:tcW w:w="567" w:type="dxa"/>
                  <w:tcBorders>
                    <w:top w:val="single" w:sz="4" w:space="0" w:color="FFFFFF"/>
                    <w:left w:val="single" w:sz="4" w:space="0" w:color="FFFFFF"/>
                    <w:bottom w:val="nil"/>
                    <w:right w:val="nil"/>
                  </w:tcBorders>
                  <w:shd w:val="clear" w:color="DBE5F1" w:fill="DBE5F1"/>
                  <w:hideMark/>
                </w:tcPr>
                <w:p w14:paraId="62D20938"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UK</w:t>
                  </w:r>
                </w:p>
              </w:tc>
              <w:tc>
                <w:tcPr>
                  <w:tcW w:w="567" w:type="dxa"/>
                  <w:tcBorders>
                    <w:top w:val="single" w:sz="4" w:space="0" w:color="FFFFFF"/>
                    <w:left w:val="single" w:sz="4" w:space="0" w:color="FFFFFF"/>
                    <w:bottom w:val="nil"/>
                    <w:right w:val="nil"/>
                  </w:tcBorders>
                  <w:shd w:val="clear" w:color="DBE5F1" w:fill="DBE5F1"/>
                  <w:noWrap/>
                  <w:hideMark/>
                </w:tcPr>
                <w:p w14:paraId="2EB88715" w14:textId="77777777" w:rsidR="002A56BA" w:rsidRPr="002A56BA" w:rsidRDefault="002A56BA">
                  <w:pPr>
                    <w:spacing w:after="0" w:line="240" w:lineRule="auto"/>
                    <w:jc w:val="center"/>
                    <w:rPr>
                      <w:rFonts w:eastAsia="Times New Roman" w:cs="Times New Roman"/>
                      <w:color w:val="000000"/>
                      <w:sz w:val="16"/>
                      <w:szCs w:val="16"/>
                      <w:lang w:eastAsia="sk-SK"/>
                    </w:rPr>
                  </w:pPr>
                  <w:r w:rsidRPr="002A56BA">
                    <w:rPr>
                      <w:rFonts w:eastAsia="Times New Roman" w:cs="Times New Roman"/>
                      <w:color w:val="000000"/>
                      <w:sz w:val="16"/>
                      <w:szCs w:val="16"/>
                      <w:lang w:eastAsia="sk-SK"/>
                    </w:rPr>
                    <w:t>2013</w:t>
                  </w:r>
                </w:p>
              </w:tc>
              <w:tc>
                <w:tcPr>
                  <w:tcW w:w="708" w:type="dxa"/>
                  <w:tcBorders>
                    <w:top w:val="single" w:sz="4" w:space="0" w:color="FFFFFF"/>
                    <w:left w:val="single" w:sz="4" w:space="0" w:color="FFFFFF"/>
                    <w:bottom w:val="nil"/>
                    <w:right w:val="nil"/>
                  </w:tcBorders>
                  <w:shd w:val="clear" w:color="DBE5F1" w:fill="DBE5F1"/>
                  <w:noWrap/>
                  <w:hideMark/>
                </w:tcPr>
                <w:p w14:paraId="7822ED05" w14:textId="77777777" w:rsidR="002A56BA" w:rsidRPr="002A56BA" w:rsidRDefault="002A56BA" w:rsidP="00450439">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6 049,26 </w:t>
                  </w:r>
                </w:p>
              </w:tc>
              <w:tc>
                <w:tcPr>
                  <w:tcW w:w="751" w:type="dxa"/>
                  <w:tcBorders>
                    <w:top w:val="single" w:sz="4" w:space="0" w:color="FFFFFF"/>
                    <w:left w:val="single" w:sz="4" w:space="0" w:color="FFFFFF"/>
                    <w:bottom w:val="nil"/>
                    <w:right w:val="nil"/>
                  </w:tcBorders>
                  <w:shd w:val="clear" w:color="DBE5F1" w:fill="DBE5F1"/>
                  <w:noWrap/>
                  <w:hideMark/>
                </w:tcPr>
                <w:p w14:paraId="6EEBC217"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239,66 </w:t>
                  </w:r>
                </w:p>
              </w:tc>
              <w:tc>
                <w:tcPr>
                  <w:tcW w:w="752" w:type="dxa"/>
                  <w:tcBorders>
                    <w:top w:val="single" w:sz="4" w:space="0" w:color="FFFFFF"/>
                    <w:left w:val="single" w:sz="4" w:space="0" w:color="FFFFFF"/>
                    <w:bottom w:val="nil"/>
                    <w:right w:val="nil"/>
                  </w:tcBorders>
                  <w:shd w:val="clear" w:color="DBE5F1" w:fill="DBE5F1"/>
                  <w:noWrap/>
                  <w:hideMark/>
                </w:tcPr>
                <w:p w14:paraId="6581CE23"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407,83 </w:t>
                  </w:r>
                </w:p>
              </w:tc>
              <w:tc>
                <w:tcPr>
                  <w:tcW w:w="751" w:type="dxa"/>
                  <w:tcBorders>
                    <w:top w:val="single" w:sz="4" w:space="0" w:color="FFFFFF"/>
                    <w:left w:val="single" w:sz="4" w:space="0" w:color="FFFFFF"/>
                    <w:bottom w:val="nil"/>
                    <w:right w:val="nil"/>
                  </w:tcBorders>
                  <w:shd w:val="clear" w:color="DBE5F1" w:fill="DBE5F1"/>
                  <w:noWrap/>
                  <w:hideMark/>
                </w:tcPr>
                <w:p w14:paraId="3FCDF034"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519,16 </w:t>
                  </w:r>
                </w:p>
              </w:tc>
              <w:tc>
                <w:tcPr>
                  <w:tcW w:w="752" w:type="dxa"/>
                  <w:tcBorders>
                    <w:top w:val="single" w:sz="4" w:space="0" w:color="FFFFFF"/>
                    <w:left w:val="single" w:sz="4" w:space="0" w:color="FFFFFF"/>
                    <w:bottom w:val="nil"/>
                    <w:right w:val="nil"/>
                  </w:tcBorders>
                  <w:shd w:val="clear" w:color="DBE5F1" w:fill="DBE5F1"/>
                  <w:noWrap/>
                  <w:hideMark/>
                </w:tcPr>
                <w:p w14:paraId="5A84CC69"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517,56 </w:t>
                  </w:r>
                </w:p>
              </w:tc>
              <w:tc>
                <w:tcPr>
                  <w:tcW w:w="822" w:type="dxa"/>
                  <w:tcBorders>
                    <w:top w:val="single" w:sz="4" w:space="0" w:color="FFFFFF"/>
                    <w:left w:val="single" w:sz="4" w:space="0" w:color="FFFFFF"/>
                    <w:bottom w:val="nil"/>
                    <w:right w:val="nil"/>
                  </w:tcBorders>
                  <w:shd w:val="clear" w:color="DBE5F1" w:fill="DBE5F1"/>
                  <w:noWrap/>
                  <w:hideMark/>
                </w:tcPr>
                <w:p w14:paraId="33A2C9F6"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4 070,85 </w:t>
                  </w:r>
                </w:p>
              </w:tc>
            </w:tr>
            <w:tr w:rsidR="002522E9" w:rsidRPr="002A56BA" w14:paraId="34106AF0" w14:textId="77777777" w:rsidTr="00450439">
              <w:trPr>
                <w:trHeight w:val="210"/>
              </w:trPr>
              <w:tc>
                <w:tcPr>
                  <w:tcW w:w="642" w:type="dxa"/>
                  <w:tcBorders>
                    <w:top w:val="single" w:sz="4" w:space="0" w:color="FFFFFF"/>
                    <w:left w:val="nil"/>
                    <w:bottom w:val="nil"/>
                    <w:right w:val="nil"/>
                  </w:tcBorders>
                  <w:shd w:val="clear" w:color="A5BAD7" w:fill="A5BAD7"/>
                  <w:hideMark/>
                </w:tcPr>
                <w:p w14:paraId="0D01B4C0"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Communications</w:t>
                  </w:r>
                </w:p>
              </w:tc>
              <w:tc>
                <w:tcPr>
                  <w:tcW w:w="2552" w:type="dxa"/>
                  <w:tcBorders>
                    <w:top w:val="single" w:sz="4" w:space="0" w:color="FFFFFF"/>
                    <w:left w:val="single" w:sz="4" w:space="0" w:color="FFFFFF"/>
                    <w:bottom w:val="nil"/>
                    <w:right w:val="nil"/>
                  </w:tcBorders>
                  <w:shd w:val="clear" w:color="A5BAD7" w:fill="A5BAD7"/>
                  <w:hideMark/>
                </w:tcPr>
                <w:p w14:paraId="157FD669"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BT Digital Investment</w:t>
                  </w:r>
                </w:p>
              </w:tc>
              <w:tc>
                <w:tcPr>
                  <w:tcW w:w="567" w:type="dxa"/>
                  <w:tcBorders>
                    <w:top w:val="single" w:sz="4" w:space="0" w:color="FFFFFF"/>
                    <w:left w:val="single" w:sz="4" w:space="0" w:color="FFFFFF"/>
                    <w:bottom w:val="nil"/>
                    <w:right w:val="nil"/>
                  </w:tcBorders>
                  <w:shd w:val="clear" w:color="A5BAD7" w:fill="A5BAD7"/>
                  <w:hideMark/>
                </w:tcPr>
                <w:p w14:paraId="64513782"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UK</w:t>
                  </w:r>
                </w:p>
              </w:tc>
              <w:tc>
                <w:tcPr>
                  <w:tcW w:w="567" w:type="dxa"/>
                  <w:tcBorders>
                    <w:top w:val="single" w:sz="4" w:space="0" w:color="FFFFFF"/>
                    <w:left w:val="single" w:sz="4" w:space="0" w:color="FFFFFF"/>
                    <w:bottom w:val="nil"/>
                    <w:right w:val="nil"/>
                  </w:tcBorders>
                  <w:shd w:val="clear" w:color="A5BAD7" w:fill="A5BAD7"/>
                  <w:noWrap/>
                  <w:hideMark/>
                </w:tcPr>
                <w:p w14:paraId="1ACB6D5D" w14:textId="77777777" w:rsidR="002A56BA" w:rsidRPr="002A56BA" w:rsidRDefault="002A56BA">
                  <w:pPr>
                    <w:spacing w:after="0" w:line="240" w:lineRule="auto"/>
                    <w:jc w:val="center"/>
                    <w:rPr>
                      <w:rFonts w:eastAsia="Times New Roman" w:cs="Times New Roman"/>
                      <w:color w:val="000000"/>
                      <w:sz w:val="16"/>
                      <w:szCs w:val="16"/>
                      <w:lang w:eastAsia="sk-SK"/>
                    </w:rPr>
                  </w:pPr>
                  <w:r w:rsidRPr="002A56BA">
                    <w:rPr>
                      <w:rFonts w:eastAsia="Times New Roman" w:cs="Times New Roman"/>
                      <w:color w:val="000000"/>
                      <w:sz w:val="16"/>
                      <w:szCs w:val="16"/>
                      <w:lang w:eastAsia="sk-SK"/>
                    </w:rPr>
                    <w:t>2016/17</w:t>
                  </w:r>
                </w:p>
              </w:tc>
              <w:tc>
                <w:tcPr>
                  <w:tcW w:w="708" w:type="dxa"/>
                  <w:tcBorders>
                    <w:top w:val="single" w:sz="4" w:space="0" w:color="FFFFFF"/>
                    <w:left w:val="single" w:sz="4" w:space="0" w:color="FFFFFF"/>
                    <w:bottom w:val="nil"/>
                    <w:right w:val="nil"/>
                  </w:tcBorders>
                  <w:shd w:val="clear" w:color="A5BAD7" w:fill="A5BAD7"/>
                  <w:noWrap/>
                  <w:hideMark/>
                </w:tcPr>
                <w:p w14:paraId="092F5B49" w14:textId="77777777" w:rsidR="002A56BA" w:rsidRPr="002A56BA" w:rsidRDefault="002A56BA" w:rsidP="00450439">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6 000,00 </w:t>
                  </w:r>
                </w:p>
              </w:tc>
              <w:tc>
                <w:tcPr>
                  <w:tcW w:w="751" w:type="dxa"/>
                  <w:tcBorders>
                    <w:top w:val="single" w:sz="4" w:space="0" w:color="FFFFFF"/>
                    <w:left w:val="single" w:sz="4" w:space="0" w:color="FFFFFF"/>
                    <w:bottom w:val="nil"/>
                    <w:right w:val="nil"/>
                  </w:tcBorders>
                  <w:shd w:val="clear" w:color="A5BAD7" w:fill="A5BAD7"/>
                  <w:noWrap/>
                  <w:hideMark/>
                </w:tcPr>
                <w:p w14:paraId="78CDB278"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1 500,00 </w:t>
                  </w:r>
                </w:p>
              </w:tc>
              <w:tc>
                <w:tcPr>
                  <w:tcW w:w="752" w:type="dxa"/>
                  <w:tcBorders>
                    <w:top w:val="single" w:sz="4" w:space="0" w:color="FFFFFF"/>
                    <w:left w:val="single" w:sz="4" w:space="0" w:color="FFFFFF"/>
                    <w:bottom w:val="nil"/>
                    <w:right w:val="nil"/>
                  </w:tcBorders>
                  <w:shd w:val="clear" w:color="A5BAD7" w:fill="A5BAD7"/>
                  <w:noWrap/>
                  <w:hideMark/>
                </w:tcPr>
                <w:p w14:paraId="06449338"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1 500,00 </w:t>
                  </w:r>
                </w:p>
              </w:tc>
              <w:tc>
                <w:tcPr>
                  <w:tcW w:w="751" w:type="dxa"/>
                  <w:tcBorders>
                    <w:top w:val="single" w:sz="4" w:space="0" w:color="FFFFFF"/>
                    <w:left w:val="single" w:sz="4" w:space="0" w:color="FFFFFF"/>
                    <w:bottom w:val="nil"/>
                    <w:right w:val="nil"/>
                  </w:tcBorders>
                  <w:shd w:val="clear" w:color="A5BAD7" w:fill="A5BAD7"/>
                  <w:noWrap/>
                  <w:hideMark/>
                </w:tcPr>
                <w:p w14:paraId="0FD074EF"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1 500,00 </w:t>
                  </w:r>
                </w:p>
              </w:tc>
              <w:tc>
                <w:tcPr>
                  <w:tcW w:w="752" w:type="dxa"/>
                  <w:tcBorders>
                    <w:top w:val="single" w:sz="4" w:space="0" w:color="FFFFFF"/>
                    <w:left w:val="single" w:sz="4" w:space="0" w:color="FFFFFF"/>
                    <w:bottom w:val="nil"/>
                    <w:right w:val="nil"/>
                  </w:tcBorders>
                  <w:shd w:val="clear" w:color="A5BAD7" w:fill="A5BAD7"/>
                  <w:noWrap/>
                  <w:hideMark/>
                </w:tcPr>
                <w:p w14:paraId="4B22A108"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   </w:t>
                  </w:r>
                </w:p>
              </w:tc>
              <w:tc>
                <w:tcPr>
                  <w:tcW w:w="822" w:type="dxa"/>
                  <w:tcBorders>
                    <w:top w:val="single" w:sz="4" w:space="0" w:color="FFFFFF"/>
                    <w:left w:val="single" w:sz="4" w:space="0" w:color="FFFFFF"/>
                    <w:bottom w:val="nil"/>
                    <w:right w:val="nil"/>
                  </w:tcBorders>
                  <w:shd w:val="clear" w:color="A5BAD7" w:fill="A5BAD7"/>
                  <w:noWrap/>
                  <w:hideMark/>
                </w:tcPr>
                <w:p w14:paraId="0A889031"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   </w:t>
                  </w:r>
                </w:p>
              </w:tc>
            </w:tr>
            <w:tr w:rsidR="002522E9" w:rsidRPr="002A56BA" w14:paraId="7D57C0D0" w14:textId="77777777" w:rsidTr="00450439">
              <w:trPr>
                <w:trHeight w:val="210"/>
              </w:trPr>
              <w:tc>
                <w:tcPr>
                  <w:tcW w:w="642" w:type="dxa"/>
                  <w:tcBorders>
                    <w:top w:val="single" w:sz="4" w:space="0" w:color="FFFFFF"/>
                    <w:left w:val="nil"/>
                    <w:bottom w:val="nil"/>
                    <w:right w:val="nil"/>
                  </w:tcBorders>
                  <w:shd w:val="clear" w:color="DBE5F1" w:fill="DBE5F1"/>
                  <w:hideMark/>
                </w:tcPr>
                <w:p w14:paraId="74E3496F"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Energy</w:t>
                  </w:r>
                </w:p>
              </w:tc>
              <w:tc>
                <w:tcPr>
                  <w:tcW w:w="2552" w:type="dxa"/>
                  <w:tcBorders>
                    <w:top w:val="single" w:sz="4" w:space="0" w:color="FFFFFF"/>
                    <w:left w:val="single" w:sz="4" w:space="0" w:color="FFFFFF"/>
                    <w:bottom w:val="nil"/>
                    <w:right w:val="nil"/>
                  </w:tcBorders>
                  <w:shd w:val="clear" w:color="DBE5F1" w:fill="DBE5F1"/>
                  <w:hideMark/>
                </w:tcPr>
                <w:p w14:paraId="4E8515C5"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NCP CapEx BALANCING LINE</w:t>
                  </w:r>
                </w:p>
              </w:tc>
              <w:tc>
                <w:tcPr>
                  <w:tcW w:w="567" w:type="dxa"/>
                  <w:tcBorders>
                    <w:top w:val="single" w:sz="4" w:space="0" w:color="FFFFFF"/>
                    <w:left w:val="single" w:sz="4" w:space="0" w:color="FFFFFF"/>
                    <w:bottom w:val="nil"/>
                    <w:right w:val="nil"/>
                  </w:tcBorders>
                  <w:shd w:val="clear" w:color="DBE5F1" w:fill="DBE5F1"/>
                  <w:hideMark/>
                </w:tcPr>
                <w:p w14:paraId="62A0F683" w14:textId="3CEC0955" w:rsidR="002A56BA" w:rsidRPr="002A56BA" w:rsidRDefault="002522E9">
                  <w:pPr>
                    <w:spacing w:after="0" w:line="240" w:lineRule="auto"/>
                    <w:jc w:val="left"/>
                    <w:rPr>
                      <w:rFonts w:eastAsia="Times New Roman" w:cs="Times New Roman"/>
                      <w:color w:val="000000"/>
                      <w:sz w:val="16"/>
                      <w:szCs w:val="16"/>
                      <w:lang w:eastAsia="sk-SK"/>
                    </w:rPr>
                  </w:pPr>
                  <w:r>
                    <w:rPr>
                      <w:rFonts w:eastAsia="Times New Roman" w:cs="Times New Roman"/>
                      <w:color w:val="000000"/>
                      <w:sz w:val="16"/>
                      <w:szCs w:val="16"/>
                      <w:lang w:eastAsia="sk-SK"/>
                    </w:rPr>
                    <w:t>NW</w:t>
                  </w:r>
                </w:p>
              </w:tc>
              <w:tc>
                <w:tcPr>
                  <w:tcW w:w="567" w:type="dxa"/>
                  <w:tcBorders>
                    <w:top w:val="single" w:sz="4" w:space="0" w:color="FFFFFF"/>
                    <w:left w:val="single" w:sz="4" w:space="0" w:color="FFFFFF"/>
                    <w:bottom w:val="nil"/>
                    <w:right w:val="nil"/>
                  </w:tcBorders>
                  <w:shd w:val="clear" w:color="DBE5F1" w:fill="DBE5F1"/>
                  <w:noWrap/>
                  <w:hideMark/>
                </w:tcPr>
                <w:p w14:paraId="541DF886" w14:textId="77777777" w:rsidR="002A56BA" w:rsidRPr="002A56BA" w:rsidRDefault="002A56BA">
                  <w:pPr>
                    <w:spacing w:after="0" w:line="240" w:lineRule="auto"/>
                    <w:jc w:val="center"/>
                    <w:rPr>
                      <w:rFonts w:eastAsia="Times New Roman" w:cs="Times New Roman"/>
                      <w:color w:val="000000"/>
                      <w:sz w:val="16"/>
                      <w:szCs w:val="16"/>
                      <w:lang w:eastAsia="sk-SK"/>
                    </w:rPr>
                  </w:pPr>
                  <w:r w:rsidRPr="002A56BA">
                    <w:rPr>
                      <w:rFonts w:eastAsia="Times New Roman" w:cs="Times New Roman"/>
                      <w:color w:val="000000"/>
                      <w:sz w:val="16"/>
                      <w:szCs w:val="16"/>
                      <w:lang w:eastAsia="sk-SK"/>
                    </w:rPr>
                    <w:t>TBC</w:t>
                  </w:r>
                </w:p>
              </w:tc>
              <w:tc>
                <w:tcPr>
                  <w:tcW w:w="708" w:type="dxa"/>
                  <w:tcBorders>
                    <w:top w:val="single" w:sz="4" w:space="0" w:color="FFFFFF"/>
                    <w:left w:val="single" w:sz="4" w:space="0" w:color="FFFFFF"/>
                    <w:bottom w:val="nil"/>
                    <w:right w:val="nil"/>
                  </w:tcBorders>
                  <w:shd w:val="clear" w:color="DBE5F1" w:fill="DBE5F1"/>
                  <w:noWrap/>
                  <w:hideMark/>
                </w:tcPr>
                <w:p w14:paraId="1CD40CF7" w14:textId="77777777" w:rsidR="002A56BA" w:rsidRPr="002A56BA" w:rsidRDefault="002A56BA" w:rsidP="00450439">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5 418,14 </w:t>
                  </w:r>
                </w:p>
              </w:tc>
              <w:tc>
                <w:tcPr>
                  <w:tcW w:w="751" w:type="dxa"/>
                  <w:tcBorders>
                    <w:top w:val="single" w:sz="4" w:space="0" w:color="FFFFFF"/>
                    <w:left w:val="single" w:sz="4" w:space="0" w:color="FFFFFF"/>
                    <w:bottom w:val="nil"/>
                    <w:right w:val="nil"/>
                  </w:tcBorders>
                  <w:shd w:val="clear" w:color="DBE5F1" w:fill="DBE5F1"/>
                  <w:noWrap/>
                  <w:hideMark/>
                </w:tcPr>
                <w:p w14:paraId="0E0222DF"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217,16 </w:t>
                  </w:r>
                </w:p>
              </w:tc>
              <w:tc>
                <w:tcPr>
                  <w:tcW w:w="752" w:type="dxa"/>
                  <w:tcBorders>
                    <w:top w:val="single" w:sz="4" w:space="0" w:color="FFFFFF"/>
                    <w:left w:val="single" w:sz="4" w:space="0" w:color="FFFFFF"/>
                    <w:bottom w:val="nil"/>
                    <w:right w:val="nil"/>
                  </w:tcBorders>
                  <w:shd w:val="clear" w:color="DBE5F1" w:fill="DBE5F1"/>
                  <w:noWrap/>
                  <w:hideMark/>
                </w:tcPr>
                <w:p w14:paraId="03006EE7"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196,13 </w:t>
                  </w:r>
                </w:p>
              </w:tc>
              <w:tc>
                <w:tcPr>
                  <w:tcW w:w="751" w:type="dxa"/>
                  <w:tcBorders>
                    <w:top w:val="single" w:sz="4" w:space="0" w:color="FFFFFF"/>
                    <w:left w:val="single" w:sz="4" w:space="0" w:color="FFFFFF"/>
                    <w:bottom w:val="nil"/>
                    <w:right w:val="nil"/>
                  </w:tcBorders>
                  <w:shd w:val="clear" w:color="DBE5F1" w:fill="DBE5F1"/>
                  <w:noWrap/>
                  <w:hideMark/>
                </w:tcPr>
                <w:p w14:paraId="42AB35A3"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104,10 </w:t>
                  </w:r>
                </w:p>
              </w:tc>
              <w:tc>
                <w:tcPr>
                  <w:tcW w:w="752" w:type="dxa"/>
                  <w:tcBorders>
                    <w:top w:val="single" w:sz="4" w:space="0" w:color="FFFFFF"/>
                    <w:left w:val="single" w:sz="4" w:space="0" w:color="FFFFFF"/>
                    <w:bottom w:val="nil"/>
                    <w:right w:val="nil"/>
                  </w:tcBorders>
                  <w:shd w:val="clear" w:color="DBE5F1" w:fill="DBE5F1"/>
                  <w:noWrap/>
                  <w:hideMark/>
                </w:tcPr>
                <w:p w14:paraId="3D357E04"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86,59 </w:t>
                  </w:r>
                </w:p>
              </w:tc>
              <w:tc>
                <w:tcPr>
                  <w:tcW w:w="822" w:type="dxa"/>
                  <w:tcBorders>
                    <w:top w:val="single" w:sz="4" w:space="0" w:color="FFFFFF"/>
                    <w:left w:val="single" w:sz="4" w:space="0" w:color="FFFFFF"/>
                    <w:bottom w:val="nil"/>
                    <w:right w:val="nil"/>
                  </w:tcBorders>
                  <w:shd w:val="clear" w:color="DBE5F1" w:fill="DBE5F1"/>
                  <w:noWrap/>
                  <w:hideMark/>
                </w:tcPr>
                <w:p w14:paraId="48303B17"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4 636,43 </w:t>
                  </w:r>
                </w:p>
              </w:tc>
            </w:tr>
            <w:tr w:rsidR="002522E9" w:rsidRPr="002A56BA" w14:paraId="1A3A45BE" w14:textId="77777777" w:rsidTr="00450439">
              <w:trPr>
                <w:trHeight w:val="210"/>
              </w:trPr>
              <w:tc>
                <w:tcPr>
                  <w:tcW w:w="642" w:type="dxa"/>
                  <w:tcBorders>
                    <w:top w:val="single" w:sz="4" w:space="0" w:color="FFFFFF"/>
                    <w:left w:val="nil"/>
                    <w:bottom w:val="nil"/>
                    <w:right w:val="nil"/>
                  </w:tcBorders>
                  <w:shd w:val="clear" w:color="A5BAD7" w:fill="A5BAD7"/>
                  <w:hideMark/>
                </w:tcPr>
                <w:p w14:paraId="2A8CD523" w14:textId="69637917" w:rsidR="002A56BA" w:rsidRPr="002A56BA" w:rsidRDefault="002522E9">
                  <w:pPr>
                    <w:spacing w:after="0" w:line="240" w:lineRule="auto"/>
                    <w:jc w:val="left"/>
                    <w:rPr>
                      <w:rFonts w:eastAsia="Times New Roman" w:cs="Times New Roman"/>
                      <w:color w:val="000000"/>
                      <w:sz w:val="16"/>
                      <w:szCs w:val="16"/>
                      <w:lang w:eastAsia="sk-SK"/>
                    </w:rPr>
                  </w:pPr>
                  <w:r>
                    <w:rPr>
                      <w:rFonts w:eastAsia="Times New Roman" w:cs="Times New Roman"/>
                      <w:color w:val="000000"/>
                      <w:sz w:val="16"/>
                      <w:szCs w:val="16"/>
                      <w:lang w:eastAsia="sk-SK"/>
                    </w:rPr>
                    <w:t>Housing</w:t>
                  </w:r>
                </w:p>
              </w:tc>
              <w:tc>
                <w:tcPr>
                  <w:tcW w:w="2552" w:type="dxa"/>
                  <w:tcBorders>
                    <w:top w:val="single" w:sz="4" w:space="0" w:color="FFFFFF"/>
                    <w:left w:val="single" w:sz="4" w:space="0" w:color="FFFFFF"/>
                    <w:bottom w:val="nil"/>
                    <w:right w:val="nil"/>
                  </w:tcBorders>
                  <w:shd w:val="clear" w:color="A5BAD7" w:fill="A5BAD7"/>
                  <w:hideMark/>
                </w:tcPr>
                <w:p w14:paraId="77D97701"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Investments</w:t>
                  </w:r>
                </w:p>
              </w:tc>
              <w:tc>
                <w:tcPr>
                  <w:tcW w:w="567" w:type="dxa"/>
                  <w:tcBorders>
                    <w:top w:val="single" w:sz="4" w:space="0" w:color="FFFFFF"/>
                    <w:left w:val="single" w:sz="4" w:space="0" w:color="FFFFFF"/>
                    <w:bottom w:val="nil"/>
                    <w:right w:val="nil"/>
                  </w:tcBorders>
                  <w:shd w:val="clear" w:color="A5BAD7" w:fill="A5BAD7"/>
                  <w:hideMark/>
                </w:tcPr>
                <w:p w14:paraId="6CB752A7"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England</w:t>
                  </w:r>
                </w:p>
              </w:tc>
              <w:tc>
                <w:tcPr>
                  <w:tcW w:w="567" w:type="dxa"/>
                  <w:tcBorders>
                    <w:top w:val="single" w:sz="4" w:space="0" w:color="FFFFFF"/>
                    <w:left w:val="single" w:sz="4" w:space="0" w:color="FFFFFF"/>
                    <w:bottom w:val="nil"/>
                    <w:right w:val="nil"/>
                  </w:tcBorders>
                  <w:shd w:val="clear" w:color="A5BAD7" w:fill="A5BAD7"/>
                  <w:noWrap/>
                  <w:hideMark/>
                </w:tcPr>
                <w:p w14:paraId="4FEAC315" w14:textId="77777777" w:rsidR="002A56BA" w:rsidRPr="002A56BA" w:rsidRDefault="002A56BA">
                  <w:pPr>
                    <w:spacing w:after="0" w:line="240" w:lineRule="auto"/>
                    <w:jc w:val="center"/>
                    <w:rPr>
                      <w:rFonts w:eastAsia="Times New Roman" w:cs="Times New Roman"/>
                      <w:color w:val="000000"/>
                      <w:sz w:val="16"/>
                      <w:szCs w:val="16"/>
                      <w:lang w:eastAsia="sk-SK"/>
                    </w:rPr>
                  </w:pPr>
                  <w:r w:rsidRPr="002A56BA">
                    <w:rPr>
                      <w:rFonts w:eastAsia="Times New Roman" w:cs="Times New Roman"/>
                      <w:color w:val="000000"/>
                      <w:sz w:val="16"/>
                      <w:szCs w:val="16"/>
                      <w:lang w:eastAsia="sk-SK"/>
                    </w:rPr>
                    <w:t>Various</w:t>
                  </w:r>
                </w:p>
              </w:tc>
              <w:tc>
                <w:tcPr>
                  <w:tcW w:w="708" w:type="dxa"/>
                  <w:tcBorders>
                    <w:top w:val="single" w:sz="4" w:space="0" w:color="FFFFFF"/>
                    <w:left w:val="single" w:sz="4" w:space="0" w:color="FFFFFF"/>
                    <w:bottom w:val="nil"/>
                    <w:right w:val="nil"/>
                  </w:tcBorders>
                  <w:shd w:val="clear" w:color="A5BAD7" w:fill="A5BAD7"/>
                  <w:noWrap/>
                  <w:hideMark/>
                </w:tcPr>
                <w:p w14:paraId="7C4AE48D" w14:textId="77777777" w:rsidR="002A56BA" w:rsidRPr="002A56BA" w:rsidRDefault="002A56BA" w:rsidP="00450439">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4 941,00 </w:t>
                  </w:r>
                </w:p>
              </w:tc>
              <w:tc>
                <w:tcPr>
                  <w:tcW w:w="751" w:type="dxa"/>
                  <w:tcBorders>
                    <w:top w:val="single" w:sz="4" w:space="0" w:color="FFFFFF"/>
                    <w:left w:val="single" w:sz="4" w:space="0" w:color="FFFFFF"/>
                    <w:bottom w:val="nil"/>
                    <w:right w:val="nil"/>
                  </w:tcBorders>
                  <w:shd w:val="clear" w:color="A5BAD7" w:fill="A5BAD7"/>
                  <w:noWrap/>
                  <w:hideMark/>
                </w:tcPr>
                <w:p w14:paraId="602EF2F3"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563,00 </w:t>
                  </w:r>
                </w:p>
              </w:tc>
              <w:tc>
                <w:tcPr>
                  <w:tcW w:w="752" w:type="dxa"/>
                  <w:tcBorders>
                    <w:top w:val="single" w:sz="4" w:space="0" w:color="FFFFFF"/>
                    <w:left w:val="single" w:sz="4" w:space="0" w:color="FFFFFF"/>
                    <w:bottom w:val="nil"/>
                    <w:right w:val="nil"/>
                  </w:tcBorders>
                  <w:shd w:val="clear" w:color="A5BAD7" w:fill="A5BAD7"/>
                  <w:noWrap/>
                  <w:hideMark/>
                </w:tcPr>
                <w:p w14:paraId="042B4CB1"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987,77 </w:t>
                  </w:r>
                </w:p>
              </w:tc>
              <w:tc>
                <w:tcPr>
                  <w:tcW w:w="751" w:type="dxa"/>
                  <w:tcBorders>
                    <w:top w:val="single" w:sz="4" w:space="0" w:color="FFFFFF"/>
                    <w:left w:val="single" w:sz="4" w:space="0" w:color="FFFFFF"/>
                    <w:bottom w:val="nil"/>
                    <w:right w:val="nil"/>
                  </w:tcBorders>
                  <w:shd w:val="clear" w:color="A5BAD7" w:fill="A5BAD7"/>
                  <w:noWrap/>
                  <w:hideMark/>
                </w:tcPr>
                <w:p w14:paraId="0C29D1CF"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987,77 </w:t>
                  </w:r>
                </w:p>
              </w:tc>
              <w:tc>
                <w:tcPr>
                  <w:tcW w:w="752" w:type="dxa"/>
                  <w:tcBorders>
                    <w:top w:val="single" w:sz="4" w:space="0" w:color="FFFFFF"/>
                    <w:left w:val="single" w:sz="4" w:space="0" w:color="FFFFFF"/>
                    <w:bottom w:val="nil"/>
                    <w:right w:val="nil"/>
                  </w:tcBorders>
                  <w:shd w:val="clear" w:color="A5BAD7" w:fill="A5BAD7"/>
                  <w:noWrap/>
                  <w:hideMark/>
                </w:tcPr>
                <w:p w14:paraId="3B62ABD2"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987,77 </w:t>
                  </w:r>
                </w:p>
              </w:tc>
              <w:tc>
                <w:tcPr>
                  <w:tcW w:w="822" w:type="dxa"/>
                  <w:tcBorders>
                    <w:top w:val="single" w:sz="4" w:space="0" w:color="FFFFFF"/>
                    <w:left w:val="single" w:sz="4" w:space="0" w:color="FFFFFF"/>
                    <w:bottom w:val="nil"/>
                    <w:right w:val="nil"/>
                  </w:tcBorders>
                  <w:shd w:val="clear" w:color="A5BAD7" w:fill="A5BAD7"/>
                  <w:noWrap/>
                  <w:hideMark/>
                </w:tcPr>
                <w:p w14:paraId="536664EA"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1 126,68 </w:t>
                  </w:r>
                </w:p>
              </w:tc>
            </w:tr>
            <w:tr w:rsidR="002522E9" w:rsidRPr="002A56BA" w14:paraId="1C2D2C17" w14:textId="77777777" w:rsidTr="00450439">
              <w:trPr>
                <w:trHeight w:val="210"/>
              </w:trPr>
              <w:tc>
                <w:tcPr>
                  <w:tcW w:w="642" w:type="dxa"/>
                  <w:tcBorders>
                    <w:top w:val="single" w:sz="4" w:space="0" w:color="FFFFFF"/>
                    <w:left w:val="nil"/>
                    <w:bottom w:val="nil"/>
                    <w:right w:val="nil"/>
                  </w:tcBorders>
                  <w:shd w:val="clear" w:color="DBE5F1" w:fill="DBE5F1"/>
                  <w:hideMark/>
                </w:tcPr>
                <w:p w14:paraId="4892509B" w14:textId="43D18F5A" w:rsidR="002A56BA" w:rsidRPr="002522E9" w:rsidRDefault="002522E9">
                  <w:pPr>
                    <w:spacing w:after="0" w:line="240" w:lineRule="auto"/>
                    <w:jc w:val="left"/>
                    <w:rPr>
                      <w:rFonts w:eastAsia="Times New Roman" w:cs="Times New Roman"/>
                      <w:color w:val="000000"/>
                      <w:sz w:val="16"/>
                      <w:szCs w:val="16"/>
                      <w:lang w:eastAsia="sk-SK"/>
                    </w:rPr>
                  </w:pPr>
                  <w:r>
                    <w:rPr>
                      <w:rFonts w:eastAsia="Times New Roman" w:cs="Times New Roman"/>
                      <w:color w:val="000000"/>
                      <w:sz w:val="16"/>
                      <w:szCs w:val="16"/>
                      <w:lang w:eastAsia="sk-SK"/>
                    </w:rPr>
                    <w:t>R</w:t>
                  </w:r>
                  <w:r>
                    <w:rPr>
                      <w:rFonts w:eastAsia="Times New Roman" w:cs="Times New Roman"/>
                      <w:color w:val="000000"/>
                      <w:sz w:val="16"/>
                      <w:szCs w:val="16"/>
                      <w:lang w:val="en-GB" w:eastAsia="sk-SK"/>
                    </w:rPr>
                    <w:t>&amp;</w:t>
                  </w:r>
                  <w:r>
                    <w:rPr>
                      <w:rFonts w:eastAsia="Times New Roman" w:cs="Times New Roman"/>
                      <w:color w:val="000000"/>
                      <w:sz w:val="16"/>
                      <w:szCs w:val="16"/>
                      <w:lang w:eastAsia="sk-SK"/>
                    </w:rPr>
                    <w:t>D</w:t>
                  </w:r>
                </w:p>
              </w:tc>
              <w:tc>
                <w:tcPr>
                  <w:tcW w:w="2552" w:type="dxa"/>
                  <w:tcBorders>
                    <w:top w:val="single" w:sz="4" w:space="0" w:color="FFFFFF"/>
                    <w:left w:val="single" w:sz="4" w:space="0" w:color="FFFFFF"/>
                    <w:bottom w:val="nil"/>
                    <w:right w:val="nil"/>
                  </w:tcBorders>
                  <w:shd w:val="clear" w:color="DBE5F1" w:fill="DBE5F1"/>
                  <w:hideMark/>
                </w:tcPr>
                <w:p w14:paraId="302B2832"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Other Grand Challenges Fund and World Class Labs projects.</w:t>
                  </w:r>
                </w:p>
              </w:tc>
              <w:tc>
                <w:tcPr>
                  <w:tcW w:w="567" w:type="dxa"/>
                  <w:tcBorders>
                    <w:top w:val="single" w:sz="4" w:space="0" w:color="FFFFFF"/>
                    <w:left w:val="single" w:sz="4" w:space="0" w:color="FFFFFF"/>
                    <w:bottom w:val="nil"/>
                    <w:right w:val="nil"/>
                  </w:tcBorders>
                  <w:shd w:val="clear" w:color="DBE5F1" w:fill="DBE5F1"/>
                  <w:hideMark/>
                </w:tcPr>
                <w:p w14:paraId="02B1D07F"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UK</w:t>
                  </w:r>
                </w:p>
              </w:tc>
              <w:tc>
                <w:tcPr>
                  <w:tcW w:w="567" w:type="dxa"/>
                  <w:tcBorders>
                    <w:top w:val="single" w:sz="4" w:space="0" w:color="FFFFFF"/>
                    <w:left w:val="single" w:sz="4" w:space="0" w:color="FFFFFF"/>
                    <w:bottom w:val="nil"/>
                    <w:right w:val="nil"/>
                  </w:tcBorders>
                  <w:shd w:val="clear" w:color="DBE5F1" w:fill="DBE5F1"/>
                  <w:noWrap/>
                  <w:hideMark/>
                </w:tcPr>
                <w:p w14:paraId="7A9852CD" w14:textId="77777777" w:rsidR="002A56BA" w:rsidRPr="002A56BA" w:rsidRDefault="002A56BA">
                  <w:pPr>
                    <w:spacing w:after="0" w:line="240" w:lineRule="auto"/>
                    <w:jc w:val="center"/>
                    <w:rPr>
                      <w:rFonts w:eastAsia="Times New Roman" w:cs="Times New Roman"/>
                      <w:color w:val="000000"/>
                      <w:sz w:val="16"/>
                      <w:szCs w:val="16"/>
                      <w:lang w:eastAsia="sk-SK"/>
                    </w:rPr>
                  </w:pPr>
                  <w:r w:rsidRPr="002A56BA">
                    <w:rPr>
                      <w:rFonts w:eastAsia="Times New Roman" w:cs="Times New Roman"/>
                      <w:color w:val="000000"/>
                      <w:sz w:val="16"/>
                      <w:szCs w:val="16"/>
                      <w:lang w:eastAsia="sk-SK"/>
                    </w:rPr>
                    <w:t>2016</w:t>
                  </w:r>
                </w:p>
              </w:tc>
              <w:tc>
                <w:tcPr>
                  <w:tcW w:w="708" w:type="dxa"/>
                  <w:tcBorders>
                    <w:top w:val="single" w:sz="4" w:space="0" w:color="FFFFFF"/>
                    <w:left w:val="single" w:sz="4" w:space="0" w:color="FFFFFF"/>
                    <w:bottom w:val="nil"/>
                    <w:right w:val="nil"/>
                  </w:tcBorders>
                  <w:shd w:val="clear" w:color="DBE5F1" w:fill="DBE5F1"/>
                  <w:noWrap/>
                  <w:hideMark/>
                </w:tcPr>
                <w:p w14:paraId="40AD8B4B" w14:textId="77777777" w:rsidR="002A56BA" w:rsidRPr="002A56BA" w:rsidRDefault="002A56BA" w:rsidP="00450439">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4 921,30 </w:t>
                  </w:r>
                </w:p>
              </w:tc>
              <w:tc>
                <w:tcPr>
                  <w:tcW w:w="751" w:type="dxa"/>
                  <w:tcBorders>
                    <w:top w:val="single" w:sz="4" w:space="0" w:color="FFFFFF"/>
                    <w:left w:val="single" w:sz="4" w:space="0" w:color="FFFFFF"/>
                    <w:bottom w:val="nil"/>
                    <w:right w:val="nil"/>
                  </w:tcBorders>
                  <w:shd w:val="clear" w:color="DBE5F1" w:fill="DBE5F1"/>
                  <w:noWrap/>
                  <w:hideMark/>
                </w:tcPr>
                <w:p w14:paraId="5CC5A0B9"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920,50 </w:t>
                  </w:r>
                </w:p>
              </w:tc>
              <w:tc>
                <w:tcPr>
                  <w:tcW w:w="752" w:type="dxa"/>
                  <w:tcBorders>
                    <w:top w:val="single" w:sz="4" w:space="0" w:color="FFFFFF"/>
                    <w:left w:val="single" w:sz="4" w:space="0" w:color="FFFFFF"/>
                    <w:bottom w:val="nil"/>
                    <w:right w:val="nil"/>
                  </w:tcBorders>
                  <w:shd w:val="clear" w:color="DBE5F1" w:fill="DBE5F1"/>
                  <w:noWrap/>
                  <w:hideMark/>
                </w:tcPr>
                <w:p w14:paraId="24B3C94D"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821,10 </w:t>
                  </w:r>
                </w:p>
              </w:tc>
              <w:tc>
                <w:tcPr>
                  <w:tcW w:w="751" w:type="dxa"/>
                  <w:tcBorders>
                    <w:top w:val="single" w:sz="4" w:space="0" w:color="FFFFFF"/>
                    <w:left w:val="single" w:sz="4" w:space="0" w:color="FFFFFF"/>
                    <w:bottom w:val="nil"/>
                    <w:right w:val="nil"/>
                  </w:tcBorders>
                  <w:shd w:val="clear" w:color="DBE5F1" w:fill="DBE5F1"/>
                  <w:noWrap/>
                  <w:hideMark/>
                </w:tcPr>
                <w:p w14:paraId="203E5EA0"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889,80 </w:t>
                  </w:r>
                </w:p>
              </w:tc>
              <w:tc>
                <w:tcPr>
                  <w:tcW w:w="752" w:type="dxa"/>
                  <w:tcBorders>
                    <w:top w:val="single" w:sz="4" w:space="0" w:color="FFFFFF"/>
                    <w:left w:val="single" w:sz="4" w:space="0" w:color="FFFFFF"/>
                    <w:bottom w:val="nil"/>
                    <w:right w:val="nil"/>
                  </w:tcBorders>
                  <w:shd w:val="clear" w:color="DBE5F1" w:fill="DBE5F1"/>
                  <w:noWrap/>
                  <w:hideMark/>
                </w:tcPr>
                <w:p w14:paraId="13C0D6D3"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705,70 </w:t>
                  </w:r>
                </w:p>
              </w:tc>
              <w:tc>
                <w:tcPr>
                  <w:tcW w:w="822" w:type="dxa"/>
                  <w:tcBorders>
                    <w:top w:val="single" w:sz="4" w:space="0" w:color="FFFFFF"/>
                    <w:left w:val="single" w:sz="4" w:space="0" w:color="FFFFFF"/>
                    <w:bottom w:val="nil"/>
                    <w:right w:val="nil"/>
                  </w:tcBorders>
                  <w:shd w:val="clear" w:color="DBE5F1" w:fill="DBE5F1"/>
                  <w:noWrap/>
                  <w:hideMark/>
                </w:tcPr>
                <w:p w14:paraId="67FE270E"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660,40 </w:t>
                  </w:r>
                </w:p>
              </w:tc>
            </w:tr>
            <w:tr w:rsidR="002522E9" w:rsidRPr="002A56BA" w14:paraId="65B83691" w14:textId="77777777" w:rsidTr="00450439">
              <w:trPr>
                <w:trHeight w:val="210"/>
              </w:trPr>
              <w:tc>
                <w:tcPr>
                  <w:tcW w:w="642" w:type="dxa"/>
                  <w:tcBorders>
                    <w:top w:val="single" w:sz="4" w:space="0" w:color="FFFFFF"/>
                    <w:left w:val="nil"/>
                    <w:bottom w:val="nil"/>
                    <w:right w:val="nil"/>
                  </w:tcBorders>
                  <w:shd w:val="clear" w:color="A5BAD7" w:fill="A5BAD7"/>
                  <w:hideMark/>
                </w:tcPr>
                <w:p w14:paraId="0C012655"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Education</w:t>
                  </w:r>
                </w:p>
              </w:tc>
              <w:tc>
                <w:tcPr>
                  <w:tcW w:w="2552" w:type="dxa"/>
                  <w:tcBorders>
                    <w:top w:val="single" w:sz="4" w:space="0" w:color="FFFFFF"/>
                    <w:left w:val="single" w:sz="4" w:space="0" w:color="FFFFFF"/>
                    <w:bottom w:val="nil"/>
                    <w:right w:val="nil"/>
                  </w:tcBorders>
                  <w:shd w:val="clear" w:color="A5BAD7" w:fill="A5BAD7"/>
                  <w:hideMark/>
                </w:tcPr>
                <w:p w14:paraId="2328324B"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London</w:t>
                  </w:r>
                </w:p>
              </w:tc>
              <w:tc>
                <w:tcPr>
                  <w:tcW w:w="567" w:type="dxa"/>
                  <w:tcBorders>
                    <w:top w:val="single" w:sz="4" w:space="0" w:color="FFFFFF"/>
                    <w:left w:val="single" w:sz="4" w:space="0" w:color="FFFFFF"/>
                    <w:bottom w:val="nil"/>
                    <w:right w:val="nil"/>
                  </w:tcBorders>
                  <w:shd w:val="clear" w:color="A5BAD7" w:fill="A5BAD7"/>
                  <w:hideMark/>
                </w:tcPr>
                <w:p w14:paraId="581E2F8D"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London</w:t>
                  </w:r>
                </w:p>
              </w:tc>
              <w:tc>
                <w:tcPr>
                  <w:tcW w:w="567" w:type="dxa"/>
                  <w:tcBorders>
                    <w:top w:val="single" w:sz="4" w:space="0" w:color="FFFFFF"/>
                    <w:left w:val="single" w:sz="4" w:space="0" w:color="FFFFFF"/>
                    <w:bottom w:val="nil"/>
                    <w:right w:val="nil"/>
                  </w:tcBorders>
                  <w:shd w:val="clear" w:color="A5BAD7" w:fill="A5BAD7"/>
                  <w:noWrap/>
                  <w:hideMark/>
                </w:tcPr>
                <w:p w14:paraId="191318EE" w14:textId="77777777" w:rsidR="002A56BA" w:rsidRPr="002A56BA" w:rsidRDefault="002A56BA">
                  <w:pPr>
                    <w:spacing w:after="0" w:line="240" w:lineRule="auto"/>
                    <w:jc w:val="center"/>
                    <w:rPr>
                      <w:rFonts w:eastAsia="Times New Roman" w:cs="Times New Roman"/>
                      <w:color w:val="000000"/>
                      <w:sz w:val="16"/>
                      <w:szCs w:val="16"/>
                      <w:lang w:eastAsia="sk-SK"/>
                    </w:rPr>
                  </w:pPr>
                  <w:r w:rsidRPr="002A56BA">
                    <w:rPr>
                      <w:rFonts w:eastAsia="Times New Roman" w:cs="Times New Roman"/>
                      <w:color w:val="000000"/>
                      <w:sz w:val="16"/>
                      <w:szCs w:val="16"/>
                      <w:lang w:eastAsia="sk-SK"/>
                    </w:rPr>
                    <w:t>2015/16 (Q2)</w:t>
                  </w:r>
                </w:p>
              </w:tc>
              <w:tc>
                <w:tcPr>
                  <w:tcW w:w="708" w:type="dxa"/>
                  <w:tcBorders>
                    <w:top w:val="single" w:sz="4" w:space="0" w:color="FFFFFF"/>
                    <w:left w:val="single" w:sz="4" w:space="0" w:color="FFFFFF"/>
                    <w:bottom w:val="nil"/>
                    <w:right w:val="nil"/>
                  </w:tcBorders>
                  <w:shd w:val="clear" w:color="A5BAD7" w:fill="A5BAD7"/>
                  <w:noWrap/>
                  <w:hideMark/>
                </w:tcPr>
                <w:p w14:paraId="0CB01ABC" w14:textId="77777777" w:rsidR="002A56BA" w:rsidRPr="002A56BA" w:rsidRDefault="002A56BA" w:rsidP="00450439">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4 368,18 </w:t>
                  </w:r>
                </w:p>
              </w:tc>
              <w:tc>
                <w:tcPr>
                  <w:tcW w:w="751" w:type="dxa"/>
                  <w:tcBorders>
                    <w:top w:val="single" w:sz="4" w:space="0" w:color="FFFFFF"/>
                    <w:left w:val="single" w:sz="4" w:space="0" w:color="FFFFFF"/>
                    <w:bottom w:val="nil"/>
                    <w:right w:val="nil"/>
                  </w:tcBorders>
                  <w:shd w:val="clear" w:color="A5BAD7" w:fill="A5BAD7"/>
                  <w:noWrap/>
                  <w:hideMark/>
                </w:tcPr>
                <w:p w14:paraId="5AFE6195"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429,47 </w:t>
                  </w:r>
                </w:p>
              </w:tc>
              <w:tc>
                <w:tcPr>
                  <w:tcW w:w="752" w:type="dxa"/>
                  <w:tcBorders>
                    <w:top w:val="single" w:sz="4" w:space="0" w:color="FFFFFF"/>
                    <w:left w:val="single" w:sz="4" w:space="0" w:color="FFFFFF"/>
                    <w:bottom w:val="nil"/>
                    <w:right w:val="nil"/>
                  </w:tcBorders>
                  <w:shd w:val="clear" w:color="A5BAD7" w:fill="A5BAD7"/>
                  <w:noWrap/>
                  <w:hideMark/>
                </w:tcPr>
                <w:p w14:paraId="6BF26F50"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234,69 </w:t>
                  </w:r>
                </w:p>
              </w:tc>
              <w:tc>
                <w:tcPr>
                  <w:tcW w:w="751" w:type="dxa"/>
                  <w:tcBorders>
                    <w:top w:val="single" w:sz="4" w:space="0" w:color="FFFFFF"/>
                    <w:left w:val="single" w:sz="4" w:space="0" w:color="FFFFFF"/>
                    <w:bottom w:val="nil"/>
                    <w:right w:val="nil"/>
                  </w:tcBorders>
                  <w:shd w:val="clear" w:color="A5BAD7" w:fill="A5BAD7"/>
                  <w:noWrap/>
                  <w:hideMark/>
                </w:tcPr>
                <w:p w14:paraId="4EA53644"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225,68 </w:t>
                  </w:r>
                </w:p>
              </w:tc>
              <w:tc>
                <w:tcPr>
                  <w:tcW w:w="752" w:type="dxa"/>
                  <w:tcBorders>
                    <w:top w:val="single" w:sz="4" w:space="0" w:color="FFFFFF"/>
                    <w:left w:val="single" w:sz="4" w:space="0" w:color="FFFFFF"/>
                    <w:bottom w:val="nil"/>
                    <w:right w:val="nil"/>
                  </w:tcBorders>
                  <w:shd w:val="clear" w:color="A5BAD7" w:fill="A5BAD7"/>
                  <w:noWrap/>
                  <w:hideMark/>
                </w:tcPr>
                <w:p w14:paraId="331F9F41"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72,77 </w:t>
                  </w:r>
                </w:p>
              </w:tc>
              <w:tc>
                <w:tcPr>
                  <w:tcW w:w="822" w:type="dxa"/>
                  <w:tcBorders>
                    <w:top w:val="single" w:sz="4" w:space="0" w:color="FFFFFF"/>
                    <w:left w:val="single" w:sz="4" w:space="0" w:color="FFFFFF"/>
                    <w:bottom w:val="nil"/>
                    <w:right w:val="nil"/>
                  </w:tcBorders>
                  <w:shd w:val="clear" w:color="A5BAD7" w:fill="A5BAD7"/>
                  <w:noWrap/>
                  <w:hideMark/>
                </w:tcPr>
                <w:p w14:paraId="5F2D3E34"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   </w:t>
                  </w:r>
                </w:p>
              </w:tc>
            </w:tr>
            <w:tr w:rsidR="002522E9" w:rsidRPr="002A56BA" w14:paraId="6E4C0913" w14:textId="77777777" w:rsidTr="00450439">
              <w:trPr>
                <w:trHeight w:val="210"/>
              </w:trPr>
              <w:tc>
                <w:tcPr>
                  <w:tcW w:w="642" w:type="dxa"/>
                  <w:tcBorders>
                    <w:top w:val="single" w:sz="4" w:space="0" w:color="FFFFFF"/>
                    <w:left w:val="nil"/>
                    <w:bottom w:val="nil"/>
                    <w:right w:val="nil"/>
                  </w:tcBorders>
                  <w:shd w:val="clear" w:color="DBE5F1" w:fill="DBE5F1"/>
                  <w:hideMark/>
                </w:tcPr>
                <w:p w14:paraId="6712452B"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Transport</w:t>
                  </w:r>
                </w:p>
              </w:tc>
              <w:tc>
                <w:tcPr>
                  <w:tcW w:w="2552" w:type="dxa"/>
                  <w:tcBorders>
                    <w:top w:val="single" w:sz="4" w:space="0" w:color="FFFFFF"/>
                    <w:left w:val="single" w:sz="4" w:space="0" w:color="FFFFFF"/>
                    <w:bottom w:val="nil"/>
                    <w:right w:val="nil"/>
                  </w:tcBorders>
                  <w:shd w:val="clear" w:color="DBE5F1" w:fill="DBE5F1"/>
                  <w:hideMark/>
                </w:tcPr>
                <w:p w14:paraId="42F4836C"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Renewals Programme</w:t>
                  </w:r>
                </w:p>
              </w:tc>
              <w:tc>
                <w:tcPr>
                  <w:tcW w:w="567" w:type="dxa"/>
                  <w:tcBorders>
                    <w:top w:val="single" w:sz="4" w:space="0" w:color="FFFFFF"/>
                    <w:left w:val="single" w:sz="4" w:space="0" w:color="FFFFFF"/>
                    <w:bottom w:val="nil"/>
                    <w:right w:val="nil"/>
                  </w:tcBorders>
                  <w:shd w:val="clear" w:color="DBE5F1" w:fill="DBE5F1"/>
                  <w:hideMark/>
                </w:tcPr>
                <w:p w14:paraId="3962A94A"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UK</w:t>
                  </w:r>
                </w:p>
              </w:tc>
              <w:tc>
                <w:tcPr>
                  <w:tcW w:w="567" w:type="dxa"/>
                  <w:tcBorders>
                    <w:top w:val="single" w:sz="4" w:space="0" w:color="FFFFFF"/>
                    <w:left w:val="single" w:sz="4" w:space="0" w:color="FFFFFF"/>
                    <w:bottom w:val="nil"/>
                    <w:right w:val="nil"/>
                  </w:tcBorders>
                  <w:shd w:val="clear" w:color="DBE5F1" w:fill="DBE5F1"/>
                  <w:noWrap/>
                  <w:hideMark/>
                </w:tcPr>
                <w:p w14:paraId="19055AAB" w14:textId="77777777" w:rsidR="002A56BA" w:rsidRPr="002A56BA" w:rsidRDefault="002A56BA">
                  <w:pPr>
                    <w:spacing w:after="0" w:line="240" w:lineRule="auto"/>
                    <w:jc w:val="center"/>
                    <w:rPr>
                      <w:rFonts w:eastAsia="Times New Roman" w:cs="Times New Roman"/>
                      <w:color w:val="000000"/>
                      <w:sz w:val="16"/>
                      <w:szCs w:val="16"/>
                      <w:lang w:eastAsia="sk-SK"/>
                    </w:rPr>
                  </w:pPr>
                  <w:r w:rsidRPr="002A56BA">
                    <w:rPr>
                      <w:rFonts w:eastAsia="Times New Roman" w:cs="Times New Roman"/>
                      <w:color w:val="000000"/>
                      <w:sz w:val="16"/>
                      <w:szCs w:val="16"/>
                      <w:lang w:eastAsia="sk-SK"/>
                    </w:rPr>
                    <w:t>TBC</w:t>
                  </w:r>
                </w:p>
              </w:tc>
              <w:tc>
                <w:tcPr>
                  <w:tcW w:w="708" w:type="dxa"/>
                  <w:tcBorders>
                    <w:top w:val="single" w:sz="4" w:space="0" w:color="FFFFFF"/>
                    <w:left w:val="single" w:sz="4" w:space="0" w:color="FFFFFF"/>
                    <w:bottom w:val="nil"/>
                    <w:right w:val="nil"/>
                  </w:tcBorders>
                  <w:shd w:val="clear" w:color="DBE5F1" w:fill="DBE5F1"/>
                  <w:noWrap/>
                  <w:hideMark/>
                </w:tcPr>
                <w:p w14:paraId="7D742357" w14:textId="77777777" w:rsidR="002A56BA" w:rsidRPr="002A56BA" w:rsidRDefault="002A56BA" w:rsidP="00450439">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4 239,19 </w:t>
                  </w:r>
                </w:p>
              </w:tc>
              <w:tc>
                <w:tcPr>
                  <w:tcW w:w="751" w:type="dxa"/>
                  <w:tcBorders>
                    <w:top w:val="single" w:sz="4" w:space="0" w:color="FFFFFF"/>
                    <w:left w:val="single" w:sz="4" w:space="0" w:color="FFFFFF"/>
                    <w:bottom w:val="nil"/>
                    <w:right w:val="nil"/>
                  </w:tcBorders>
                  <w:shd w:val="clear" w:color="DBE5F1" w:fill="DBE5F1"/>
                  <w:noWrap/>
                  <w:hideMark/>
                </w:tcPr>
                <w:p w14:paraId="6B7CBCE9"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759,40 </w:t>
                  </w:r>
                </w:p>
              </w:tc>
              <w:tc>
                <w:tcPr>
                  <w:tcW w:w="752" w:type="dxa"/>
                  <w:tcBorders>
                    <w:top w:val="single" w:sz="4" w:space="0" w:color="FFFFFF"/>
                    <w:left w:val="single" w:sz="4" w:space="0" w:color="FFFFFF"/>
                    <w:bottom w:val="nil"/>
                    <w:right w:val="nil"/>
                  </w:tcBorders>
                  <w:shd w:val="clear" w:color="DBE5F1" w:fill="DBE5F1"/>
                  <w:noWrap/>
                  <w:hideMark/>
                </w:tcPr>
                <w:p w14:paraId="2B681DAC"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731,90 </w:t>
                  </w:r>
                </w:p>
              </w:tc>
              <w:tc>
                <w:tcPr>
                  <w:tcW w:w="751" w:type="dxa"/>
                  <w:tcBorders>
                    <w:top w:val="single" w:sz="4" w:space="0" w:color="FFFFFF"/>
                    <w:left w:val="single" w:sz="4" w:space="0" w:color="FFFFFF"/>
                    <w:bottom w:val="nil"/>
                    <w:right w:val="nil"/>
                  </w:tcBorders>
                  <w:shd w:val="clear" w:color="DBE5F1" w:fill="DBE5F1"/>
                  <w:noWrap/>
                  <w:hideMark/>
                </w:tcPr>
                <w:p w14:paraId="54472008"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774,86 </w:t>
                  </w:r>
                </w:p>
              </w:tc>
              <w:tc>
                <w:tcPr>
                  <w:tcW w:w="752" w:type="dxa"/>
                  <w:tcBorders>
                    <w:top w:val="single" w:sz="4" w:space="0" w:color="FFFFFF"/>
                    <w:left w:val="single" w:sz="4" w:space="0" w:color="FFFFFF"/>
                    <w:bottom w:val="nil"/>
                    <w:right w:val="nil"/>
                  </w:tcBorders>
                  <w:shd w:val="clear" w:color="DBE5F1" w:fill="DBE5F1"/>
                  <w:noWrap/>
                  <w:hideMark/>
                </w:tcPr>
                <w:p w14:paraId="47A4B6DC"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722,15 </w:t>
                  </w:r>
                </w:p>
              </w:tc>
              <w:tc>
                <w:tcPr>
                  <w:tcW w:w="822" w:type="dxa"/>
                  <w:tcBorders>
                    <w:top w:val="single" w:sz="4" w:space="0" w:color="FFFFFF"/>
                    <w:left w:val="single" w:sz="4" w:space="0" w:color="FFFFFF"/>
                    <w:bottom w:val="nil"/>
                    <w:right w:val="nil"/>
                  </w:tcBorders>
                  <w:shd w:val="clear" w:color="DBE5F1" w:fill="DBE5F1"/>
                  <w:noWrap/>
                  <w:hideMark/>
                </w:tcPr>
                <w:p w14:paraId="1507FB9A"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   </w:t>
                  </w:r>
                </w:p>
              </w:tc>
            </w:tr>
            <w:tr w:rsidR="002522E9" w:rsidRPr="002A56BA" w14:paraId="62643D69" w14:textId="77777777" w:rsidTr="00450439">
              <w:trPr>
                <w:trHeight w:val="210"/>
              </w:trPr>
              <w:tc>
                <w:tcPr>
                  <w:tcW w:w="642" w:type="dxa"/>
                  <w:tcBorders>
                    <w:top w:val="single" w:sz="4" w:space="0" w:color="FFFFFF"/>
                    <w:left w:val="nil"/>
                    <w:bottom w:val="nil"/>
                    <w:right w:val="nil"/>
                  </w:tcBorders>
                  <w:shd w:val="clear" w:color="A5BAD7" w:fill="A5BAD7"/>
                  <w:hideMark/>
                </w:tcPr>
                <w:p w14:paraId="76051EB3"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Utilities</w:t>
                  </w:r>
                </w:p>
              </w:tc>
              <w:tc>
                <w:tcPr>
                  <w:tcW w:w="2552" w:type="dxa"/>
                  <w:tcBorders>
                    <w:top w:val="single" w:sz="4" w:space="0" w:color="FFFFFF"/>
                    <w:left w:val="single" w:sz="4" w:space="0" w:color="FFFFFF"/>
                    <w:bottom w:val="nil"/>
                    <w:right w:val="nil"/>
                  </w:tcBorders>
                  <w:shd w:val="clear" w:color="A5BAD7" w:fill="A5BAD7"/>
                  <w:hideMark/>
                </w:tcPr>
                <w:p w14:paraId="3D77C285"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Thames Tideway Tunnel</w:t>
                  </w:r>
                </w:p>
              </w:tc>
              <w:tc>
                <w:tcPr>
                  <w:tcW w:w="567" w:type="dxa"/>
                  <w:tcBorders>
                    <w:top w:val="single" w:sz="4" w:space="0" w:color="FFFFFF"/>
                    <w:left w:val="single" w:sz="4" w:space="0" w:color="FFFFFF"/>
                    <w:bottom w:val="nil"/>
                    <w:right w:val="nil"/>
                  </w:tcBorders>
                  <w:shd w:val="clear" w:color="A5BAD7" w:fill="A5BAD7"/>
                  <w:hideMark/>
                </w:tcPr>
                <w:p w14:paraId="366E4E25" w14:textId="77777777" w:rsidR="002A56BA" w:rsidRPr="002A56BA" w:rsidRDefault="002A56BA">
                  <w:pPr>
                    <w:spacing w:after="0" w:line="240" w:lineRule="auto"/>
                    <w:jc w:val="left"/>
                    <w:rPr>
                      <w:rFonts w:eastAsia="Times New Roman" w:cs="Times New Roman"/>
                      <w:color w:val="000000"/>
                      <w:sz w:val="16"/>
                      <w:szCs w:val="16"/>
                      <w:lang w:eastAsia="sk-SK"/>
                    </w:rPr>
                  </w:pPr>
                  <w:r w:rsidRPr="002A56BA">
                    <w:rPr>
                      <w:rFonts w:eastAsia="Times New Roman" w:cs="Times New Roman"/>
                      <w:color w:val="000000"/>
                      <w:sz w:val="16"/>
                      <w:szCs w:val="16"/>
                      <w:lang w:eastAsia="sk-SK"/>
                    </w:rPr>
                    <w:t>London</w:t>
                  </w:r>
                </w:p>
              </w:tc>
              <w:tc>
                <w:tcPr>
                  <w:tcW w:w="567" w:type="dxa"/>
                  <w:tcBorders>
                    <w:top w:val="single" w:sz="4" w:space="0" w:color="FFFFFF"/>
                    <w:left w:val="single" w:sz="4" w:space="0" w:color="FFFFFF"/>
                    <w:bottom w:val="nil"/>
                    <w:right w:val="nil"/>
                  </w:tcBorders>
                  <w:shd w:val="clear" w:color="A5BAD7" w:fill="A5BAD7"/>
                  <w:noWrap/>
                  <w:hideMark/>
                </w:tcPr>
                <w:p w14:paraId="40B8B583" w14:textId="77777777" w:rsidR="002A56BA" w:rsidRPr="002A56BA" w:rsidRDefault="002A56BA">
                  <w:pPr>
                    <w:spacing w:after="0" w:line="240" w:lineRule="auto"/>
                    <w:jc w:val="center"/>
                    <w:rPr>
                      <w:rFonts w:eastAsia="Times New Roman" w:cs="Times New Roman"/>
                      <w:color w:val="000000"/>
                      <w:sz w:val="16"/>
                      <w:szCs w:val="16"/>
                      <w:lang w:eastAsia="sk-SK"/>
                    </w:rPr>
                  </w:pPr>
                  <w:r w:rsidRPr="002A56BA">
                    <w:rPr>
                      <w:rFonts w:eastAsia="Times New Roman" w:cs="Times New Roman"/>
                      <w:color w:val="000000"/>
                      <w:sz w:val="16"/>
                      <w:szCs w:val="16"/>
                      <w:lang w:eastAsia="sk-SK"/>
                    </w:rPr>
                    <w:t>2016</w:t>
                  </w:r>
                </w:p>
              </w:tc>
              <w:tc>
                <w:tcPr>
                  <w:tcW w:w="708" w:type="dxa"/>
                  <w:tcBorders>
                    <w:top w:val="single" w:sz="4" w:space="0" w:color="FFFFFF"/>
                    <w:left w:val="single" w:sz="4" w:space="0" w:color="FFFFFF"/>
                    <w:bottom w:val="nil"/>
                    <w:right w:val="nil"/>
                  </w:tcBorders>
                  <w:shd w:val="clear" w:color="A5BAD7" w:fill="A5BAD7"/>
                  <w:noWrap/>
                  <w:hideMark/>
                </w:tcPr>
                <w:p w14:paraId="091834CA" w14:textId="77777777" w:rsidR="002A56BA" w:rsidRPr="002A56BA" w:rsidRDefault="002A56BA" w:rsidP="00450439">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4 163,80 </w:t>
                  </w:r>
                </w:p>
              </w:tc>
              <w:tc>
                <w:tcPr>
                  <w:tcW w:w="751" w:type="dxa"/>
                  <w:tcBorders>
                    <w:top w:val="single" w:sz="4" w:space="0" w:color="FFFFFF"/>
                    <w:left w:val="single" w:sz="4" w:space="0" w:color="FFFFFF"/>
                    <w:bottom w:val="nil"/>
                    <w:right w:val="nil"/>
                  </w:tcBorders>
                  <w:shd w:val="clear" w:color="A5BAD7" w:fill="A5BAD7"/>
                  <w:noWrap/>
                  <w:hideMark/>
                </w:tcPr>
                <w:p w14:paraId="00ADE6D4"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575,93 </w:t>
                  </w:r>
                </w:p>
              </w:tc>
              <w:tc>
                <w:tcPr>
                  <w:tcW w:w="752" w:type="dxa"/>
                  <w:tcBorders>
                    <w:top w:val="single" w:sz="4" w:space="0" w:color="FFFFFF"/>
                    <w:left w:val="single" w:sz="4" w:space="0" w:color="FFFFFF"/>
                    <w:bottom w:val="nil"/>
                    <w:right w:val="nil"/>
                  </w:tcBorders>
                  <w:shd w:val="clear" w:color="A5BAD7" w:fill="A5BAD7"/>
                  <w:noWrap/>
                  <w:hideMark/>
                </w:tcPr>
                <w:p w14:paraId="2A7D0465"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588,81 </w:t>
                  </w:r>
                </w:p>
              </w:tc>
              <w:tc>
                <w:tcPr>
                  <w:tcW w:w="751" w:type="dxa"/>
                  <w:tcBorders>
                    <w:top w:val="single" w:sz="4" w:space="0" w:color="FFFFFF"/>
                    <w:left w:val="single" w:sz="4" w:space="0" w:color="FFFFFF"/>
                    <w:bottom w:val="nil"/>
                    <w:right w:val="nil"/>
                  </w:tcBorders>
                  <w:shd w:val="clear" w:color="A5BAD7" w:fill="A5BAD7"/>
                  <w:noWrap/>
                  <w:hideMark/>
                </w:tcPr>
                <w:p w14:paraId="191E6512"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521,65 </w:t>
                  </w:r>
                </w:p>
              </w:tc>
              <w:tc>
                <w:tcPr>
                  <w:tcW w:w="752" w:type="dxa"/>
                  <w:tcBorders>
                    <w:top w:val="single" w:sz="4" w:space="0" w:color="FFFFFF"/>
                    <w:left w:val="single" w:sz="4" w:space="0" w:color="FFFFFF"/>
                    <w:bottom w:val="nil"/>
                    <w:right w:val="nil"/>
                  </w:tcBorders>
                  <w:shd w:val="clear" w:color="A5BAD7" w:fill="A5BAD7"/>
                  <w:noWrap/>
                  <w:hideMark/>
                </w:tcPr>
                <w:p w14:paraId="3E18225E"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537,46 </w:t>
                  </w:r>
                </w:p>
              </w:tc>
              <w:tc>
                <w:tcPr>
                  <w:tcW w:w="822" w:type="dxa"/>
                  <w:tcBorders>
                    <w:top w:val="single" w:sz="4" w:space="0" w:color="FFFFFF"/>
                    <w:left w:val="single" w:sz="4" w:space="0" w:color="FFFFFF"/>
                    <w:bottom w:val="nil"/>
                    <w:right w:val="nil"/>
                  </w:tcBorders>
                  <w:shd w:val="clear" w:color="A5BAD7" w:fill="A5BAD7"/>
                  <w:noWrap/>
                  <w:hideMark/>
                </w:tcPr>
                <w:p w14:paraId="3EEB4288" w14:textId="77777777" w:rsidR="002A56BA" w:rsidRPr="002A56BA" w:rsidRDefault="002A56BA">
                  <w:pPr>
                    <w:spacing w:after="0" w:line="240" w:lineRule="auto"/>
                    <w:jc w:val="right"/>
                    <w:rPr>
                      <w:rFonts w:eastAsia="Times New Roman" w:cs="Times New Roman"/>
                      <w:color w:val="000000"/>
                      <w:sz w:val="16"/>
                      <w:szCs w:val="16"/>
                      <w:lang w:eastAsia="sk-SK"/>
                    </w:rPr>
                  </w:pPr>
                  <w:r w:rsidRPr="002A56BA">
                    <w:rPr>
                      <w:rFonts w:eastAsia="Times New Roman" w:cs="Times New Roman"/>
                      <w:color w:val="000000"/>
                      <w:sz w:val="16"/>
                      <w:szCs w:val="16"/>
                      <w:lang w:eastAsia="sk-SK"/>
                    </w:rPr>
                    <w:t xml:space="preserve">         148,08 </w:t>
                  </w:r>
                </w:p>
              </w:tc>
            </w:tr>
          </w:tbl>
          <w:p w14:paraId="778618B3" w14:textId="1086B7F8" w:rsidR="00F10A6C" w:rsidRPr="00450439" w:rsidRDefault="00A22C10" w:rsidP="00450439">
            <w:pPr>
              <w:jc w:val="right"/>
              <w:rPr>
                <w:i/>
              </w:rPr>
            </w:pPr>
            <w:r w:rsidRPr="00450439">
              <w:rPr>
                <w:i/>
                <w:sz w:val="16"/>
              </w:rPr>
              <w:t xml:space="preserve">Zdroj: </w:t>
            </w:r>
            <w:hyperlink r:id="rId35" w:history="1">
              <w:r w:rsidR="00055240" w:rsidRPr="00450439">
                <w:rPr>
                  <w:rStyle w:val="Hypertextovprepojenie"/>
                  <w:i/>
                  <w:sz w:val="16"/>
                </w:rPr>
                <w:t>https://www.gov.uk/government/publications/national-infrastructure-and-construction-pipeline-2018</w:t>
              </w:r>
            </w:hyperlink>
          </w:p>
        </w:tc>
      </w:tr>
    </w:tbl>
    <w:p w14:paraId="06143651" w14:textId="158ADB47" w:rsidR="00D964FB" w:rsidRPr="005C2CEC" w:rsidRDefault="00D964FB" w:rsidP="00D964FB">
      <w:pPr>
        <w:pStyle w:val="Nadpis3"/>
      </w:pPr>
      <w:r w:rsidRPr="005C2CEC">
        <w:lastRenderedPageBreak/>
        <w:t>Pripomienkovanie a schválenie investičnej stratégie</w:t>
      </w:r>
    </w:p>
    <w:p w14:paraId="6AF66D0B" w14:textId="1460D4AA" w:rsidR="00D964FB" w:rsidRPr="005C2CEC" w:rsidRDefault="00D964FB" w:rsidP="00D964FB">
      <w:r w:rsidRPr="005C2CEC">
        <w:t>Sektorovú investičnú stratégiu vrátane metodiky</w:t>
      </w:r>
      <w:r w:rsidR="00EA34E8">
        <w:t xml:space="preserve"> pre určovanie priorít</w:t>
      </w:r>
      <w:r w:rsidRPr="005C2CEC">
        <w:t xml:space="preserve">, priorizovaného </w:t>
      </w:r>
      <w:r w:rsidR="004927A8">
        <w:t>zoznamu</w:t>
      </w:r>
      <w:r w:rsidRPr="005C2CEC">
        <w:t xml:space="preserve"> a investičného plánu ministerstvo predkladá na pripomienkovanie MF SR najneskôr </w:t>
      </w:r>
      <w:r w:rsidR="00C0588C">
        <w:t>30</w:t>
      </w:r>
      <w:r w:rsidR="00C0588C" w:rsidRPr="005C2CEC">
        <w:t xml:space="preserve"> </w:t>
      </w:r>
      <w:r w:rsidR="00BD05DB">
        <w:t xml:space="preserve">kalendárnych </w:t>
      </w:r>
      <w:r w:rsidRPr="005C2CEC">
        <w:t>dní pred zverejnením</w:t>
      </w:r>
      <w:r w:rsidR="00C0588C">
        <w:t xml:space="preserve">. MF SR zašle pripomienky </w:t>
      </w:r>
      <w:r w:rsidR="00C57D1C">
        <w:t>najneskôr</w:t>
      </w:r>
      <w:r w:rsidR="00C0588C">
        <w:t xml:space="preserve"> 15 dní </w:t>
      </w:r>
      <w:r w:rsidR="00C57D1C">
        <w:t xml:space="preserve">pred termínom zverejnenia </w:t>
      </w:r>
      <w:r w:rsidR="00C0588C">
        <w:t>sektorovej investičnej stratégie.</w:t>
      </w:r>
      <w:r w:rsidRPr="005C2CEC">
        <w:t xml:space="preserve"> </w:t>
      </w:r>
      <w:r w:rsidR="00C0588C">
        <w:t>Ú</w:t>
      </w:r>
      <w:r w:rsidRPr="005C2CEC">
        <w:t xml:space="preserve">plnú finálnu verziu </w:t>
      </w:r>
      <w:r w:rsidR="00C0588C">
        <w:t xml:space="preserve">ministerstvo </w:t>
      </w:r>
      <w:r w:rsidRPr="005C2CEC">
        <w:t>zverejn</w:t>
      </w:r>
      <w:r w:rsidR="00C0588C">
        <w:t>ilo</w:t>
      </w:r>
      <w:r w:rsidRPr="005C2CEC">
        <w:t xml:space="preserve"> </w:t>
      </w:r>
      <w:r w:rsidR="008B1B11">
        <w:t xml:space="preserve">prvýkrát </w:t>
      </w:r>
      <w:r w:rsidRPr="005C2CEC">
        <w:t xml:space="preserve">do 31.3.2021. </w:t>
      </w:r>
      <w:r w:rsidR="00C0588C">
        <w:t xml:space="preserve">Ministerstvo, ktoré nezverejnilo sektorovú investičnú stratégiu v uvedenom termíne ju zverejní do </w:t>
      </w:r>
      <w:r w:rsidR="0010386F">
        <w:t>3</w:t>
      </w:r>
      <w:r w:rsidR="001514FD">
        <w:t>1</w:t>
      </w:r>
      <w:r w:rsidR="0010386F">
        <w:t>.</w:t>
      </w:r>
      <w:r w:rsidR="001514FD">
        <w:t>5</w:t>
      </w:r>
      <w:r w:rsidR="00C0588C">
        <w:t>.</w:t>
      </w:r>
      <w:r w:rsidR="00983BC0">
        <w:t>2022</w:t>
      </w:r>
      <w:r w:rsidR="00C0588C">
        <w:t>.</w:t>
      </w:r>
    </w:p>
    <w:p w14:paraId="0FF92167" w14:textId="21AE8342" w:rsidR="00D964FB" w:rsidRPr="005C2CEC" w:rsidRDefault="00C0588C" w:rsidP="00D964FB">
      <w:r>
        <w:t>M</w:t>
      </w:r>
      <w:r w:rsidR="00482834">
        <w:t xml:space="preserve">inisterstvo </w:t>
      </w:r>
      <w:r w:rsidR="00D964FB" w:rsidRPr="005C2CEC">
        <w:t xml:space="preserve">zverejňuje aktualizovanú verziu investičného plánu každoročne do </w:t>
      </w:r>
      <w:r w:rsidR="0010386F">
        <w:t>3</w:t>
      </w:r>
      <w:r w:rsidR="001514FD">
        <w:t>1</w:t>
      </w:r>
      <w:r w:rsidR="0010386F">
        <w:t>.</w:t>
      </w:r>
      <w:r w:rsidR="001514FD">
        <w:t>5</w:t>
      </w:r>
      <w:r w:rsidR="00D964FB" w:rsidRPr="005C2CEC">
        <w:t>. daného kalendárneho roka.</w:t>
      </w:r>
      <w:r w:rsidR="00BB6EEE">
        <w:t xml:space="preserve"> Najneskôr </w:t>
      </w:r>
      <w:r>
        <w:t xml:space="preserve">30 </w:t>
      </w:r>
      <w:r w:rsidR="00BD05DB">
        <w:t xml:space="preserve">kalendárnych </w:t>
      </w:r>
      <w:r w:rsidR="00BB6EEE">
        <w:t>dní pred zverejnením predkladá ministerstvo aktualizovaný investičný plán na pripomienkovanie MF SR</w:t>
      </w:r>
      <w:r>
        <w:t xml:space="preserve">, ktoré zašle pripomienky </w:t>
      </w:r>
      <w:r w:rsidR="00C57D1C">
        <w:t>najneskôr</w:t>
      </w:r>
      <w:r>
        <w:t xml:space="preserve"> 15 dní</w:t>
      </w:r>
      <w:r w:rsidR="00346ED1">
        <w:t xml:space="preserve"> </w:t>
      </w:r>
      <w:r w:rsidR="00C57D1C">
        <w:t>pred termínom zverejnenia</w:t>
      </w:r>
      <w:r w:rsidR="00BB6EEE">
        <w:t>.</w:t>
      </w:r>
      <w:r w:rsidR="00D964FB" w:rsidRPr="005C2CEC">
        <w:t xml:space="preserve"> </w:t>
      </w:r>
      <w:r w:rsidR="00BB6EEE" w:rsidRPr="005C2CEC">
        <w:t>Investičný plán, ktorý obsahuje utajované skutočnosti</w:t>
      </w:r>
      <w:r w:rsidR="00BB6EEE" w:rsidRPr="005C2CEC">
        <w:rPr>
          <w:rStyle w:val="Odkaznapoznmkupodiarou"/>
        </w:rPr>
        <w:footnoteReference w:id="6"/>
      </w:r>
      <w:r w:rsidR="00BB6EEE" w:rsidRPr="005C2CEC">
        <w:t xml:space="preserve"> ministerstvo nezverejňuje, ale posiela MF SR.</w:t>
      </w:r>
      <w:r w:rsidR="00BB6EEE">
        <w:t xml:space="preserve"> </w:t>
      </w:r>
      <w:r w:rsidR="00D964FB" w:rsidRPr="005C2CEC">
        <w:t>Investičný plán je záväzný pre podriadené organizácie v riadiacej pôsobnosti príslušného ministerstva. Ministerstvo bezodkladne informuje MF SR o zmenách v investičnom pláne</w:t>
      </w:r>
      <w:r w:rsidR="00BB6EEE" w:rsidRPr="005C2CEC">
        <w:t>, ktoré nastanú v priebehu kalendárneho roka</w:t>
      </w:r>
      <w:r w:rsidR="00BB6EEE">
        <w:t xml:space="preserve"> (investičný plán je možné doplniť iba z akútnych dôvodov, ako sú napríklad novo zistené havarijné stavy, zmeny vyvolané legislatívou, alebo iné nepredvídateľné zmeny)</w:t>
      </w:r>
      <w:r w:rsidR="00D964FB" w:rsidRPr="005C2CEC">
        <w:t xml:space="preserve">. Investičný plán podlieha schváleniu zo strany </w:t>
      </w:r>
      <w:r w:rsidR="008B3103">
        <w:t xml:space="preserve">príslušného </w:t>
      </w:r>
      <w:r w:rsidR="005A3A94">
        <w:t xml:space="preserve">ministerstva. </w:t>
      </w:r>
    </w:p>
    <w:p w14:paraId="3A72B99E" w14:textId="25EB2B90" w:rsidR="002F2726" w:rsidRPr="005C2CEC" w:rsidRDefault="00CD2746" w:rsidP="002F2726">
      <w:pPr>
        <w:pStyle w:val="Nadpis1"/>
      </w:pPr>
      <w:bookmarkStart w:id="115" w:name="_Toc83651080"/>
      <w:r w:rsidRPr="005C2CEC">
        <w:t xml:space="preserve">Príprava </w:t>
      </w:r>
      <w:r w:rsidR="003772D9" w:rsidRPr="005C2CEC">
        <w:t>investičného projektu</w:t>
      </w:r>
      <w:bookmarkEnd w:id="115"/>
    </w:p>
    <w:p w14:paraId="3A29A494" w14:textId="7418AA10" w:rsidR="00C57D1C" w:rsidRDefault="009A1EA3" w:rsidP="00996694">
      <w:r>
        <w:t>Ekonomickému h</w:t>
      </w:r>
      <w:r w:rsidR="00996694" w:rsidRPr="005C2CEC">
        <w:t xml:space="preserve">odnoteniu zo strany </w:t>
      </w:r>
      <w:r w:rsidR="0020732B" w:rsidRPr="005C2CEC">
        <w:t>MF</w:t>
      </w:r>
      <w:r w:rsidR="00996694" w:rsidRPr="005C2CEC">
        <w:t xml:space="preserve"> SR podliehajú všetky investície</w:t>
      </w:r>
      <w:r w:rsidR="006C37B8">
        <w:t>, projekty investičného charakteru</w:t>
      </w:r>
      <w:r w:rsidR="00996694" w:rsidRPr="005C2CEC">
        <w:t xml:space="preserve"> </w:t>
      </w:r>
      <w:r w:rsidR="008F53DE" w:rsidRPr="005C2CEC">
        <w:t>a</w:t>
      </w:r>
      <w:r w:rsidR="00FA4908">
        <w:t> </w:t>
      </w:r>
      <w:r w:rsidR="00996694" w:rsidRPr="005C2CEC">
        <w:t>koncesie</w:t>
      </w:r>
      <w:r w:rsidR="00FA4908">
        <w:t xml:space="preserve"> s </w:t>
      </w:r>
      <w:r w:rsidR="00996694" w:rsidRPr="005C2CEC">
        <w:t>hodnot</w:t>
      </w:r>
      <w:r w:rsidR="00FA4908">
        <w:t>ou</w:t>
      </w:r>
      <w:r w:rsidR="00996694" w:rsidRPr="005C2CEC">
        <w:t xml:space="preserve"> rovn</w:t>
      </w:r>
      <w:r w:rsidR="00FA4908">
        <w:t>ou</w:t>
      </w:r>
      <w:r w:rsidR="00996694" w:rsidRPr="005C2CEC">
        <w:t xml:space="preserve"> alebo vyšš</w:t>
      </w:r>
      <w:r w:rsidR="00FA4908">
        <w:t>ou</w:t>
      </w:r>
      <w:r w:rsidR="00996694" w:rsidRPr="005C2CEC">
        <w:t xml:space="preserve"> ako </w:t>
      </w:r>
      <w:r w:rsidR="00431EE2" w:rsidRPr="005C2CEC">
        <w:t>jeden milión</w:t>
      </w:r>
      <w:r w:rsidR="00996694" w:rsidRPr="005C2CEC">
        <w:t xml:space="preserve"> </w:t>
      </w:r>
      <w:r w:rsidR="00983211" w:rsidRPr="005C2CEC">
        <w:t xml:space="preserve">eur </w:t>
      </w:r>
      <w:r w:rsidR="00996694" w:rsidRPr="005C2CEC">
        <w:t>(vrátane DPH)</w:t>
      </w:r>
      <w:r w:rsidR="00996694" w:rsidRPr="005C2CEC">
        <w:rPr>
          <w:rStyle w:val="Odkaznapoznmkupodiarou"/>
        </w:rPr>
        <w:footnoteReference w:id="7"/>
      </w:r>
      <w:r w:rsidR="00400F87">
        <w:t>, ktoré sú pripravované subjektmi</w:t>
      </w:r>
      <w:r w:rsidR="00400F87" w:rsidRPr="005C2CEC">
        <w:t xml:space="preserve"> verejnej správy</w:t>
      </w:r>
      <w:r w:rsidR="00400F87">
        <w:t xml:space="preserve"> </w:t>
      </w:r>
      <w:r w:rsidR="00530F44">
        <w:t>z</w:t>
      </w:r>
      <w:r w:rsidR="00400F87" w:rsidRPr="005C2CEC">
        <w:t xml:space="preserve"> verejných pro</w:t>
      </w:r>
      <w:r w:rsidR="00FA4908">
        <w:t>striedkov</w:t>
      </w:r>
      <w:r w:rsidR="00370DA2">
        <w:t xml:space="preserve"> (t.j. z finančných prostriedkov štátneho rozpočtu, EŠIF, Plánu obnovy a</w:t>
      </w:r>
      <w:r w:rsidR="004F0110">
        <w:t> </w:t>
      </w:r>
      <w:r w:rsidR="00370DA2">
        <w:t>odolnosti</w:t>
      </w:r>
      <w:r w:rsidR="004F0110">
        <w:t>,</w:t>
      </w:r>
      <w:r w:rsidR="00370DA2">
        <w:t xml:space="preserve"> a iných prostriedkov EÚ)</w:t>
      </w:r>
      <w:r w:rsidR="00FA4908">
        <w:t xml:space="preserve">. </w:t>
      </w:r>
      <w:r w:rsidR="00C57D1C">
        <w:t>Pri použití zmiešaných foriem financovania (návratného a nenávratného) podliehajú ekonomickému hodnoteniu MF SR iba investičné projekty, ktorých nenávratná časť financovania (napr. formou grantov) presiahla hodnotu 1 mil. eur.</w:t>
      </w:r>
      <w:r w:rsidR="00213534">
        <w:t xml:space="preserve"> </w:t>
      </w:r>
      <w:r w:rsidR="007A7185">
        <w:t>Na ekonomické hodnotenie MF SR môžu byť predložené aj k</w:t>
      </w:r>
      <w:r w:rsidR="00213534">
        <w:t>apitálové transfery</w:t>
      </w:r>
      <w:r w:rsidR="0013272B">
        <w:t>.</w:t>
      </w:r>
    </w:p>
    <w:p w14:paraId="4A3563DE" w14:textId="52ED60E6" w:rsidR="00996694" w:rsidRDefault="00FA4908" w:rsidP="00996694">
      <w:r>
        <w:t>V prípade koncesií</w:t>
      </w:r>
      <w:r w:rsidR="00400F87" w:rsidRPr="005C2CEC">
        <w:t xml:space="preserve"> </w:t>
      </w:r>
      <w:r w:rsidR="00400F87">
        <w:t>podliehajú hodnoteniu MF SR</w:t>
      </w:r>
      <w:r w:rsidR="00400F87" w:rsidRPr="005C2CEC">
        <w:t xml:space="preserve"> </w:t>
      </w:r>
      <w:r w:rsidR="00400F87">
        <w:t>aj</w:t>
      </w:r>
      <w:r w:rsidR="00DE1356">
        <w:t xml:space="preserve"> projekty pripravované</w:t>
      </w:r>
      <w:r w:rsidR="00400F87" w:rsidRPr="005C2CEC">
        <w:t xml:space="preserve"> štátn</w:t>
      </w:r>
      <w:r w:rsidR="00DE1356">
        <w:t>ymi</w:t>
      </w:r>
      <w:r w:rsidR="00400F87" w:rsidRPr="005C2CEC">
        <w:t xml:space="preserve"> podnik</w:t>
      </w:r>
      <w:r w:rsidR="00DE1356">
        <w:t>mi</w:t>
      </w:r>
      <w:r w:rsidR="00400F87" w:rsidRPr="005C2CEC">
        <w:t xml:space="preserve"> a</w:t>
      </w:r>
      <w:r w:rsidR="00DE1356">
        <w:t> </w:t>
      </w:r>
      <w:r w:rsidR="00400F87">
        <w:t>obchodn</w:t>
      </w:r>
      <w:r w:rsidR="00DE1356">
        <w:t>ými</w:t>
      </w:r>
      <w:r w:rsidR="00400F87" w:rsidRPr="005C2CEC">
        <w:t xml:space="preserve"> spoločnos</w:t>
      </w:r>
      <w:r w:rsidR="00DE1356">
        <w:t>ťami</w:t>
      </w:r>
      <w:r w:rsidR="00400F87">
        <w:t>, ako aj ich dcérsk</w:t>
      </w:r>
      <w:r w:rsidR="00DE1356">
        <w:t>ymi</w:t>
      </w:r>
      <w:r w:rsidR="00400F87">
        <w:t xml:space="preserve"> podnik</w:t>
      </w:r>
      <w:r w:rsidR="00DE1356">
        <w:t>mi</w:t>
      </w:r>
      <w:r w:rsidR="00400F87">
        <w:t xml:space="preserve">, </w:t>
      </w:r>
      <w:r w:rsidR="00450439">
        <w:t>v ktorých</w:t>
      </w:r>
      <w:r w:rsidR="00400F87" w:rsidRPr="005C2CEC">
        <w:t xml:space="preserve"> štát vyk</w:t>
      </w:r>
      <w:r>
        <w:t xml:space="preserve">onáva </w:t>
      </w:r>
      <w:r w:rsidR="00FB7126">
        <w:t xml:space="preserve">100 </w:t>
      </w:r>
      <w:r w:rsidR="00FB7126">
        <w:rPr>
          <w:lang w:val="en-GB"/>
        </w:rPr>
        <w:t>%</w:t>
      </w:r>
      <w:r w:rsidR="00FB7126">
        <w:t xml:space="preserve"> </w:t>
      </w:r>
      <w:r>
        <w:t>hlasovacích práv.</w:t>
      </w:r>
      <w:r w:rsidR="00487501" w:rsidRPr="00487501">
        <w:t xml:space="preserve"> </w:t>
      </w:r>
      <w:r w:rsidR="00DE1356">
        <w:t>Ekonomickému h</w:t>
      </w:r>
      <w:r w:rsidR="00487501" w:rsidRPr="00487501">
        <w:t>odnoteniu nepodliehajú investičné projekty pripravované orgánom vykonávajúcim finančné nástroje podľa osobitného predpisu</w:t>
      </w:r>
      <w:r w:rsidR="00487501">
        <w:rPr>
          <w:rStyle w:val="Odkaznapoznmkupodiarou"/>
        </w:rPr>
        <w:footnoteReference w:id="8"/>
      </w:r>
      <w:r w:rsidR="00487501" w:rsidRPr="00487501">
        <w:t>, ktorých hodnota je zároveň pod ustanovenou hranicou</w:t>
      </w:r>
      <w:r w:rsidR="00487501">
        <w:t>.</w:t>
      </w:r>
    </w:p>
    <w:p w14:paraId="3004D2B1" w14:textId="3DA5C418" w:rsidR="003B5091" w:rsidRDefault="003B5091" w:rsidP="003B5091">
      <w:pPr>
        <w:pStyle w:val="Popis"/>
      </w:pPr>
      <w:r>
        <w:lastRenderedPageBreak/>
        <w:t xml:space="preserve">Tabuľka </w:t>
      </w:r>
      <w:r w:rsidR="009573AC">
        <w:fldChar w:fldCharType="begin"/>
      </w:r>
      <w:r w:rsidR="009573AC">
        <w:instrText xml:space="preserve"> SEQ Tabuľka \* ARABIC </w:instrText>
      </w:r>
      <w:r w:rsidR="009573AC">
        <w:fldChar w:fldCharType="separate"/>
      </w:r>
      <w:r w:rsidR="00531657">
        <w:rPr>
          <w:noProof/>
        </w:rPr>
        <w:t>7</w:t>
      </w:r>
      <w:r w:rsidR="009573AC">
        <w:rPr>
          <w:noProof/>
        </w:rPr>
        <w:fldChar w:fldCharType="end"/>
      </w:r>
      <w:r>
        <w:t>: Prehľad subjektov, na ktoré sa vzťahuje povinnosť predložiť investičné projekty na ekonomické hodnotenie MF SR podľa hodnoty a zdroja financovania</w:t>
      </w:r>
    </w:p>
    <w:tbl>
      <w:tblPr>
        <w:tblW w:w="9072" w:type="dxa"/>
        <w:tblCellMar>
          <w:left w:w="0" w:type="dxa"/>
          <w:right w:w="0" w:type="dxa"/>
        </w:tblCellMar>
        <w:tblLook w:val="04A0" w:firstRow="1" w:lastRow="0" w:firstColumn="1" w:lastColumn="0" w:noHBand="0" w:noVBand="1"/>
      </w:tblPr>
      <w:tblGrid>
        <w:gridCol w:w="1440"/>
        <w:gridCol w:w="970"/>
        <w:gridCol w:w="1665"/>
        <w:gridCol w:w="1666"/>
        <w:gridCol w:w="1665"/>
        <w:gridCol w:w="1666"/>
      </w:tblGrid>
      <w:tr w:rsidR="003B5091" w:rsidRPr="003E76D1" w14:paraId="1B2FEF29" w14:textId="77777777" w:rsidTr="00450439">
        <w:trPr>
          <w:trHeight w:val="86"/>
        </w:trPr>
        <w:tc>
          <w:tcPr>
            <w:tcW w:w="1440" w:type="dxa"/>
            <w:vMerge w:val="restart"/>
            <w:tcBorders>
              <w:top w:val="single" w:sz="4" w:space="0" w:color="auto"/>
              <w:bottom w:val="single" w:sz="8" w:space="0" w:color="auto"/>
            </w:tcBorders>
            <w:shd w:val="clear" w:color="auto" w:fill="auto"/>
            <w:tcMar>
              <w:top w:w="15" w:type="dxa"/>
              <w:left w:w="96" w:type="dxa"/>
              <w:bottom w:w="0" w:type="dxa"/>
              <w:right w:w="96" w:type="dxa"/>
            </w:tcMar>
            <w:vAlign w:val="bottom"/>
            <w:hideMark/>
          </w:tcPr>
          <w:p w14:paraId="4413AC63" w14:textId="77777777" w:rsidR="003B5091" w:rsidRPr="003E76D1" w:rsidRDefault="003B5091" w:rsidP="008D0D64">
            <w:pPr>
              <w:spacing w:after="0"/>
              <w:jc w:val="center"/>
              <w:rPr>
                <w:b/>
                <w:bCs/>
                <w:sz w:val="18"/>
                <w:szCs w:val="18"/>
              </w:rPr>
            </w:pPr>
            <w:r w:rsidRPr="003E76D1">
              <w:rPr>
                <w:b/>
                <w:bCs/>
                <w:sz w:val="18"/>
                <w:szCs w:val="18"/>
              </w:rPr>
              <w:t>Hodnota investičného projektu</w:t>
            </w:r>
          </w:p>
        </w:tc>
        <w:tc>
          <w:tcPr>
            <w:tcW w:w="970" w:type="dxa"/>
            <w:vMerge w:val="restart"/>
            <w:tcBorders>
              <w:top w:val="single" w:sz="4" w:space="0" w:color="auto"/>
              <w:bottom w:val="single" w:sz="8" w:space="0" w:color="auto"/>
              <w:right w:val="single" w:sz="4" w:space="0" w:color="auto"/>
            </w:tcBorders>
            <w:shd w:val="clear" w:color="auto" w:fill="auto"/>
            <w:vAlign w:val="bottom"/>
          </w:tcPr>
          <w:p w14:paraId="41C934DF" w14:textId="77777777" w:rsidR="003B5091" w:rsidRPr="003E76D1" w:rsidRDefault="003B5091" w:rsidP="008D0D64">
            <w:pPr>
              <w:spacing w:after="0"/>
              <w:jc w:val="center"/>
              <w:rPr>
                <w:b/>
                <w:bCs/>
                <w:sz w:val="18"/>
                <w:szCs w:val="18"/>
              </w:rPr>
            </w:pPr>
            <w:r w:rsidRPr="003E76D1">
              <w:rPr>
                <w:b/>
                <w:bCs/>
                <w:sz w:val="18"/>
                <w:szCs w:val="18"/>
              </w:rPr>
              <w:t>Zdroj financovania</w:t>
            </w:r>
          </w:p>
        </w:tc>
        <w:tc>
          <w:tcPr>
            <w:tcW w:w="4996" w:type="dxa"/>
            <w:gridSpan w:val="3"/>
            <w:tcBorders>
              <w:top w:val="single" w:sz="4" w:space="0" w:color="auto"/>
              <w:left w:val="single" w:sz="4" w:space="0" w:color="auto"/>
              <w:bottom w:val="single" w:sz="4" w:space="0" w:color="auto"/>
              <w:right w:val="single" w:sz="4" w:space="0" w:color="auto"/>
            </w:tcBorders>
            <w:shd w:val="clear" w:color="auto" w:fill="auto"/>
            <w:tcMar>
              <w:top w:w="15" w:type="dxa"/>
              <w:left w:w="96" w:type="dxa"/>
              <w:bottom w:w="0" w:type="dxa"/>
              <w:right w:w="96" w:type="dxa"/>
            </w:tcMar>
            <w:vAlign w:val="center"/>
            <w:hideMark/>
          </w:tcPr>
          <w:p w14:paraId="5EFE1FDC" w14:textId="77777777" w:rsidR="003B5091" w:rsidRPr="003E76D1" w:rsidRDefault="003B5091" w:rsidP="008D0D64">
            <w:pPr>
              <w:spacing w:after="0"/>
              <w:jc w:val="center"/>
              <w:rPr>
                <w:sz w:val="18"/>
                <w:szCs w:val="18"/>
              </w:rPr>
            </w:pPr>
            <w:r w:rsidRPr="003E76D1">
              <w:rPr>
                <w:b/>
                <w:bCs/>
                <w:sz w:val="18"/>
                <w:szCs w:val="18"/>
              </w:rPr>
              <w:t>Subjekty VS</w:t>
            </w:r>
          </w:p>
        </w:tc>
        <w:tc>
          <w:tcPr>
            <w:tcW w:w="1666" w:type="dxa"/>
            <w:tcBorders>
              <w:top w:val="single" w:sz="4" w:space="0" w:color="auto"/>
              <w:left w:val="single" w:sz="4" w:space="0" w:color="auto"/>
              <w:bottom w:val="single" w:sz="4" w:space="0" w:color="auto"/>
            </w:tcBorders>
            <w:shd w:val="clear" w:color="auto" w:fill="auto"/>
            <w:vAlign w:val="center"/>
          </w:tcPr>
          <w:p w14:paraId="56191463" w14:textId="77777777" w:rsidR="003B5091" w:rsidRPr="003E76D1" w:rsidRDefault="003B5091" w:rsidP="008D0D64">
            <w:pPr>
              <w:spacing w:after="0"/>
              <w:jc w:val="center"/>
              <w:rPr>
                <w:sz w:val="18"/>
                <w:szCs w:val="18"/>
              </w:rPr>
            </w:pPr>
            <w:r w:rsidRPr="003E76D1">
              <w:rPr>
                <w:b/>
                <w:bCs/>
                <w:sz w:val="18"/>
                <w:szCs w:val="18"/>
              </w:rPr>
              <w:t>Subjekty mimo VS + výnimky</w:t>
            </w:r>
          </w:p>
        </w:tc>
      </w:tr>
      <w:tr w:rsidR="003B5091" w:rsidRPr="003E76D1" w14:paraId="03DD2880" w14:textId="77777777" w:rsidTr="008D0D64">
        <w:trPr>
          <w:trHeight w:val="1171"/>
        </w:trPr>
        <w:tc>
          <w:tcPr>
            <w:tcW w:w="1440" w:type="dxa"/>
            <w:vMerge/>
            <w:tcBorders>
              <w:bottom w:val="single" w:sz="4" w:space="0" w:color="auto"/>
            </w:tcBorders>
            <w:shd w:val="clear" w:color="auto" w:fill="00B0F0"/>
            <w:vAlign w:val="center"/>
            <w:hideMark/>
          </w:tcPr>
          <w:p w14:paraId="18F6BF87" w14:textId="77777777" w:rsidR="003B5091" w:rsidRPr="003E76D1" w:rsidRDefault="003B5091" w:rsidP="008D0D64">
            <w:pPr>
              <w:spacing w:after="0"/>
              <w:rPr>
                <w:sz w:val="18"/>
                <w:szCs w:val="18"/>
              </w:rPr>
            </w:pPr>
          </w:p>
        </w:tc>
        <w:tc>
          <w:tcPr>
            <w:tcW w:w="970" w:type="dxa"/>
            <w:vMerge/>
            <w:tcBorders>
              <w:bottom w:val="single" w:sz="4" w:space="0" w:color="auto"/>
              <w:right w:val="single" w:sz="4" w:space="0" w:color="auto"/>
            </w:tcBorders>
            <w:shd w:val="clear" w:color="auto" w:fill="00B0F0"/>
            <w:vAlign w:val="center"/>
          </w:tcPr>
          <w:p w14:paraId="4D1E6A65" w14:textId="77777777" w:rsidR="003B5091" w:rsidRPr="003E76D1" w:rsidRDefault="003B5091" w:rsidP="008D0D64">
            <w:pPr>
              <w:spacing w:after="0"/>
              <w:rPr>
                <w:sz w:val="18"/>
                <w:szCs w:val="18"/>
              </w:rPr>
            </w:pPr>
          </w:p>
        </w:tc>
        <w:tc>
          <w:tcPr>
            <w:tcW w:w="1665" w:type="dxa"/>
            <w:tcBorders>
              <w:top w:val="single" w:sz="4" w:space="0" w:color="auto"/>
              <w:left w:val="single" w:sz="4" w:space="0" w:color="auto"/>
              <w:bottom w:val="single" w:sz="4" w:space="0" w:color="auto"/>
            </w:tcBorders>
            <w:shd w:val="clear" w:color="auto" w:fill="auto"/>
            <w:tcMar>
              <w:top w:w="15" w:type="dxa"/>
              <w:left w:w="96" w:type="dxa"/>
              <w:bottom w:w="0" w:type="dxa"/>
              <w:right w:w="96" w:type="dxa"/>
            </w:tcMar>
            <w:hideMark/>
          </w:tcPr>
          <w:p w14:paraId="22E4820E" w14:textId="77777777" w:rsidR="003B5091" w:rsidRPr="003E76D1" w:rsidRDefault="003B5091" w:rsidP="008D0D64">
            <w:pPr>
              <w:spacing w:after="0"/>
              <w:rPr>
                <w:b/>
                <w:sz w:val="18"/>
                <w:szCs w:val="18"/>
              </w:rPr>
            </w:pPr>
            <w:r w:rsidRPr="003E76D1">
              <w:rPr>
                <w:b/>
                <w:sz w:val="18"/>
                <w:szCs w:val="18"/>
              </w:rPr>
              <w:t>Kategória 1:</w:t>
            </w:r>
          </w:p>
          <w:p w14:paraId="335E1300" w14:textId="77777777" w:rsidR="003B5091" w:rsidRPr="003E76D1" w:rsidRDefault="003B5091" w:rsidP="008D0D64">
            <w:pPr>
              <w:numPr>
                <w:ilvl w:val="0"/>
                <w:numId w:val="54"/>
              </w:numPr>
              <w:spacing w:after="0" w:line="259" w:lineRule="auto"/>
              <w:ind w:left="113" w:hanging="113"/>
              <w:jc w:val="left"/>
              <w:rPr>
                <w:sz w:val="18"/>
                <w:szCs w:val="18"/>
              </w:rPr>
            </w:pPr>
            <w:r w:rsidRPr="003E76D1">
              <w:rPr>
                <w:sz w:val="18"/>
                <w:szCs w:val="18"/>
              </w:rPr>
              <w:t>Kapitola ŠR</w:t>
            </w:r>
          </w:p>
          <w:p w14:paraId="3B0BBE84" w14:textId="77777777" w:rsidR="003B5091" w:rsidRPr="003E76D1" w:rsidRDefault="003B5091" w:rsidP="008D0D64">
            <w:pPr>
              <w:numPr>
                <w:ilvl w:val="0"/>
                <w:numId w:val="54"/>
              </w:numPr>
              <w:spacing w:after="0" w:line="259" w:lineRule="auto"/>
              <w:ind w:left="113" w:hanging="113"/>
              <w:jc w:val="left"/>
              <w:rPr>
                <w:sz w:val="18"/>
                <w:szCs w:val="18"/>
              </w:rPr>
            </w:pPr>
            <w:r w:rsidRPr="003E76D1">
              <w:rPr>
                <w:sz w:val="18"/>
                <w:szCs w:val="18"/>
              </w:rPr>
              <w:t>RO / PO kapitoly ŠR</w:t>
            </w:r>
          </w:p>
          <w:p w14:paraId="4C98ADC9" w14:textId="77777777" w:rsidR="003B5091" w:rsidRPr="003E76D1" w:rsidRDefault="003B5091" w:rsidP="008D0D64">
            <w:pPr>
              <w:numPr>
                <w:ilvl w:val="0"/>
                <w:numId w:val="54"/>
              </w:numPr>
              <w:spacing w:after="0" w:line="259" w:lineRule="auto"/>
              <w:ind w:left="113" w:hanging="113"/>
              <w:jc w:val="left"/>
              <w:rPr>
                <w:sz w:val="18"/>
                <w:szCs w:val="18"/>
              </w:rPr>
            </w:pPr>
            <w:r w:rsidRPr="003E76D1">
              <w:rPr>
                <w:sz w:val="18"/>
                <w:szCs w:val="18"/>
              </w:rPr>
              <w:t>OSVS v </w:t>
            </w:r>
            <w:r>
              <w:rPr>
                <w:sz w:val="18"/>
                <w:szCs w:val="18"/>
              </w:rPr>
              <w:t>riadiacej pôsobnosti kapitoly</w:t>
            </w:r>
          </w:p>
          <w:p w14:paraId="184FDE13" w14:textId="77777777" w:rsidR="003B5091" w:rsidRPr="003E76D1" w:rsidRDefault="003B5091" w:rsidP="008D0D64">
            <w:pPr>
              <w:numPr>
                <w:ilvl w:val="0"/>
                <w:numId w:val="54"/>
              </w:numPr>
              <w:spacing w:after="0" w:line="259" w:lineRule="auto"/>
              <w:ind w:left="113" w:hanging="113"/>
              <w:jc w:val="left"/>
              <w:rPr>
                <w:sz w:val="18"/>
                <w:szCs w:val="18"/>
              </w:rPr>
            </w:pPr>
            <w:r>
              <w:rPr>
                <w:sz w:val="18"/>
                <w:szCs w:val="18"/>
              </w:rPr>
              <w:t>Štátne podniky v sektore</w:t>
            </w:r>
            <w:r w:rsidRPr="003E76D1">
              <w:rPr>
                <w:sz w:val="18"/>
                <w:szCs w:val="18"/>
              </w:rPr>
              <w:t xml:space="preserve"> VS</w:t>
            </w:r>
          </w:p>
        </w:tc>
        <w:tc>
          <w:tcPr>
            <w:tcW w:w="1666" w:type="dxa"/>
            <w:tcBorders>
              <w:top w:val="single" w:sz="4" w:space="0" w:color="auto"/>
              <w:bottom w:val="single" w:sz="4" w:space="0" w:color="auto"/>
            </w:tcBorders>
            <w:shd w:val="clear" w:color="auto" w:fill="auto"/>
            <w:tcMar>
              <w:top w:w="15" w:type="dxa"/>
              <w:left w:w="96" w:type="dxa"/>
              <w:bottom w:w="0" w:type="dxa"/>
              <w:right w:w="96" w:type="dxa"/>
            </w:tcMar>
            <w:hideMark/>
          </w:tcPr>
          <w:p w14:paraId="4B074183" w14:textId="77777777" w:rsidR="003B5091" w:rsidRPr="003E76D1" w:rsidRDefault="003B5091" w:rsidP="008D0D64">
            <w:pPr>
              <w:spacing w:after="0"/>
              <w:rPr>
                <w:b/>
                <w:sz w:val="18"/>
                <w:szCs w:val="18"/>
              </w:rPr>
            </w:pPr>
            <w:r w:rsidRPr="003E76D1">
              <w:rPr>
                <w:b/>
                <w:sz w:val="18"/>
                <w:szCs w:val="18"/>
              </w:rPr>
              <w:t>Kategória 2:</w:t>
            </w:r>
          </w:p>
          <w:p w14:paraId="70692AC9" w14:textId="77777777" w:rsidR="003B5091" w:rsidRPr="003E76D1" w:rsidRDefault="003B5091" w:rsidP="008D0D64">
            <w:pPr>
              <w:numPr>
                <w:ilvl w:val="0"/>
                <w:numId w:val="54"/>
              </w:numPr>
              <w:spacing w:after="0" w:line="259" w:lineRule="auto"/>
              <w:ind w:left="113" w:hanging="113"/>
              <w:jc w:val="left"/>
              <w:rPr>
                <w:sz w:val="18"/>
                <w:szCs w:val="18"/>
              </w:rPr>
            </w:pPr>
            <w:r w:rsidRPr="003E76D1">
              <w:rPr>
                <w:sz w:val="18"/>
                <w:szCs w:val="18"/>
              </w:rPr>
              <w:t>OSVS mimo riadiacej pôsobnosti kapitoly ŠR</w:t>
            </w:r>
          </w:p>
          <w:p w14:paraId="0D9B45F4" w14:textId="77777777" w:rsidR="003B5091" w:rsidRPr="003E76D1" w:rsidRDefault="003B5091" w:rsidP="008D0D64">
            <w:pPr>
              <w:numPr>
                <w:ilvl w:val="0"/>
                <w:numId w:val="54"/>
              </w:numPr>
              <w:spacing w:after="0" w:line="259" w:lineRule="auto"/>
              <w:ind w:left="113" w:hanging="113"/>
              <w:jc w:val="left"/>
              <w:rPr>
                <w:sz w:val="18"/>
                <w:szCs w:val="18"/>
              </w:rPr>
            </w:pPr>
            <w:r w:rsidRPr="003E76D1">
              <w:rPr>
                <w:sz w:val="18"/>
                <w:szCs w:val="18"/>
              </w:rPr>
              <w:t>Verejné vysoké školy</w:t>
            </w:r>
          </w:p>
          <w:p w14:paraId="18D74888" w14:textId="77777777" w:rsidR="003B5091" w:rsidRPr="003E76D1" w:rsidRDefault="003B5091" w:rsidP="008D0D64">
            <w:pPr>
              <w:numPr>
                <w:ilvl w:val="0"/>
                <w:numId w:val="54"/>
              </w:numPr>
              <w:spacing w:after="0" w:line="259" w:lineRule="auto"/>
              <w:ind w:left="113" w:hanging="113"/>
              <w:jc w:val="left"/>
              <w:rPr>
                <w:sz w:val="18"/>
                <w:szCs w:val="18"/>
              </w:rPr>
            </w:pPr>
            <w:r w:rsidRPr="003E76D1">
              <w:rPr>
                <w:sz w:val="18"/>
                <w:szCs w:val="18"/>
              </w:rPr>
              <w:t>Sociálna poisťovňa</w:t>
            </w:r>
          </w:p>
          <w:p w14:paraId="1606474D" w14:textId="77777777" w:rsidR="003B5091" w:rsidRPr="003E76D1" w:rsidRDefault="003B5091" w:rsidP="008D0D64">
            <w:pPr>
              <w:numPr>
                <w:ilvl w:val="0"/>
                <w:numId w:val="54"/>
              </w:numPr>
              <w:spacing w:after="0" w:line="259" w:lineRule="auto"/>
              <w:ind w:left="113" w:hanging="113"/>
              <w:jc w:val="left"/>
              <w:rPr>
                <w:sz w:val="18"/>
                <w:szCs w:val="18"/>
              </w:rPr>
            </w:pPr>
            <w:r w:rsidRPr="003E76D1">
              <w:rPr>
                <w:sz w:val="18"/>
                <w:szCs w:val="18"/>
              </w:rPr>
              <w:t>SIH</w:t>
            </w:r>
          </w:p>
        </w:tc>
        <w:tc>
          <w:tcPr>
            <w:tcW w:w="1665" w:type="dxa"/>
            <w:tcBorders>
              <w:top w:val="single" w:sz="4" w:space="0" w:color="auto"/>
              <w:bottom w:val="single" w:sz="4" w:space="0" w:color="auto"/>
              <w:right w:val="single" w:sz="4" w:space="0" w:color="auto"/>
            </w:tcBorders>
            <w:shd w:val="clear" w:color="auto" w:fill="auto"/>
            <w:tcMar>
              <w:top w:w="15" w:type="dxa"/>
              <w:left w:w="96" w:type="dxa"/>
              <w:bottom w:w="0" w:type="dxa"/>
              <w:right w:w="96" w:type="dxa"/>
            </w:tcMar>
            <w:hideMark/>
          </w:tcPr>
          <w:p w14:paraId="09EA09CD" w14:textId="77777777" w:rsidR="003B5091" w:rsidRPr="003E76D1" w:rsidRDefault="003B5091" w:rsidP="008D0D64">
            <w:pPr>
              <w:spacing w:after="0"/>
              <w:rPr>
                <w:b/>
                <w:sz w:val="18"/>
                <w:szCs w:val="18"/>
              </w:rPr>
            </w:pPr>
            <w:r w:rsidRPr="003E76D1">
              <w:rPr>
                <w:b/>
                <w:sz w:val="18"/>
                <w:szCs w:val="18"/>
              </w:rPr>
              <w:t>Kategória 3:</w:t>
            </w:r>
          </w:p>
          <w:p w14:paraId="7286B31E" w14:textId="77777777" w:rsidR="003B5091" w:rsidRPr="003E76D1" w:rsidRDefault="003B5091" w:rsidP="008D0D64">
            <w:pPr>
              <w:numPr>
                <w:ilvl w:val="0"/>
                <w:numId w:val="54"/>
              </w:numPr>
              <w:spacing w:after="0" w:line="259" w:lineRule="auto"/>
              <w:ind w:left="113" w:hanging="113"/>
              <w:jc w:val="left"/>
              <w:rPr>
                <w:sz w:val="18"/>
                <w:szCs w:val="18"/>
              </w:rPr>
            </w:pPr>
            <w:r w:rsidRPr="003E76D1">
              <w:rPr>
                <w:sz w:val="18"/>
                <w:szCs w:val="18"/>
              </w:rPr>
              <w:t>Samosprávy (obce a VÚC)</w:t>
            </w:r>
          </w:p>
          <w:p w14:paraId="34928833" w14:textId="77777777" w:rsidR="003B5091" w:rsidRPr="003E76D1" w:rsidRDefault="003B5091" w:rsidP="008D0D64">
            <w:pPr>
              <w:numPr>
                <w:ilvl w:val="0"/>
                <w:numId w:val="54"/>
              </w:numPr>
              <w:spacing w:after="0" w:line="259" w:lineRule="auto"/>
              <w:ind w:left="113" w:hanging="113"/>
              <w:jc w:val="left"/>
              <w:rPr>
                <w:sz w:val="18"/>
                <w:szCs w:val="18"/>
              </w:rPr>
            </w:pPr>
            <w:r w:rsidRPr="003E76D1">
              <w:rPr>
                <w:sz w:val="18"/>
                <w:szCs w:val="18"/>
              </w:rPr>
              <w:t>RO / PO zriadené samosprávou</w:t>
            </w:r>
          </w:p>
          <w:p w14:paraId="747FE191" w14:textId="77777777" w:rsidR="003B5091" w:rsidRPr="003E76D1" w:rsidRDefault="003B5091" w:rsidP="008D0D64">
            <w:pPr>
              <w:numPr>
                <w:ilvl w:val="0"/>
                <w:numId w:val="54"/>
              </w:numPr>
              <w:spacing w:after="0" w:line="259" w:lineRule="auto"/>
              <w:ind w:left="113" w:hanging="113"/>
              <w:jc w:val="left"/>
              <w:rPr>
                <w:sz w:val="18"/>
                <w:szCs w:val="18"/>
              </w:rPr>
            </w:pPr>
            <w:r w:rsidRPr="003E76D1">
              <w:rPr>
                <w:sz w:val="18"/>
                <w:szCs w:val="18"/>
              </w:rPr>
              <w:t>Štátne podniky samospráv</w:t>
            </w:r>
          </w:p>
        </w:tc>
        <w:tc>
          <w:tcPr>
            <w:tcW w:w="1666" w:type="dxa"/>
            <w:tcBorders>
              <w:top w:val="single" w:sz="4" w:space="0" w:color="auto"/>
              <w:left w:val="single" w:sz="4" w:space="0" w:color="auto"/>
              <w:bottom w:val="single" w:sz="4" w:space="0" w:color="auto"/>
            </w:tcBorders>
            <w:shd w:val="clear" w:color="auto" w:fill="auto"/>
            <w:tcMar>
              <w:top w:w="15" w:type="dxa"/>
              <w:left w:w="96" w:type="dxa"/>
              <w:bottom w:w="0" w:type="dxa"/>
              <w:right w:w="96" w:type="dxa"/>
            </w:tcMar>
            <w:hideMark/>
          </w:tcPr>
          <w:p w14:paraId="68FD7E18" w14:textId="77777777" w:rsidR="003B5091" w:rsidRPr="003E76D1" w:rsidRDefault="003B5091" w:rsidP="008D0D64">
            <w:pPr>
              <w:spacing w:after="0"/>
              <w:rPr>
                <w:b/>
                <w:sz w:val="18"/>
                <w:szCs w:val="18"/>
              </w:rPr>
            </w:pPr>
            <w:r w:rsidRPr="003E76D1">
              <w:rPr>
                <w:b/>
                <w:sz w:val="18"/>
                <w:szCs w:val="18"/>
              </w:rPr>
              <w:t>Kategória 4:</w:t>
            </w:r>
          </w:p>
          <w:p w14:paraId="5FDB59D3" w14:textId="77777777" w:rsidR="003B5091" w:rsidRPr="003E76D1" w:rsidRDefault="003B5091" w:rsidP="008D0D64">
            <w:pPr>
              <w:numPr>
                <w:ilvl w:val="0"/>
                <w:numId w:val="54"/>
              </w:numPr>
              <w:spacing w:after="0" w:line="259" w:lineRule="auto"/>
              <w:ind w:left="113" w:hanging="113"/>
              <w:jc w:val="left"/>
              <w:rPr>
                <w:sz w:val="18"/>
                <w:szCs w:val="18"/>
              </w:rPr>
            </w:pPr>
            <w:r w:rsidRPr="003E76D1">
              <w:rPr>
                <w:sz w:val="18"/>
                <w:szCs w:val="18"/>
              </w:rPr>
              <w:t>Súkromný sektor</w:t>
            </w:r>
          </w:p>
          <w:p w14:paraId="7D11DE32" w14:textId="77777777" w:rsidR="003B5091" w:rsidRPr="003E76D1" w:rsidRDefault="003B5091" w:rsidP="008D0D64">
            <w:pPr>
              <w:numPr>
                <w:ilvl w:val="0"/>
                <w:numId w:val="54"/>
              </w:numPr>
              <w:spacing w:after="0" w:line="259" w:lineRule="auto"/>
              <w:ind w:left="113" w:hanging="113"/>
              <w:jc w:val="left"/>
              <w:rPr>
                <w:sz w:val="18"/>
                <w:szCs w:val="18"/>
              </w:rPr>
            </w:pPr>
            <w:r w:rsidRPr="003E76D1">
              <w:rPr>
                <w:sz w:val="18"/>
                <w:szCs w:val="18"/>
              </w:rPr>
              <w:t>Štátne podniky mimo</w:t>
            </w:r>
            <w:r>
              <w:rPr>
                <w:sz w:val="18"/>
                <w:szCs w:val="18"/>
              </w:rPr>
              <w:t xml:space="preserve"> sektora</w:t>
            </w:r>
            <w:r w:rsidRPr="003E76D1">
              <w:rPr>
                <w:sz w:val="18"/>
                <w:szCs w:val="18"/>
              </w:rPr>
              <w:t xml:space="preserve"> VS</w:t>
            </w:r>
          </w:p>
          <w:p w14:paraId="31862F9B" w14:textId="77777777" w:rsidR="003B5091" w:rsidRPr="003E76D1" w:rsidRDefault="003B5091" w:rsidP="008D0D64">
            <w:pPr>
              <w:numPr>
                <w:ilvl w:val="0"/>
                <w:numId w:val="54"/>
              </w:numPr>
              <w:spacing w:after="0" w:line="259" w:lineRule="auto"/>
              <w:ind w:left="113" w:hanging="113"/>
              <w:jc w:val="left"/>
              <w:rPr>
                <w:sz w:val="18"/>
                <w:szCs w:val="18"/>
              </w:rPr>
            </w:pPr>
            <w:r>
              <w:rPr>
                <w:sz w:val="18"/>
                <w:szCs w:val="18"/>
              </w:rPr>
              <w:t>SIS, Vojenské sprav., Policajný zbor na úseku kriminálneho sprav.</w:t>
            </w:r>
          </w:p>
        </w:tc>
      </w:tr>
      <w:tr w:rsidR="003B5091" w:rsidRPr="003E76D1" w14:paraId="6532EBE3" w14:textId="77777777" w:rsidTr="008D0D64">
        <w:trPr>
          <w:trHeight w:val="700"/>
        </w:trPr>
        <w:tc>
          <w:tcPr>
            <w:tcW w:w="1440" w:type="dxa"/>
            <w:vMerge w:val="restart"/>
            <w:tcBorders>
              <w:top w:val="single" w:sz="4" w:space="0" w:color="auto"/>
              <w:bottom w:val="dashed" w:sz="4" w:space="0" w:color="808080" w:themeColor="background1" w:themeShade="80"/>
              <w:right w:val="dashed" w:sz="4" w:space="0" w:color="808080" w:themeColor="background1" w:themeShade="80"/>
            </w:tcBorders>
            <w:shd w:val="clear" w:color="auto" w:fill="FFFFFF"/>
            <w:tcMar>
              <w:top w:w="15" w:type="dxa"/>
              <w:left w:w="96" w:type="dxa"/>
              <w:bottom w:w="0" w:type="dxa"/>
              <w:right w:w="96" w:type="dxa"/>
            </w:tcMar>
            <w:vAlign w:val="center"/>
            <w:hideMark/>
          </w:tcPr>
          <w:p w14:paraId="56676C26" w14:textId="77777777" w:rsidR="003B5091" w:rsidRPr="003E76D1" w:rsidRDefault="003B5091" w:rsidP="008D0D64">
            <w:pPr>
              <w:spacing w:after="0"/>
              <w:jc w:val="left"/>
              <w:rPr>
                <w:b/>
                <w:bCs/>
                <w:sz w:val="18"/>
                <w:szCs w:val="18"/>
              </w:rPr>
            </w:pPr>
            <w:r w:rsidRPr="003E76D1">
              <w:rPr>
                <w:b/>
                <w:bCs/>
                <w:sz w:val="18"/>
                <w:szCs w:val="18"/>
              </w:rPr>
              <w:t>nad ustanovenou hranicou (nad 40/10 mil. eur)</w:t>
            </w:r>
          </w:p>
          <w:p w14:paraId="58ACC9BE" w14:textId="77777777" w:rsidR="003B5091" w:rsidRPr="003E76D1" w:rsidRDefault="003B5091" w:rsidP="008D0D64">
            <w:pPr>
              <w:spacing w:after="0"/>
              <w:jc w:val="left"/>
              <w:rPr>
                <w:sz w:val="18"/>
                <w:szCs w:val="18"/>
              </w:rPr>
            </w:pPr>
            <w:r w:rsidRPr="003E76D1">
              <w:rPr>
                <w:bCs/>
                <w:sz w:val="18"/>
                <w:szCs w:val="18"/>
              </w:rPr>
              <w:t>podľa § 19a zákona č. 523/2004 Z. z.</w:t>
            </w:r>
          </w:p>
        </w:tc>
        <w:tc>
          <w:tcPr>
            <w:tcW w:w="970" w:type="dxa"/>
            <w:tcBorders>
              <w:top w:val="single" w:sz="4" w:space="0" w:color="auto"/>
              <w:left w:val="dashed" w:sz="4" w:space="0" w:color="808080" w:themeColor="background1" w:themeShade="80"/>
              <w:bottom w:val="dashed" w:sz="4" w:space="0" w:color="808080" w:themeColor="background1" w:themeShade="80"/>
              <w:right w:val="single" w:sz="4" w:space="0" w:color="auto"/>
            </w:tcBorders>
            <w:shd w:val="clear" w:color="auto" w:fill="FFFFFF"/>
            <w:tcMar>
              <w:top w:w="15" w:type="dxa"/>
              <w:left w:w="96" w:type="dxa"/>
              <w:bottom w:w="0" w:type="dxa"/>
              <w:right w:w="96" w:type="dxa"/>
            </w:tcMar>
            <w:vAlign w:val="center"/>
            <w:hideMark/>
          </w:tcPr>
          <w:p w14:paraId="77C452FD" w14:textId="77777777" w:rsidR="003B5091" w:rsidRPr="003E76D1" w:rsidRDefault="003B5091" w:rsidP="008D0D64">
            <w:pPr>
              <w:spacing w:after="0"/>
              <w:rPr>
                <w:sz w:val="18"/>
                <w:szCs w:val="18"/>
              </w:rPr>
            </w:pPr>
            <w:r w:rsidRPr="003E76D1">
              <w:rPr>
                <w:b/>
                <w:bCs/>
                <w:sz w:val="18"/>
                <w:szCs w:val="18"/>
              </w:rPr>
              <w:t>ŠR / RRP</w:t>
            </w:r>
          </w:p>
        </w:tc>
        <w:tc>
          <w:tcPr>
            <w:tcW w:w="1665" w:type="dxa"/>
            <w:tcBorders>
              <w:top w:val="single" w:sz="4" w:space="0" w:color="auto"/>
              <w:left w:val="single" w:sz="4" w:space="0" w:color="auto"/>
              <w:bottom w:val="dashed" w:sz="4" w:space="0" w:color="808080" w:themeColor="background1" w:themeShade="80"/>
            </w:tcBorders>
            <w:shd w:val="clear" w:color="auto" w:fill="auto"/>
            <w:tcMar>
              <w:top w:w="15" w:type="dxa"/>
              <w:left w:w="96" w:type="dxa"/>
              <w:bottom w:w="0" w:type="dxa"/>
              <w:right w:w="96" w:type="dxa"/>
            </w:tcMar>
            <w:vAlign w:val="center"/>
            <w:hideMark/>
          </w:tcPr>
          <w:p w14:paraId="41B0B35D" w14:textId="77777777" w:rsidR="003B5091" w:rsidRPr="003E76D1" w:rsidRDefault="003B5091" w:rsidP="008D0D64">
            <w:pPr>
              <w:spacing w:after="0"/>
              <w:jc w:val="center"/>
              <w:rPr>
                <w:b/>
                <w:color w:val="00B050"/>
                <w:sz w:val="18"/>
                <w:szCs w:val="18"/>
              </w:rPr>
            </w:pPr>
            <w:r w:rsidRPr="003E76D1">
              <w:rPr>
                <w:b/>
                <w:color w:val="00B050"/>
                <w:sz w:val="18"/>
                <w:szCs w:val="18"/>
              </w:rPr>
              <w:t>Áno</w:t>
            </w:r>
          </w:p>
        </w:tc>
        <w:tc>
          <w:tcPr>
            <w:tcW w:w="1666" w:type="dxa"/>
            <w:tcBorders>
              <w:top w:val="single" w:sz="4" w:space="0" w:color="auto"/>
              <w:bottom w:val="dashed" w:sz="4" w:space="0" w:color="808080" w:themeColor="background1" w:themeShade="80"/>
            </w:tcBorders>
            <w:shd w:val="clear" w:color="auto" w:fill="auto"/>
            <w:tcMar>
              <w:top w:w="15" w:type="dxa"/>
              <w:left w:w="96" w:type="dxa"/>
              <w:bottom w:w="0" w:type="dxa"/>
              <w:right w:w="96" w:type="dxa"/>
            </w:tcMar>
            <w:vAlign w:val="center"/>
            <w:hideMark/>
          </w:tcPr>
          <w:p w14:paraId="32DDCF94" w14:textId="77777777" w:rsidR="003B5091" w:rsidRPr="003E76D1" w:rsidRDefault="003B5091" w:rsidP="008D0D64">
            <w:pPr>
              <w:spacing w:after="0"/>
              <w:jc w:val="center"/>
              <w:rPr>
                <w:b/>
                <w:color w:val="00B050"/>
                <w:sz w:val="18"/>
                <w:szCs w:val="18"/>
              </w:rPr>
            </w:pPr>
            <w:r w:rsidRPr="003E76D1">
              <w:rPr>
                <w:b/>
                <w:color w:val="00B050"/>
                <w:sz w:val="18"/>
                <w:szCs w:val="18"/>
              </w:rPr>
              <w:t>Áno</w:t>
            </w:r>
          </w:p>
        </w:tc>
        <w:tc>
          <w:tcPr>
            <w:tcW w:w="1665" w:type="dxa"/>
            <w:tcBorders>
              <w:top w:val="single" w:sz="4" w:space="0" w:color="auto"/>
              <w:bottom w:val="dashed" w:sz="4" w:space="0" w:color="808080" w:themeColor="background1" w:themeShade="80"/>
              <w:right w:val="single" w:sz="4" w:space="0" w:color="auto"/>
            </w:tcBorders>
            <w:shd w:val="clear" w:color="auto" w:fill="auto"/>
            <w:tcMar>
              <w:top w:w="15" w:type="dxa"/>
              <w:left w:w="96" w:type="dxa"/>
              <w:bottom w:w="0" w:type="dxa"/>
              <w:right w:w="96" w:type="dxa"/>
            </w:tcMar>
            <w:vAlign w:val="center"/>
            <w:hideMark/>
          </w:tcPr>
          <w:p w14:paraId="02711D9D" w14:textId="77777777" w:rsidR="003B5091" w:rsidRPr="003E76D1" w:rsidRDefault="003B5091" w:rsidP="008D0D64">
            <w:pPr>
              <w:spacing w:after="0"/>
              <w:jc w:val="center"/>
              <w:rPr>
                <w:b/>
                <w:color w:val="00B050"/>
                <w:sz w:val="18"/>
                <w:szCs w:val="18"/>
              </w:rPr>
            </w:pPr>
            <w:r w:rsidRPr="003E76D1">
              <w:rPr>
                <w:b/>
                <w:color w:val="00B050"/>
                <w:sz w:val="18"/>
                <w:szCs w:val="18"/>
              </w:rPr>
              <w:t>Áno (ak zo ŠR</w:t>
            </w:r>
            <w:r>
              <w:rPr>
                <w:b/>
                <w:color w:val="00B050"/>
                <w:sz w:val="18"/>
                <w:szCs w:val="18"/>
              </w:rPr>
              <w:t>/ RRP</w:t>
            </w:r>
            <w:r w:rsidRPr="003E76D1">
              <w:rPr>
                <w:b/>
                <w:color w:val="00B050"/>
                <w:sz w:val="18"/>
                <w:szCs w:val="18"/>
              </w:rPr>
              <w:t xml:space="preserve"> nad 50 %)</w:t>
            </w:r>
          </w:p>
        </w:tc>
        <w:tc>
          <w:tcPr>
            <w:tcW w:w="1666" w:type="dxa"/>
            <w:tcBorders>
              <w:top w:val="single" w:sz="4" w:space="0" w:color="auto"/>
              <w:left w:val="single" w:sz="4" w:space="0" w:color="auto"/>
              <w:bottom w:val="dashed" w:sz="4" w:space="0" w:color="808080" w:themeColor="background1" w:themeShade="80"/>
            </w:tcBorders>
            <w:shd w:val="clear" w:color="auto" w:fill="auto"/>
            <w:tcMar>
              <w:top w:w="15" w:type="dxa"/>
              <w:left w:w="96" w:type="dxa"/>
              <w:bottom w:w="0" w:type="dxa"/>
              <w:right w:w="96" w:type="dxa"/>
            </w:tcMar>
            <w:vAlign w:val="center"/>
            <w:hideMark/>
          </w:tcPr>
          <w:p w14:paraId="4889B008" w14:textId="77777777" w:rsidR="003B5091" w:rsidRPr="003E76D1" w:rsidRDefault="003B5091" w:rsidP="008D0D64">
            <w:pPr>
              <w:spacing w:after="0"/>
              <w:jc w:val="center"/>
              <w:rPr>
                <w:b/>
                <w:sz w:val="18"/>
                <w:szCs w:val="18"/>
              </w:rPr>
            </w:pPr>
            <w:r w:rsidRPr="003E76D1">
              <w:rPr>
                <w:b/>
                <w:color w:val="FF0000"/>
                <w:sz w:val="18"/>
                <w:szCs w:val="18"/>
              </w:rPr>
              <w:t>Nie</w:t>
            </w:r>
          </w:p>
        </w:tc>
      </w:tr>
      <w:tr w:rsidR="003B5091" w:rsidRPr="003E76D1" w14:paraId="015A252B" w14:textId="77777777" w:rsidTr="008D0D64">
        <w:trPr>
          <w:trHeight w:val="700"/>
        </w:trPr>
        <w:tc>
          <w:tcPr>
            <w:tcW w:w="1440" w:type="dxa"/>
            <w:vMerge/>
            <w:tcBorders>
              <w:top w:val="single" w:sz="4" w:space="0" w:color="auto"/>
              <w:bottom w:val="single" w:sz="4" w:space="0" w:color="auto"/>
              <w:right w:val="dashed" w:sz="4" w:space="0" w:color="808080" w:themeColor="background1" w:themeShade="80"/>
            </w:tcBorders>
            <w:vAlign w:val="center"/>
            <w:hideMark/>
          </w:tcPr>
          <w:p w14:paraId="6D905128" w14:textId="77777777" w:rsidR="003B5091" w:rsidRPr="003E76D1" w:rsidRDefault="003B5091" w:rsidP="008D0D64">
            <w:pPr>
              <w:spacing w:after="0"/>
              <w:jc w:val="left"/>
              <w:rPr>
                <w:sz w:val="18"/>
                <w:szCs w:val="18"/>
              </w:rPr>
            </w:pPr>
          </w:p>
        </w:tc>
        <w:tc>
          <w:tcPr>
            <w:tcW w:w="970" w:type="dxa"/>
            <w:tcBorders>
              <w:top w:val="dashed" w:sz="4" w:space="0" w:color="808080" w:themeColor="background1" w:themeShade="80"/>
              <w:left w:val="dashed" w:sz="4" w:space="0" w:color="808080" w:themeColor="background1" w:themeShade="80"/>
              <w:bottom w:val="single" w:sz="4" w:space="0" w:color="auto"/>
              <w:right w:val="single" w:sz="4" w:space="0" w:color="auto"/>
            </w:tcBorders>
            <w:shd w:val="clear" w:color="auto" w:fill="FFFFFF"/>
            <w:tcMar>
              <w:top w:w="15" w:type="dxa"/>
              <w:left w:w="96" w:type="dxa"/>
              <w:bottom w:w="0" w:type="dxa"/>
              <w:right w:w="96" w:type="dxa"/>
            </w:tcMar>
            <w:vAlign w:val="center"/>
            <w:hideMark/>
          </w:tcPr>
          <w:p w14:paraId="548668BC" w14:textId="77777777" w:rsidR="003B5091" w:rsidRPr="003E76D1" w:rsidRDefault="003B5091" w:rsidP="008D0D64">
            <w:pPr>
              <w:spacing w:after="0"/>
              <w:rPr>
                <w:sz w:val="18"/>
                <w:szCs w:val="18"/>
              </w:rPr>
            </w:pPr>
            <w:r w:rsidRPr="003E76D1">
              <w:rPr>
                <w:b/>
                <w:bCs/>
                <w:sz w:val="18"/>
                <w:szCs w:val="18"/>
              </w:rPr>
              <w:t>EŠIF</w:t>
            </w:r>
          </w:p>
        </w:tc>
        <w:tc>
          <w:tcPr>
            <w:tcW w:w="1665" w:type="dxa"/>
            <w:tcBorders>
              <w:top w:val="dashed" w:sz="4" w:space="0" w:color="808080" w:themeColor="background1" w:themeShade="80"/>
              <w:left w:val="single" w:sz="4" w:space="0" w:color="auto"/>
              <w:bottom w:val="single" w:sz="4" w:space="0" w:color="auto"/>
            </w:tcBorders>
            <w:shd w:val="clear" w:color="auto" w:fill="auto"/>
            <w:tcMar>
              <w:top w:w="15" w:type="dxa"/>
              <w:left w:w="96" w:type="dxa"/>
              <w:bottom w:w="0" w:type="dxa"/>
              <w:right w:w="96" w:type="dxa"/>
            </w:tcMar>
            <w:vAlign w:val="center"/>
            <w:hideMark/>
          </w:tcPr>
          <w:p w14:paraId="436CE237" w14:textId="77777777" w:rsidR="003B5091" w:rsidRPr="003E76D1" w:rsidRDefault="003B5091" w:rsidP="008D0D64">
            <w:pPr>
              <w:spacing w:after="0"/>
              <w:jc w:val="center"/>
              <w:rPr>
                <w:b/>
                <w:color w:val="00B050"/>
                <w:sz w:val="18"/>
                <w:szCs w:val="18"/>
              </w:rPr>
            </w:pPr>
            <w:r w:rsidRPr="003E76D1">
              <w:rPr>
                <w:b/>
                <w:color w:val="00B050"/>
                <w:sz w:val="18"/>
                <w:szCs w:val="18"/>
              </w:rPr>
              <w:t>Áno</w:t>
            </w:r>
          </w:p>
        </w:tc>
        <w:tc>
          <w:tcPr>
            <w:tcW w:w="1666" w:type="dxa"/>
            <w:tcBorders>
              <w:top w:val="dashed" w:sz="4" w:space="0" w:color="808080" w:themeColor="background1" w:themeShade="80"/>
              <w:bottom w:val="single" w:sz="4" w:space="0" w:color="auto"/>
            </w:tcBorders>
            <w:shd w:val="clear" w:color="auto" w:fill="auto"/>
            <w:tcMar>
              <w:top w:w="15" w:type="dxa"/>
              <w:left w:w="96" w:type="dxa"/>
              <w:bottom w:w="0" w:type="dxa"/>
              <w:right w:w="96" w:type="dxa"/>
            </w:tcMar>
            <w:vAlign w:val="center"/>
            <w:hideMark/>
          </w:tcPr>
          <w:p w14:paraId="432F43BA" w14:textId="77777777" w:rsidR="003B5091" w:rsidRPr="003E76D1" w:rsidRDefault="003B5091" w:rsidP="008D0D64">
            <w:pPr>
              <w:spacing w:after="0"/>
              <w:jc w:val="center"/>
              <w:rPr>
                <w:b/>
                <w:sz w:val="18"/>
                <w:szCs w:val="18"/>
              </w:rPr>
            </w:pPr>
            <w:r w:rsidRPr="003E76D1">
              <w:rPr>
                <w:b/>
                <w:color w:val="00B050"/>
                <w:sz w:val="18"/>
                <w:szCs w:val="18"/>
              </w:rPr>
              <w:t>Áno</w:t>
            </w:r>
          </w:p>
        </w:tc>
        <w:tc>
          <w:tcPr>
            <w:tcW w:w="1665" w:type="dxa"/>
            <w:tcBorders>
              <w:top w:val="dashed" w:sz="4" w:space="0" w:color="808080" w:themeColor="background1" w:themeShade="80"/>
              <w:bottom w:val="single" w:sz="4" w:space="0" w:color="auto"/>
              <w:right w:val="single" w:sz="4" w:space="0" w:color="auto"/>
            </w:tcBorders>
            <w:shd w:val="clear" w:color="auto" w:fill="auto"/>
            <w:tcMar>
              <w:top w:w="15" w:type="dxa"/>
              <w:left w:w="96" w:type="dxa"/>
              <w:bottom w:w="0" w:type="dxa"/>
              <w:right w:w="96" w:type="dxa"/>
            </w:tcMar>
            <w:vAlign w:val="center"/>
            <w:hideMark/>
          </w:tcPr>
          <w:p w14:paraId="0746180E" w14:textId="77777777" w:rsidR="003B5091" w:rsidRPr="003E76D1" w:rsidRDefault="003B5091" w:rsidP="008D0D64">
            <w:pPr>
              <w:spacing w:after="0"/>
              <w:jc w:val="center"/>
              <w:rPr>
                <w:b/>
                <w:color w:val="FF0000"/>
                <w:sz w:val="18"/>
                <w:szCs w:val="18"/>
              </w:rPr>
            </w:pPr>
            <w:r w:rsidRPr="003E76D1">
              <w:rPr>
                <w:b/>
                <w:color w:val="FF0000"/>
                <w:sz w:val="18"/>
                <w:szCs w:val="18"/>
              </w:rPr>
              <w:t>Nie</w:t>
            </w:r>
          </w:p>
        </w:tc>
        <w:tc>
          <w:tcPr>
            <w:tcW w:w="1666" w:type="dxa"/>
            <w:tcBorders>
              <w:top w:val="dashed" w:sz="4" w:space="0" w:color="808080" w:themeColor="background1" w:themeShade="80"/>
              <w:left w:val="single" w:sz="4" w:space="0" w:color="auto"/>
              <w:bottom w:val="single" w:sz="4" w:space="0" w:color="auto"/>
            </w:tcBorders>
            <w:shd w:val="clear" w:color="auto" w:fill="auto"/>
            <w:tcMar>
              <w:top w:w="15" w:type="dxa"/>
              <w:left w:w="96" w:type="dxa"/>
              <w:bottom w:w="0" w:type="dxa"/>
              <w:right w:w="96" w:type="dxa"/>
            </w:tcMar>
            <w:vAlign w:val="center"/>
            <w:hideMark/>
          </w:tcPr>
          <w:p w14:paraId="271590A1" w14:textId="77777777" w:rsidR="003B5091" w:rsidRPr="003E76D1" w:rsidRDefault="003B5091" w:rsidP="008D0D64">
            <w:pPr>
              <w:spacing w:after="0"/>
              <w:jc w:val="center"/>
              <w:rPr>
                <w:b/>
                <w:color w:val="FF0000"/>
                <w:sz w:val="18"/>
                <w:szCs w:val="18"/>
              </w:rPr>
            </w:pPr>
            <w:r w:rsidRPr="003E76D1">
              <w:rPr>
                <w:b/>
                <w:color w:val="FF0000"/>
                <w:sz w:val="18"/>
                <w:szCs w:val="18"/>
              </w:rPr>
              <w:t>Nie</w:t>
            </w:r>
          </w:p>
        </w:tc>
      </w:tr>
      <w:tr w:rsidR="003B5091" w:rsidRPr="003E76D1" w14:paraId="224C8166" w14:textId="77777777" w:rsidTr="008D0D64">
        <w:trPr>
          <w:trHeight w:val="700"/>
        </w:trPr>
        <w:tc>
          <w:tcPr>
            <w:tcW w:w="1440" w:type="dxa"/>
            <w:vMerge w:val="restart"/>
            <w:tcBorders>
              <w:top w:val="single" w:sz="4" w:space="0" w:color="auto"/>
              <w:bottom w:val="dashed" w:sz="4" w:space="0" w:color="808080" w:themeColor="background1" w:themeShade="80"/>
              <w:right w:val="dashed" w:sz="4" w:space="0" w:color="808080" w:themeColor="background1" w:themeShade="80"/>
            </w:tcBorders>
            <w:shd w:val="clear" w:color="auto" w:fill="FFFFFF"/>
            <w:tcMar>
              <w:top w:w="15" w:type="dxa"/>
              <w:left w:w="96" w:type="dxa"/>
              <w:bottom w:w="0" w:type="dxa"/>
              <w:right w:w="96" w:type="dxa"/>
            </w:tcMar>
            <w:vAlign w:val="center"/>
            <w:hideMark/>
          </w:tcPr>
          <w:p w14:paraId="7A508A54" w14:textId="77777777" w:rsidR="003B5091" w:rsidRPr="003E76D1" w:rsidRDefault="003B5091" w:rsidP="008D0D64">
            <w:pPr>
              <w:spacing w:after="0"/>
              <w:jc w:val="left"/>
              <w:rPr>
                <w:b/>
                <w:bCs/>
                <w:sz w:val="18"/>
                <w:szCs w:val="18"/>
              </w:rPr>
            </w:pPr>
            <w:r>
              <w:rPr>
                <w:b/>
                <w:bCs/>
                <w:sz w:val="18"/>
                <w:szCs w:val="18"/>
              </w:rPr>
              <w:t>pod ustanovenou hranicou</w:t>
            </w:r>
            <w:r>
              <w:rPr>
                <w:b/>
                <w:bCs/>
                <w:sz w:val="18"/>
                <w:szCs w:val="18"/>
              </w:rPr>
              <w:br/>
            </w:r>
            <w:r w:rsidRPr="003E76D1">
              <w:rPr>
                <w:b/>
                <w:bCs/>
                <w:sz w:val="18"/>
                <w:szCs w:val="18"/>
              </w:rPr>
              <w:t>(nad 1 mil. eur)</w:t>
            </w:r>
          </w:p>
          <w:p w14:paraId="7ED7C30E" w14:textId="77777777" w:rsidR="003B5091" w:rsidRPr="003E76D1" w:rsidRDefault="003B5091" w:rsidP="008D0D64">
            <w:pPr>
              <w:spacing w:after="0"/>
              <w:jc w:val="left"/>
              <w:rPr>
                <w:bCs/>
                <w:sz w:val="18"/>
                <w:szCs w:val="18"/>
              </w:rPr>
            </w:pPr>
            <w:r w:rsidRPr="003E76D1">
              <w:rPr>
                <w:bCs/>
                <w:sz w:val="18"/>
                <w:szCs w:val="18"/>
              </w:rPr>
              <w:t>podľa uznesenia vlády SR č. 649/2020</w:t>
            </w:r>
          </w:p>
        </w:tc>
        <w:tc>
          <w:tcPr>
            <w:tcW w:w="970" w:type="dxa"/>
            <w:tcBorders>
              <w:top w:val="single" w:sz="4" w:space="0" w:color="auto"/>
              <w:left w:val="dashed" w:sz="4" w:space="0" w:color="808080" w:themeColor="background1" w:themeShade="80"/>
              <w:bottom w:val="dashed" w:sz="4" w:space="0" w:color="808080" w:themeColor="background1" w:themeShade="80"/>
              <w:right w:val="single" w:sz="4" w:space="0" w:color="auto"/>
            </w:tcBorders>
            <w:shd w:val="clear" w:color="auto" w:fill="FFFFFF"/>
            <w:tcMar>
              <w:top w:w="15" w:type="dxa"/>
              <w:left w:w="96" w:type="dxa"/>
              <w:bottom w:w="0" w:type="dxa"/>
              <w:right w:w="96" w:type="dxa"/>
            </w:tcMar>
            <w:vAlign w:val="center"/>
            <w:hideMark/>
          </w:tcPr>
          <w:p w14:paraId="3662F649" w14:textId="77777777" w:rsidR="003B5091" w:rsidRPr="003E76D1" w:rsidRDefault="003B5091" w:rsidP="008D0D64">
            <w:pPr>
              <w:spacing w:after="0"/>
              <w:rPr>
                <w:sz w:val="18"/>
                <w:szCs w:val="18"/>
              </w:rPr>
            </w:pPr>
            <w:r w:rsidRPr="003E76D1">
              <w:rPr>
                <w:b/>
                <w:bCs/>
                <w:sz w:val="18"/>
                <w:szCs w:val="18"/>
              </w:rPr>
              <w:t>ŠR / RRP</w:t>
            </w:r>
          </w:p>
        </w:tc>
        <w:tc>
          <w:tcPr>
            <w:tcW w:w="1665" w:type="dxa"/>
            <w:tcBorders>
              <w:top w:val="single" w:sz="4" w:space="0" w:color="auto"/>
              <w:left w:val="single" w:sz="4" w:space="0" w:color="auto"/>
              <w:bottom w:val="dashed" w:sz="4" w:space="0" w:color="808080" w:themeColor="background1" w:themeShade="80"/>
            </w:tcBorders>
            <w:shd w:val="clear" w:color="auto" w:fill="auto"/>
            <w:tcMar>
              <w:top w:w="15" w:type="dxa"/>
              <w:left w:w="96" w:type="dxa"/>
              <w:bottom w:w="0" w:type="dxa"/>
              <w:right w:w="96" w:type="dxa"/>
            </w:tcMar>
            <w:vAlign w:val="center"/>
            <w:hideMark/>
          </w:tcPr>
          <w:p w14:paraId="0D8F0E49" w14:textId="77777777" w:rsidR="003B5091" w:rsidRPr="003E76D1" w:rsidRDefault="003B5091" w:rsidP="008D0D64">
            <w:pPr>
              <w:spacing w:after="0"/>
              <w:jc w:val="center"/>
              <w:rPr>
                <w:b/>
                <w:color w:val="00B050"/>
                <w:sz w:val="18"/>
                <w:szCs w:val="18"/>
              </w:rPr>
            </w:pPr>
            <w:r w:rsidRPr="003E76D1">
              <w:rPr>
                <w:b/>
                <w:color w:val="00B050"/>
                <w:sz w:val="18"/>
                <w:szCs w:val="18"/>
              </w:rPr>
              <w:t>Áno</w:t>
            </w:r>
          </w:p>
        </w:tc>
        <w:tc>
          <w:tcPr>
            <w:tcW w:w="1666" w:type="dxa"/>
            <w:tcBorders>
              <w:top w:val="single" w:sz="4" w:space="0" w:color="auto"/>
              <w:bottom w:val="dashed" w:sz="4" w:space="0" w:color="808080" w:themeColor="background1" w:themeShade="80"/>
            </w:tcBorders>
            <w:shd w:val="clear" w:color="auto" w:fill="auto"/>
            <w:tcMar>
              <w:top w:w="15" w:type="dxa"/>
              <w:left w:w="96" w:type="dxa"/>
              <w:bottom w:w="0" w:type="dxa"/>
              <w:right w:w="96" w:type="dxa"/>
            </w:tcMar>
            <w:vAlign w:val="center"/>
            <w:hideMark/>
          </w:tcPr>
          <w:p w14:paraId="4423D019" w14:textId="77777777" w:rsidR="003B5091" w:rsidRPr="003E76D1" w:rsidRDefault="003B5091" w:rsidP="008D0D64">
            <w:pPr>
              <w:spacing w:after="0"/>
              <w:jc w:val="center"/>
              <w:rPr>
                <w:b/>
                <w:color w:val="FF0000"/>
                <w:sz w:val="18"/>
                <w:szCs w:val="18"/>
              </w:rPr>
            </w:pPr>
            <w:r w:rsidRPr="003E76D1">
              <w:rPr>
                <w:b/>
                <w:color w:val="FF0000"/>
                <w:sz w:val="18"/>
                <w:szCs w:val="18"/>
              </w:rPr>
              <w:t>Nie</w:t>
            </w:r>
          </w:p>
        </w:tc>
        <w:tc>
          <w:tcPr>
            <w:tcW w:w="1665" w:type="dxa"/>
            <w:tcBorders>
              <w:top w:val="single" w:sz="4" w:space="0" w:color="auto"/>
              <w:bottom w:val="dashed" w:sz="4" w:space="0" w:color="808080" w:themeColor="background1" w:themeShade="80"/>
              <w:right w:val="single" w:sz="4" w:space="0" w:color="auto"/>
            </w:tcBorders>
            <w:shd w:val="clear" w:color="auto" w:fill="auto"/>
            <w:tcMar>
              <w:top w:w="15" w:type="dxa"/>
              <w:left w:w="96" w:type="dxa"/>
              <w:bottom w:w="0" w:type="dxa"/>
              <w:right w:w="96" w:type="dxa"/>
            </w:tcMar>
            <w:vAlign w:val="center"/>
            <w:hideMark/>
          </w:tcPr>
          <w:p w14:paraId="2CF33729" w14:textId="77777777" w:rsidR="003B5091" w:rsidRPr="003E76D1" w:rsidRDefault="003B5091" w:rsidP="008D0D64">
            <w:pPr>
              <w:spacing w:after="0"/>
              <w:jc w:val="center"/>
              <w:rPr>
                <w:b/>
                <w:color w:val="FF0000"/>
                <w:sz w:val="18"/>
                <w:szCs w:val="18"/>
              </w:rPr>
            </w:pPr>
            <w:r w:rsidRPr="003E76D1">
              <w:rPr>
                <w:b/>
                <w:color w:val="FF0000"/>
                <w:sz w:val="18"/>
                <w:szCs w:val="18"/>
              </w:rPr>
              <w:t>Nie</w:t>
            </w:r>
          </w:p>
        </w:tc>
        <w:tc>
          <w:tcPr>
            <w:tcW w:w="1666" w:type="dxa"/>
            <w:tcBorders>
              <w:top w:val="single" w:sz="4" w:space="0" w:color="auto"/>
              <w:left w:val="single" w:sz="4" w:space="0" w:color="auto"/>
              <w:bottom w:val="dashed" w:sz="4" w:space="0" w:color="808080" w:themeColor="background1" w:themeShade="80"/>
            </w:tcBorders>
            <w:shd w:val="clear" w:color="auto" w:fill="auto"/>
            <w:tcMar>
              <w:top w:w="15" w:type="dxa"/>
              <w:left w:w="96" w:type="dxa"/>
              <w:bottom w:w="0" w:type="dxa"/>
              <w:right w:w="96" w:type="dxa"/>
            </w:tcMar>
            <w:vAlign w:val="center"/>
            <w:hideMark/>
          </w:tcPr>
          <w:p w14:paraId="0997DED7" w14:textId="77777777" w:rsidR="003B5091" w:rsidRPr="003E76D1" w:rsidRDefault="003B5091" w:rsidP="008D0D64">
            <w:pPr>
              <w:spacing w:after="0"/>
              <w:jc w:val="center"/>
              <w:rPr>
                <w:b/>
                <w:color w:val="FF0000"/>
                <w:sz w:val="18"/>
                <w:szCs w:val="18"/>
              </w:rPr>
            </w:pPr>
            <w:r w:rsidRPr="003E76D1">
              <w:rPr>
                <w:b/>
                <w:color w:val="FF0000"/>
                <w:sz w:val="18"/>
                <w:szCs w:val="18"/>
              </w:rPr>
              <w:t>Nie</w:t>
            </w:r>
          </w:p>
        </w:tc>
      </w:tr>
      <w:tr w:rsidR="003B5091" w:rsidRPr="003E76D1" w14:paraId="240C09C2" w14:textId="77777777" w:rsidTr="008D0D64">
        <w:trPr>
          <w:trHeight w:val="700"/>
        </w:trPr>
        <w:tc>
          <w:tcPr>
            <w:tcW w:w="1440" w:type="dxa"/>
            <w:vMerge/>
            <w:tcBorders>
              <w:top w:val="single" w:sz="4" w:space="0" w:color="auto"/>
              <w:bottom w:val="single" w:sz="4" w:space="0" w:color="auto"/>
              <w:right w:val="dashed" w:sz="4" w:space="0" w:color="808080" w:themeColor="background1" w:themeShade="80"/>
            </w:tcBorders>
            <w:vAlign w:val="center"/>
            <w:hideMark/>
          </w:tcPr>
          <w:p w14:paraId="6C0CEEBC" w14:textId="77777777" w:rsidR="003B5091" w:rsidRPr="003E76D1" w:rsidRDefault="003B5091" w:rsidP="008D0D64">
            <w:pPr>
              <w:spacing w:after="0"/>
              <w:rPr>
                <w:sz w:val="18"/>
                <w:szCs w:val="18"/>
              </w:rPr>
            </w:pPr>
          </w:p>
        </w:tc>
        <w:tc>
          <w:tcPr>
            <w:tcW w:w="970" w:type="dxa"/>
            <w:tcBorders>
              <w:top w:val="dashed" w:sz="4" w:space="0" w:color="808080" w:themeColor="background1" w:themeShade="80"/>
              <w:left w:val="dashed" w:sz="4" w:space="0" w:color="808080" w:themeColor="background1" w:themeShade="80"/>
              <w:bottom w:val="single" w:sz="4" w:space="0" w:color="auto"/>
              <w:right w:val="single" w:sz="4" w:space="0" w:color="auto"/>
            </w:tcBorders>
            <w:shd w:val="clear" w:color="auto" w:fill="FFFFFF"/>
            <w:tcMar>
              <w:top w:w="15" w:type="dxa"/>
              <w:left w:w="96" w:type="dxa"/>
              <w:bottom w:w="0" w:type="dxa"/>
              <w:right w:w="96" w:type="dxa"/>
            </w:tcMar>
            <w:vAlign w:val="center"/>
            <w:hideMark/>
          </w:tcPr>
          <w:p w14:paraId="472F837B" w14:textId="77777777" w:rsidR="003B5091" w:rsidRPr="003E76D1" w:rsidRDefault="003B5091" w:rsidP="008D0D64">
            <w:pPr>
              <w:spacing w:after="0"/>
              <w:rPr>
                <w:sz w:val="18"/>
                <w:szCs w:val="18"/>
              </w:rPr>
            </w:pPr>
            <w:r w:rsidRPr="003E76D1">
              <w:rPr>
                <w:b/>
                <w:bCs/>
                <w:sz w:val="18"/>
                <w:szCs w:val="18"/>
              </w:rPr>
              <w:t>EŠIF</w:t>
            </w:r>
          </w:p>
        </w:tc>
        <w:tc>
          <w:tcPr>
            <w:tcW w:w="1665" w:type="dxa"/>
            <w:tcBorders>
              <w:top w:val="dashed" w:sz="4" w:space="0" w:color="808080" w:themeColor="background1" w:themeShade="80"/>
              <w:left w:val="single" w:sz="4" w:space="0" w:color="auto"/>
              <w:bottom w:val="single" w:sz="4" w:space="0" w:color="auto"/>
            </w:tcBorders>
            <w:shd w:val="clear" w:color="auto" w:fill="auto"/>
            <w:tcMar>
              <w:top w:w="15" w:type="dxa"/>
              <w:left w:w="96" w:type="dxa"/>
              <w:bottom w:w="0" w:type="dxa"/>
              <w:right w:w="96" w:type="dxa"/>
            </w:tcMar>
            <w:vAlign w:val="center"/>
            <w:hideMark/>
          </w:tcPr>
          <w:p w14:paraId="04D3CFCB" w14:textId="77777777" w:rsidR="003B5091" w:rsidRPr="003E76D1" w:rsidRDefault="003B5091" w:rsidP="008D0D64">
            <w:pPr>
              <w:spacing w:after="0"/>
              <w:jc w:val="center"/>
              <w:rPr>
                <w:b/>
                <w:color w:val="00B050"/>
                <w:sz w:val="18"/>
                <w:szCs w:val="18"/>
              </w:rPr>
            </w:pPr>
            <w:r w:rsidRPr="003E76D1">
              <w:rPr>
                <w:b/>
                <w:color w:val="00B050"/>
                <w:sz w:val="18"/>
                <w:szCs w:val="18"/>
              </w:rPr>
              <w:t>Áno</w:t>
            </w:r>
          </w:p>
        </w:tc>
        <w:tc>
          <w:tcPr>
            <w:tcW w:w="1666" w:type="dxa"/>
            <w:tcBorders>
              <w:top w:val="dashed" w:sz="4" w:space="0" w:color="808080" w:themeColor="background1" w:themeShade="80"/>
              <w:bottom w:val="single" w:sz="4" w:space="0" w:color="auto"/>
            </w:tcBorders>
            <w:shd w:val="clear" w:color="auto" w:fill="auto"/>
            <w:tcMar>
              <w:top w:w="15" w:type="dxa"/>
              <w:left w:w="96" w:type="dxa"/>
              <w:bottom w:w="0" w:type="dxa"/>
              <w:right w:w="96" w:type="dxa"/>
            </w:tcMar>
            <w:vAlign w:val="center"/>
            <w:hideMark/>
          </w:tcPr>
          <w:p w14:paraId="4CD74482" w14:textId="77777777" w:rsidR="003B5091" w:rsidRPr="003E76D1" w:rsidRDefault="003B5091" w:rsidP="008D0D64">
            <w:pPr>
              <w:spacing w:after="0"/>
              <w:jc w:val="center"/>
              <w:rPr>
                <w:b/>
                <w:color w:val="FF0000"/>
                <w:sz w:val="18"/>
                <w:szCs w:val="18"/>
              </w:rPr>
            </w:pPr>
            <w:r w:rsidRPr="003E76D1">
              <w:rPr>
                <w:b/>
                <w:color w:val="FF0000"/>
                <w:sz w:val="18"/>
                <w:szCs w:val="18"/>
              </w:rPr>
              <w:t>Nie</w:t>
            </w:r>
          </w:p>
        </w:tc>
        <w:tc>
          <w:tcPr>
            <w:tcW w:w="1665" w:type="dxa"/>
            <w:tcBorders>
              <w:top w:val="dashed" w:sz="4" w:space="0" w:color="808080" w:themeColor="background1" w:themeShade="80"/>
              <w:bottom w:val="single" w:sz="4" w:space="0" w:color="auto"/>
              <w:right w:val="single" w:sz="4" w:space="0" w:color="auto"/>
            </w:tcBorders>
            <w:shd w:val="clear" w:color="auto" w:fill="auto"/>
            <w:tcMar>
              <w:top w:w="15" w:type="dxa"/>
              <w:left w:w="96" w:type="dxa"/>
              <w:bottom w:w="0" w:type="dxa"/>
              <w:right w:w="96" w:type="dxa"/>
            </w:tcMar>
            <w:vAlign w:val="center"/>
            <w:hideMark/>
          </w:tcPr>
          <w:p w14:paraId="796C1E0B" w14:textId="77777777" w:rsidR="003B5091" w:rsidRPr="003E76D1" w:rsidRDefault="003B5091" w:rsidP="008D0D64">
            <w:pPr>
              <w:spacing w:after="0"/>
              <w:jc w:val="center"/>
              <w:rPr>
                <w:b/>
                <w:color w:val="FF0000"/>
                <w:sz w:val="18"/>
                <w:szCs w:val="18"/>
              </w:rPr>
            </w:pPr>
            <w:r w:rsidRPr="003E76D1">
              <w:rPr>
                <w:b/>
                <w:color w:val="FF0000"/>
                <w:sz w:val="18"/>
                <w:szCs w:val="18"/>
              </w:rPr>
              <w:t>Nie</w:t>
            </w:r>
          </w:p>
        </w:tc>
        <w:tc>
          <w:tcPr>
            <w:tcW w:w="1666" w:type="dxa"/>
            <w:tcBorders>
              <w:top w:val="dashed" w:sz="4" w:space="0" w:color="808080" w:themeColor="background1" w:themeShade="80"/>
              <w:left w:val="single" w:sz="4" w:space="0" w:color="auto"/>
              <w:bottom w:val="single" w:sz="4" w:space="0" w:color="auto"/>
            </w:tcBorders>
            <w:shd w:val="clear" w:color="auto" w:fill="auto"/>
            <w:tcMar>
              <w:top w:w="15" w:type="dxa"/>
              <w:left w:w="96" w:type="dxa"/>
              <w:bottom w:w="0" w:type="dxa"/>
              <w:right w:w="96" w:type="dxa"/>
            </w:tcMar>
            <w:vAlign w:val="center"/>
            <w:hideMark/>
          </w:tcPr>
          <w:p w14:paraId="43C97EA3" w14:textId="77777777" w:rsidR="003B5091" w:rsidRPr="003E76D1" w:rsidRDefault="003B5091" w:rsidP="008D0D64">
            <w:pPr>
              <w:spacing w:after="0"/>
              <w:jc w:val="center"/>
              <w:rPr>
                <w:b/>
                <w:color w:val="FF0000"/>
                <w:sz w:val="18"/>
                <w:szCs w:val="18"/>
              </w:rPr>
            </w:pPr>
            <w:r w:rsidRPr="003E76D1">
              <w:rPr>
                <w:b/>
                <w:color w:val="FF0000"/>
                <w:sz w:val="18"/>
                <w:szCs w:val="18"/>
              </w:rPr>
              <w:t>Nie</w:t>
            </w:r>
          </w:p>
        </w:tc>
      </w:tr>
    </w:tbl>
    <w:p w14:paraId="7CDF2972" w14:textId="77777777" w:rsidR="003B5091" w:rsidRPr="00C4412B" w:rsidRDefault="003B5091" w:rsidP="003B5091">
      <w:pPr>
        <w:spacing w:after="0"/>
        <w:rPr>
          <w:i/>
          <w:sz w:val="20"/>
        </w:rPr>
      </w:pPr>
      <w:r>
        <w:rPr>
          <w:i/>
          <w:sz w:val="20"/>
        </w:rPr>
        <w:t xml:space="preserve">Pozn.: </w:t>
      </w:r>
      <w:r w:rsidRPr="00C4412B">
        <w:rPr>
          <w:i/>
          <w:sz w:val="20"/>
        </w:rPr>
        <w:t>Áno = subjekt v danej kategórii má povinnosť predložiť investičný projekt na ekonomické hodnotenie MF SR</w:t>
      </w:r>
    </w:p>
    <w:p w14:paraId="1845EFAE" w14:textId="77777777" w:rsidR="003B5091" w:rsidRPr="00C4412B" w:rsidRDefault="003B5091" w:rsidP="003B5091">
      <w:pPr>
        <w:ind w:left="504"/>
        <w:rPr>
          <w:i/>
          <w:sz w:val="20"/>
        </w:rPr>
      </w:pPr>
      <w:r w:rsidRPr="00C4412B">
        <w:rPr>
          <w:i/>
          <w:sz w:val="20"/>
        </w:rPr>
        <w:t>Nie = subjekt v danej kategórii nemá povinnosť predložiť investičný projekt na ekonomické hodnotenie MF SR</w:t>
      </w:r>
    </w:p>
    <w:p w14:paraId="479B2210" w14:textId="6C545037" w:rsidR="00996694" w:rsidRPr="005C2CEC" w:rsidRDefault="00996694" w:rsidP="00996694">
      <w:r w:rsidRPr="005C2CEC">
        <w:t>Proces prípravy investičného projektu</w:t>
      </w:r>
      <w:r w:rsidR="00B13D9E" w:rsidRPr="005C2CEC">
        <w:t xml:space="preserve"> sa </w:t>
      </w:r>
      <w:r w:rsidR="008F53DE" w:rsidRPr="005C2CEC">
        <w:t xml:space="preserve">člení </w:t>
      </w:r>
      <w:r w:rsidR="00B13D9E" w:rsidRPr="005C2CEC">
        <w:t xml:space="preserve">podľa hodnoty </w:t>
      </w:r>
      <w:r w:rsidR="003772D9" w:rsidRPr="005C2CEC">
        <w:t xml:space="preserve">investičného projektu </w:t>
      </w:r>
      <w:r w:rsidR="00B13D9E" w:rsidRPr="005C2CEC">
        <w:t>na</w:t>
      </w:r>
      <w:r w:rsidRPr="005C2CEC">
        <w:t>:</w:t>
      </w:r>
    </w:p>
    <w:p w14:paraId="19354E00" w14:textId="0BCB6EC2" w:rsidR="00217446" w:rsidRPr="005C2CEC" w:rsidRDefault="007A7185" w:rsidP="006077A0">
      <w:pPr>
        <w:pStyle w:val="Odsekzoznamu"/>
        <w:numPr>
          <w:ilvl w:val="0"/>
          <w:numId w:val="10"/>
        </w:numPr>
      </w:pPr>
      <w:r>
        <w:t>p</w:t>
      </w:r>
      <w:r w:rsidR="00996177" w:rsidRPr="005C2CEC">
        <w:t xml:space="preserve">rípravu investičného projektu </w:t>
      </w:r>
      <w:r w:rsidR="00CB1F8E" w:rsidRPr="005C2CEC">
        <w:t>pod</w:t>
      </w:r>
      <w:r w:rsidR="00996177" w:rsidRPr="005C2CEC">
        <w:t xml:space="preserve"> </w:t>
      </w:r>
      <w:r w:rsidR="006077A0" w:rsidRPr="006077A0">
        <w:t xml:space="preserve">ustanovenou </w:t>
      </w:r>
      <w:r w:rsidR="00996177" w:rsidRPr="005C2CEC">
        <w:t>hranicou</w:t>
      </w:r>
      <w:r w:rsidR="00F33DB1" w:rsidRPr="005C2CEC">
        <w:rPr>
          <w:rStyle w:val="Odkaznapoznmkupodiarou"/>
        </w:rPr>
        <w:footnoteReference w:id="9"/>
      </w:r>
      <w:r w:rsidR="00004863" w:rsidRPr="005C2CEC">
        <w:t xml:space="preserve"> (</w:t>
      </w:r>
      <w:r w:rsidR="00217446" w:rsidRPr="005C2CEC">
        <w:t>investičné projekty s hodnotou rov</w:t>
      </w:r>
      <w:r w:rsidR="00CB1F8E" w:rsidRPr="005C2CEC">
        <w:t>nou alebo vyššou ako 1 mil. eur</w:t>
      </w:r>
      <w:r w:rsidR="00004863" w:rsidRPr="005C2CEC">
        <w:t xml:space="preserve"> a zároveň nižšou ako je </w:t>
      </w:r>
      <w:r w:rsidR="006077A0">
        <w:t>ustanovená</w:t>
      </w:r>
      <w:r w:rsidR="006077A0" w:rsidRPr="006077A0">
        <w:t xml:space="preserve"> </w:t>
      </w:r>
      <w:r w:rsidR="00004863" w:rsidRPr="005C2CEC">
        <w:t>hranica)</w:t>
      </w:r>
      <w:r w:rsidR="00481932" w:rsidRPr="005C2CEC">
        <w:t>,</w:t>
      </w:r>
    </w:p>
    <w:p w14:paraId="2CFE225A" w14:textId="1664C326" w:rsidR="00217446" w:rsidRPr="005C2CEC" w:rsidRDefault="007A7185" w:rsidP="0087207E">
      <w:pPr>
        <w:pStyle w:val="Odsekzoznamu"/>
        <w:numPr>
          <w:ilvl w:val="0"/>
          <w:numId w:val="10"/>
        </w:numPr>
      </w:pPr>
      <w:r>
        <w:t>p</w:t>
      </w:r>
      <w:r w:rsidR="00217446" w:rsidRPr="005C2CEC">
        <w:t xml:space="preserve">rípravu investičného projektu nad </w:t>
      </w:r>
      <w:r w:rsidR="006077A0" w:rsidRPr="006077A0">
        <w:t xml:space="preserve">ustanovenou </w:t>
      </w:r>
      <w:r w:rsidR="00217446" w:rsidRPr="005C2CEC">
        <w:t>hranicou</w:t>
      </w:r>
      <w:r w:rsidR="00004863" w:rsidRPr="005C2CEC">
        <w:t xml:space="preserve"> (investičné projekty s hodnotou rovnou alebo vyššou ako je </w:t>
      </w:r>
      <w:r w:rsidR="006077A0">
        <w:t>ustanovená</w:t>
      </w:r>
      <w:r w:rsidR="006077A0" w:rsidRPr="005C2CEC">
        <w:t xml:space="preserve"> </w:t>
      </w:r>
      <w:r w:rsidR="00004863" w:rsidRPr="005C2CEC">
        <w:t>hranica)</w:t>
      </w:r>
      <w:r w:rsidR="00217446" w:rsidRPr="005C2CEC">
        <w:t>.</w:t>
      </w:r>
    </w:p>
    <w:p w14:paraId="794862BB" w14:textId="7D688B1D" w:rsidR="003B5091" w:rsidRDefault="003B5091" w:rsidP="000129F7">
      <w:pPr>
        <w:pStyle w:val="Popis"/>
      </w:pPr>
      <w:bookmarkStart w:id="116" w:name="_Toc83651112"/>
      <w:r>
        <w:t xml:space="preserve">Tabuľka </w:t>
      </w:r>
      <w:r>
        <w:fldChar w:fldCharType="begin"/>
      </w:r>
      <w:r>
        <w:instrText xml:space="preserve"> SEQ Tabuľka \* ARABIC </w:instrText>
      </w:r>
      <w:r>
        <w:fldChar w:fldCharType="separate"/>
      </w:r>
      <w:r w:rsidR="00531657">
        <w:rPr>
          <w:noProof/>
        </w:rPr>
        <w:t>8</w:t>
      </w:r>
      <w:r>
        <w:fldChar w:fldCharType="end"/>
      </w:r>
      <w:r>
        <w:t xml:space="preserve">: Zjednodušený prehľad prípravy investičných projektov </w:t>
      </w:r>
      <w:r w:rsidR="00B7508E">
        <w:t xml:space="preserve">za účelom ekonomického hodnotenia </w:t>
      </w:r>
      <w:r>
        <w:t>podľa hodnoty</w:t>
      </w:r>
    </w:p>
    <w:tbl>
      <w:tblPr>
        <w:tblStyle w:val="Mriekatabuky"/>
        <w:tblW w:w="0" w:type="auto"/>
        <w:tblBorders>
          <w:left w:val="none" w:sz="0" w:space="0" w:color="auto"/>
          <w:right w:val="none" w:sz="0" w:space="0" w:color="auto"/>
        </w:tblBorders>
        <w:tblLook w:val="04A0" w:firstRow="1" w:lastRow="0" w:firstColumn="1" w:lastColumn="0" w:noHBand="0" w:noVBand="1"/>
      </w:tblPr>
      <w:tblGrid>
        <w:gridCol w:w="2268"/>
        <w:gridCol w:w="3544"/>
        <w:gridCol w:w="3250"/>
      </w:tblGrid>
      <w:tr w:rsidR="00216A74" w:rsidRPr="005C2CEC" w14:paraId="73F0730F" w14:textId="77777777" w:rsidTr="000129F7">
        <w:trPr>
          <w:tblHeader/>
        </w:trPr>
        <w:tc>
          <w:tcPr>
            <w:tcW w:w="2268" w:type="dxa"/>
            <w:tcBorders>
              <w:top w:val="single" w:sz="4" w:space="0" w:color="auto"/>
              <w:bottom w:val="single" w:sz="4" w:space="0" w:color="auto"/>
            </w:tcBorders>
          </w:tcPr>
          <w:p w14:paraId="45D0A5A0" w14:textId="16928A80" w:rsidR="00216A74" w:rsidRPr="005C2CEC" w:rsidRDefault="00216A74" w:rsidP="008D0D64">
            <w:pPr>
              <w:spacing w:after="0"/>
              <w:rPr>
                <w:b/>
              </w:rPr>
            </w:pPr>
            <w:r>
              <w:rPr>
                <w:b/>
              </w:rPr>
              <w:t>Hodnota investičného projektu</w:t>
            </w:r>
          </w:p>
        </w:tc>
        <w:tc>
          <w:tcPr>
            <w:tcW w:w="3544" w:type="dxa"/>
            <w:tcBorders>
              <w:top w:val="single" w:sz="4" w:space="0" w:color="auto"/>
              <w:bottom w:val="single" w:sz="4" w:space="0" w:color="auto"/>
              <w:right w:val="nil"/>
            </w:tcBorders>
          </w:tcPr>
          <w:p w14:paraId="706ED5F8" w14:textId="220C8493" w:rsidR="00216A74" w:rsidRPr="005C2CEC" w:rsidRDefault="00216A74" w:rsidP="008D0D64">
            <w:pPr>
              <w:spacing w:after="0"/>
              <w:jc w:val="center"/>
              <w:rPr>
                <w:b/>
              </w:rPr>
            </w:pPr>
            <w:r>
              <w:rPr>
                <w:b/>
              </w:rPr>
              <w:t>Príprava</w:t>
            </w:r>
          </w:p>
        </w:tc>
        <w:tc>
          <w:tcPr>
            <w:tcW w:w="3250" w:type="dxa"/>
            <w:tcBorders>
              <w:top w:val="single" w:sz="4" w:space="0" w:color="auto"/>
              <w:left w:val="nil"/>
              <w:bottom w:val="single" w:sz="4" w:space="0" w:color="auto"/>
            </w:tcBorders>
          </w:tcPr>
          <w:p w14:paraId="67138C0B" w14:textId="2EDB9B1F" w:rsidR="00216A74" w:rsidRPr="005C2CEC" w:rsidRDefault="00216A74" w:rsidP="008D0D64">
            <w:pPr>
              <w:spacing w:after="0"/>
              <w:jc w:val="center"/>
              <w:rPr>
                <w:b/>
              </w:rPr>
            </w:pPr>
            <w:r>
              <w:rPr>
                <w:b/>
              </w:rPr>
              <w:t>Ekonomické hodnotenie</w:t>
            </w:r>
          </w:p>
        </w:tc>
      </w:tr>
      <w:tr w:rsidR="00216A74" w:rsidRPr="005C2CEC" w14:paraId="12389007" w14:textId="77777777" w:rsidTr="000129F7">
        <w:trPr>
          <w:trHeight w:val="1117"/>
        </w:trPr>
        <w:tc>
          <w:tcPr>
            <w:tcW w:w="2268" w:type="dxa"/>
            <w:tcBorders>
              <w:top w:val="single" w:sz="4" w:space="0" w:color="auto"/>
              <w:bottom w:val="dashed" w:sz="4" w:space="0" w:color="7F7F7F" w:themeColor="text1" w:themeTint="80"/>
            </w:tcBorders>
          </w:tcPr>
          <w:p w14:paraId="7DE395AF" w14:textId="77777777" w:rsidR="00B7508E" w:rsidRDefault="00B7508E" w:rsidP="00B7508E">
            <w:pPr>
              <w:spacing w:after="0"/>
              <w:jc w:val="left"/>
              <w:rPr>
                <w:b/>
              </w:rPr>
            </w:pPr>
            <w:r>
              <w:rPr>
                <w:b/>
              </w:rPr>
              <w:t>pod</w:t>
            </w:r>
            <w:r w:rsidR="00216A74" w:rsidRPr="005C2CEC">
              <w:rPr>
                <w:b/>
              </w:rPr>
              <w:t xml:space="preserve"> </w:t>
            </w:r>
            <w:r w:rsidR="00216A74" w:rsidRPr="006077A0">
              <w:rPr>
                <w:b/>
              </w:rPr>
              <w:t xml:space="preserve">ustanovenou </w:t>
            </w:r>
            <w:r w:rsidR="00216A74" w:rsidRPr="005C2CEC">
              <w:rPr>
                <w:b/>
              </w:rPr>
              <w:t>hranicou</w:t>
            </w:r>
          </w:p>
          <w:p w14:paraId="6A7B0A52" w14:textId="5CC14792" w:rsidR="00216A74" w:rsidRPr="005C2CEC" w:rsidRDefault="00B7508E" w:rsidP="00B7508E">
            <w:pPr>
              <w:spacing w:after="0"/>
              <w:jc w:val="left"/>
              <w:rPr>
                <w:b/>
              </w:rPr>
            </w:pPr>
            <w:r>
              <w:rPr>
                <w:b/>
              </w:rPr>
              <w:t>(nad 1 mil. eur)</w:t>
            </w:r>
          </w:p>
        </w:tc>
        <w:tc>
          <w:tcPr>
            <w:tcW w:w="3544" w:type="dxa"/>
            <w:tcBorders>
              <w:top w:val="single" w:sz="4" w:space="0" w:color="auto"/>
              <w:bottom w:val="dashed" w:sz="4" w:space="0" w:color="7F7F7F" w:themeColor="text1" w:themeTint="80"/>
              <w:right w:val="nil"/>
            </w:tcBorders>
          </w:tcPr>
          <w:p w14:paraId="6C2C3E9F" w14:textId="77777777" w:rsidR="00216A74" w:rsidRDefault="00216A74">
            <w:pPr>
              <w:pStyle w:val="Odsekzoznamu"/>
              <w:numPr>
                <w:ilvl w:val="0"/>
                <w:numId w:val="34"/>
              </w:numPr>
              <w:spacing w:after="0"/>
              <w:ind w:left="170" w:hanging="170"/>
              <w:jc w:val="left"/>
            </w:pPr>
            <w:r>
              <w:t xml:space="preserve">Zaradenie do </w:t>
            </w:r>
            <w:r w:rsidRPr="005C2CEC">
              <w:t>inves</w:t>
            </w:r>
            <w:r>
              <w:t>tičného plánu</w:t>
            </w:r>
          </w:p>
          <w:p w14:paraId="0241D4D5" w14:textId="4A67BAF5" w:rsidR="00216A74" w:rsidRDefault="003B5091">
            <w:pPr>
              <w:pStyle w:val="Odsekzoznamu"/>
              <w:numPr>
                <w:ilvl w:val="0"/>
                <w:numId w:val="34"/>
              </w:numPr>
              <w:spacing w:after="0"/>
              <w:ind w:left="170" w:hanging="170"/>
              <w:jc w:val="left"/>
            </w:pPr>
            <w:r>
              <w:t>Aktualizovanie investičného</w:t>
            </w:r>
            <w:r w:rsidR="00216A74">
              <w:t xml:space="preserve"> zámer</w:t>
            </w:r>
            <w:r>
              <w:t>u</w:t>
            </w:r>
          </w:p>
          <w:p w14:paraId="0D47E002" w14:textId="1EE59BC0" w:rsidR="00216A74" w:rsidRPr="005C2CEC" w:rsidRDefault="003B5091">
            <w:pPr>
              <w:pStyle w:val="Odsekzoznamu"/>
              <w:numPr>
                <w:ilvl w:val="0"/>
                <w:numId w:val="34"/>
              </w:numPr>
              <w:spacing w:after="0"/>
              <w:ind w:left="170" w:hanging="170"/>
              <w:jc w:val="left"/>
            </w:pPr>
            <w:r>
              <w:t>Vypracovanie detailného rozpočtu</w:t>
            </w:r>
          </w:p>
        </w:tc>
        <w:tc>
          <w:tcPr>
            <w:tcW w:w="3250" w:type="dxa"/>
            <w:tcBorders>
              <w:top w:val="single" w:sz="4" w:space="0" w:color="auto"/>
              <w:left w:val="nil"/>
              <w:bottom w:val="dashed" w:sz="4" w:space="0" w:color="7F7F7F" w:themeColor="text1" w:themeTint="80"/>
            </w:tcBorders>
          </w:tcPr>
          <w:p w14:paraId="239B271F" w14:textId="1D24733C" w:rsidR="00216A74" w:rsidRPr="005C2CEC" w:rsidRDefault="003B5091">
            <w:pPr>
              <w:pStyle w:val="Odsekzoznamu"/>
              <w:numPr>
                <w:ilvl w:val="0"/>
                <w:numId w:val="33"/>
              </w:numPr>
              <w:spacing w:after="0"/>
              <w:ind w:left="170" w:hanging="170"/>
              <w:jc w:val="left"/>
            </w:pPr>
            <w:r>
              <w:t>P</w:t>
            </w:r>
            <w:r w:rsidR="00216A74">
              <w:t>red realizáciou investičného projektu</w:t>
            </w:r>
          </w:p>
        </w:tc>
      </w:tr>
      <w:tr w:rsidR="00216A74" w:rsidRPr="005C2CEC" w14:paraId="02C5164E" w14:textId="77777777" w:rsidTr="000129F7">
        <w:tc>
          <w:tcPr>
            <w:tcW w:w="2268" w:type="dxa"/>
            <w:tcBorders>
              <w:top w:val="dashed" w:sz="4" w:space="0" w:color="7F7F7F" w:themeColor="text1" w:themeTint="80"/>
            </w:tcBorders>
          </w:tcPr>
          <w:p w14:paraId="542009D9" w14:textId="77777777" w:rsidR="00B7508E" w:rsidRDefault="00B7508E" w:rsidP="008D0D64">
            <w:pPr>
              <w:spacing w:after="0"/>
              <w:jc w:val="left"/>
              <w:rPr>
                <w:b/>
              </w:rPr>
            </w:pPr>
            <w:r>
              <w:rPr>
                <w:b/>
              </w:rPr>
              <w:t>nad</w:t>
            </w:r>
            <w:r w:rsidR="00216A74">
              <w:rPr>
                <w:b/>
              </w:rPr>
              <w:t xml:space="preserve"> </w:t>
            </w:r>
            <w:r w:rsidR="00216A74" w:rsidRPr="006077A0">
              <w:rPr>
                <w:b/>
              </w:rPr>
              <w:t xml:space="preserve">ustanovenou </w:t>
            </w:r>
            <w:r>
              <w:rPr>
                <w:b/>
              </w:rPr>
              <w:t>hranicou</w:t>
            </w:r>
          </w:p>
          <w:p w14:paraId="1EFA2620" w14:textId="169102AB" w:rsidR="00216A74" w:rsidRPr="005C2CEC" w:rsidRDefault="00216A74" w:rsidP="008D0D64">
            <w:pPr>
              <w:spacing w:after="0"/>
              <w:jc w:val="left"/>
              <w:rPr>
                <w:b/>
              </w:rPr>
            </w:pPr>
            <w:r>
              <w:rPr>
                <w:b/>
              </w:rPr>
              <w:t>(</w:t>
            </w:r>
            <w:r w:rsidRPr="005C2CEC">
              <w:rPr>
                <w:b/>
              </w:rPr>
              <w:t xml:space="preserve">nad </w:t>
            </w:r>
            <w:r w:rsidR="00B7508E">
              <w:rPr>
                <w:b/>
              </w:rPr>
              <w:t>40/10</w:t>
            </w:r>
            <w:r w:rsidRPr="005C2CEC">
              <w:rPr>
                <w:b/>
              </w:rPr>
              <w:t xml:space="preserve"> mil. eur</w:t>
            </w:r>
            <w:r>
              <w:rPr>
                <w:b/>
              </w:rPr>
              <w:t>)</w:t>
            </w:r>
          </w:p>
        </w:tc>
        <w:tc>
          <w:tcPr>
            <w:tcW w:w="3544" w:type="dxa"/>
            <w:tcBorders>
              <w:top w:val="dashed" w:sz="4" w:space="0" w:color="7F7F7F" w:themeColor="text1" w:themeTint="80"/>
              <w:right w:val="nil"/>
            </w:tcBorders>
          </w:tcPr>
          <w:p w14:paraId="1984CE7F" w14:textId="77777777" w:rsidR="003B5091" w:rsidRDefault="003B5091" w:rsidP="003B5091">
            <w:pPr>
              <w:pStyle w:val="Odsekzoznamu"/>
              <w:numPr>
                <w:ilvl w:val="0"/>
                <w:numId w:val="34"/>
              </w:numPr>
              <w:spacing w:after="0"/>
              <w:ind w:left="170" w:hanging="170"/>
              <w:jc w:val="left"/>
            </w:pPr>
            <w:r>
              <w:t xml:space="preserve">Zaradenie do </w:t>
            </w:r>
            <w:r w:rsidRPr="005C2CEC">
              <w:t>inves</w:t>
            </w:r>
            <w:r>
              <w:t>tičného plánu</w:t>
            </w:r>
          </w:p>
          <w:p w14:paraId="61D3A6DE" w14:textId="1605DB33" w:rsidR="00216A74" w:rsidRDefault="003B5091" w:rsidP="008D0D64">
            <w:pPr>
              <w:pStyle w:val="Odsekzoznamu"/>
              <w:numPr>
                <w:ilvl w:val="0"/>
                <w:numId w:val="34"/>
              </w:numPr>
              <w:spacing w:after="0"/>
              <w:ind w:left="170" w:hanging="170"/>
              <w:jc w:val="left"/>
            </w:pPr>
            <w:r>
              <w:t>Vypracovanie štúdie uskutočniteľnosti</w:t>
            </w:r>
          </w:p>
          <w:p w14:paraId="3EBE0179" w14:textId="2A987631" w:rsidR="003B5091" w:rsidRDefault="003B5091" w:rsidP="008D0D64">
            <w:pPr>
              <w:pStyle w:val="Odsekzoznamu"/>
              <w:numPr>
                <w:ilvl w:val="0"/>
                <w:numId w:val="34"/>
              </w:numPr>
              <w:spacing w:after="0"/>
              <w:ind w:left="170" w:hanging="170"/>
              <w:jc w:val="left"/>
            </w:pPr>
            <w:r>
              <w:t>Aktualizácia štúdie uskutočniteľnosti pred vyhlásením VO</w:t>
            </w:r>
          </w:p>
          <w:p w14:paraId="65DDD78B" w14:textId="359A4112" w:rsidR="003B5091" w:rsidRPr="005C2CEC" w:rsidRDefault="003B5091">
            <w:pPr>
              <w:pStyle w:val="Odsekzoznamu"/>
              <w:numPr>
                <w:ilvl w:val="0"/>
                <w:numId w:val="34"/>
              </w:numPr>
              <w:spacing w:after="0"/>
              <w:ind w:left="170" w:hanging="170"/>
              <w:jc w:val="left"/>
            </w:pPr>
            <w:r>
              <w:t>Aktualizácia štúdie uskutočniteľnosti pred vznikom záväzku</w:t>
            </w:r>
          </w:p>
        </w:tc>
        <w:tc>
          <w:tcPr>
            <w:tcW w:w="3250" w:type="dxa"/>
            <w:tcBorders>
              <w:top w:val="dashed" w:sz="4" w:space="0" w:color="7F7F7F" w:themeColor="text1" w:themeTint="80"/>
              <w:left w:val="nil"/>
            </w:tcBorders>
          </w:tcPr>
          <w:p w14:paraId="148EB3DD" w14:textId="63B24700" w:rsidR="00216A74" w:rsidRDefault="003B5091" w:rsidP="008D0D64">
            <w:pPr>
              <w:pStyle w:val="Odsekzoznamu"/>
              <w:numPr>
                <w:ilvl w:val="0"/>
                <w:numId w:val="33"/>
              </w:numPr>
              <w:spacing w:after="0"/>
              <w:ind w:left="170" w:hanging="170"/>
              <w:jc w:val="left"/>
            </w:pPr>
            <w:r>
              <w:t>Pred začiatkom prípravy</w:t>
            </w:r>
          </w:p>
          <w:p w14:paraId="21052372" w14:textId="2E0640BF" w:rsidR="003B5091" w:rsidRDefault="003B5091">
            <w:pPr>
              <w:pStyle w:val="Odsekzoznamu"/>
              <w:numPr>
                <w:ilvl w:val="0"/>
                <w:numId w:val="33"/>
              </w:numPr>
              <w:spacing w:after="0"/>
              <w:ind w:left="170" w:hanging="170"/>
              <w:jc w:val="left"/>
            </w:pPr>
            <w:r>
              <w:t>Pred vyhlásením VO</w:t>
            </w:r>
          </w:p>
          <w:p w14:paraId="44DD8F09" w14:textId="4FFAACA1" w:rsidR="003B5091" w:rsidRPr="005C2CEC" w:rsidRDefault="003B5091">
            <w:pPr>
              <w:pStyle w:val="Odsekzoznamu"/>
              <w:numPr>
                <w:ilvl w:val="0"/>
                <w:numId w:val="33"/>
              </w:numPr>
              <w:spacing w:after="0"/>
              <w:ind w:left="170" w:hanging="170"/>
              <w:jc w:val="left"/>
            </w:pPr>
            <w:r>
              <w:t>Pred vznikom záväzku</w:t>
            </w:r>
          </w:p>
        </w:tc>
      </w:tr>
    </w:tbl>
    <w:p w14:paraId="4FA1B2E7" w14:textId="77777777" w:rsidR="003B5091" w:rsidRPr="005C2CEC" w:rsidRDefault="003B5091" w:rsidP="003B5091">
      <w:r w:rsidRPr="005C2CEC">
        <w:lastRenderedPageBreak/>
        <w:t>Investor pripravuje len investičné projekty, ktoré boli uvedené v zverejnenom investičnom pláne príslušného ministerstva</w:t>
      </w:r>
      <w:r w:rsidRPr="005C2CEC">
        <w:rPr>
          <w:rStyle w:val="Odkaznapoznmkupodiarou"/>
        </w:rPr>
        <w:footnoteReference w:id="10"/>
      </w:r>
      <w:r w:rsidRPr="005C2CEC">
        <w:t>. Pri príprave projektu Investor zohľadní špecifické požiadavky týkajúce sa danej oblasti.</w:t>
      </w:r>
    </w:p>
    <w:p w14:paraId="20783FEA" w14:textId="77777777" w:rsidR="003B5091" w:rsidRPr="005C2CEC" w:rsidRDefault="003B5091" w:rsidP="003B5091">
      <w:r w:rsidRPr="005C2CEC">
        <w:t>Pri príprave investičných projektov v oblasti informatizácie Investor zohľadní podmienky vyplývajúce z </w:t>
      </w:r>
      <w:hyperlink r:id="rId36" w:history="1">
        <w:r w:rsidRPr="002522E9">
          <w:rPr>
            <w:rStyle w:val="Hypertextovprepojenie"/>
          </w:rPr>
          <w:t>vyhlášky Úradu podpredsedu vlády SR pre investície a informatizáciu č. 85/2020 Z. z. o riadení projektov</w:t>
        </w:r>
      </w:hyperlink>
      <w:r>
        <w:t xml:space="preserve"> (ďalej len „vyhláška č. 85/2020 Z. z.)</w:t>
      </w:r>
      <w:r w:rsidRPr="005C2CEC">
        <w:t xml:space="preserve">. Štúdiu uskutočniteľnosti Investor vypracuje podľa </w:t>
      </w:r>
      <w:hyperlink r:id="rId37" w:history="1">
        <w:r w:rsidRPr="00B2036D">
          <w:rPr>
            <w:rStyle w:val="Hypertextovprepojenie"/>
            <w:i/>
          </w:rPr>
          <w:t>Metodického pokynu k spracovaniu biznis case a cost benefit analýzy informačných technológií verejnej správy</w:t>
        </w:r>
      </w:hyperlink>
      <w:r w:rsidRPr="005C2CEC">
        <w:t xml:space="preserve"> a následne ju pošle na hodnotenie MF SR.</w:t>
      </w:r>
      <w:r>
        <w:t xml:space="preserve"> Do hodnoty investičného projektu v oblasti informatizácie sa okrem kapitálových výdavkov na vytvorenie diela započítavajú aj výdavky na budúci rozvoj informačných systémov vrátane rámcových výdavkov, najmä tzv. rámec na zmenové požiadavky. Časť výdavkov na služby podpory a údržby informačného systému, tzv. SLA služby, nevstupujú do výpočtu hodnoty investície v prípade, že ich je možné samostatne vyčísliť a oddeliť od budúcich výdavkov na rozvoj.</w:t>
      </w:r>
    </w:p>
    <w:p w14:paraId="4038A4A3" w14:textId="2DB041BD" w:rsidR="003B5091" w:rsidRPr="005C2CEC" w:rsidRDefault="003B5091" w:rsidP="003B5091">
      <w:r>
        <w:t>P</w:t>
      </w:r>
      <w:r w:rsidRPr="005C2CEC">
        <w:t>ri príprave investičn</w:t>
      </w:r>
      <w:r>
        <w:t>ého</w:t>
      </w:r>
      <w:r w:rsidRPr="005C2CEC">
        <w:t xml:space="preserve"> projekt</w:t>
      </w:r>
      <w:r>
        <w:t>u</w:t>
      </w:r>
      <w:r w:rsidRPr="005C2CEC">
        <w:t xml:space="preserve"> pod </w:t>
      </w:r>
      <w:r>
        <w:t>ustanovenou</w:t>
      </w:r>
      <w:r w:rsidRPr="005C2CEC">
        <w:t xml:space="preserve"> hranicou </w:t>
      </w:r>
      <w:r>
        <w:t>v</w:t>
      </w:r>
      <w:r w:rsidRPr="005C2CEC">
        <w:t xml:space="preserve"> ostatných oblastiach </w:t>
      </w:r>
      <w:r>
        <w:t xml:space="preserve">postupuje Investor </w:t>
      </w:r>
      <w:r w:rsidRPr="005C2CEC">
        <w:t xml:space="preserve">v súlade s príslušnou sektorovou investičnou stratégiou a projekt posiela na </w:t>
      </w:r>
      <w:r>
        <w:t xml:space="preserve">ekonomické </w:t>
      </w:r>
      <w:r w:rsidRPr="005C2CEC">
        <w:t xml:space="preserve">hodnotenie MF SR pred </w:t>
      </w:r>
      <w:r>
        <w:t>jeho realizáciou (spravidla pred vyhlásením verejného obstarávania)</w:t>
      </w:r>
      <w:r w:rsidRPr="005C2CEC">
        <w:t>.</w:t>
      </w:r>
    </w:p>
    <w:p w14:paraId="5810D6A2" w14:textId="77777777" w:rsidR="003B5091" w:rsidRPr="005C2CEC" w:rsidRDefault="003B5091" w:rsidP="003B5091">
      <w:r w:rsidRPr="005C2CEC">
        <w:t xml:space="preserve">Pri príprave investičných projektov nad </w:t>
      </w:r>
      <w:r w:rsidRPr="006077A0">
        <w:t xml:space="preserve">ustanovenou </w:t>
      </w:r>
      <w:r w:rsidRPr="005C2CEC">
        <w:t xml:space="preserve">hranicou vypracuje Investor štúdiu uskutočniteľnosti podľa sektorovej investičnej metodiky v súlade s kapitolou </w:t>
      </w:r>
      <w:r w:rsidRPr="005C2CEC">
        <w:fldChar w:fldCharType="begin"/>
      </w:r>
      <w:r w:rsidRPr="005C2CEC">
        <w:instrText xml:space="preserve"> REF _Ref45287927 \r \h </w:instrText>
      </w:r>
      <w:r>
        <w:instrText xml:space="preserve"> \* MERGEFORMAT </w:instrText>
      </w:r>
      <w:r w:rsidRPr="005C2CEC">
        <w:fldChar w:fldCharType="separate"/>
      </w:r>
      <w:r>
        <w:t>4.2.1</w:t>
      </w:r>
      <w:r w:rsidRPr="005C2CEC">
        <w:fldChar w:fldCharType="end"/>
      </w:r>
      <w:r w:rsidRPr="005C2CEC">
        <w:t xml:space="preserve"> a posiela ju na hodnotenie MF SR. </w:t>
      </w:r>
      <w:r>
        <w:t xml:space="preserve">Po rozhodnutí realizovať investičný projekt a alokácii príslušných finančných zdrojov </w:t>
      </w:r>
      <w:r w:rsidRPr="005C2CEC">
        <w:t xml:space="preserve">Investor pripraví projektovú dokumentáciu v plnom rozsahu (napr. dokumentácia pre posúdenie vplyvov na životné prostredie, stavebný zámer, územné rozhodnutie, stavebné povolenie a.i.) v súlade s kapitolou </w:t>
      </w:r>
      <w:r>
        <w:fldChar w:fldCharType="begin"/>
      </w:r>
      <w:r>
        <w:instrText xml:space="preserve"> REF _Ref74842186 \r \h </w:instrText>
      </w:r>
      <w:r>
        <w:fldChar w:fldCharType="separate"/>
      </w:r>
      <w:r>
        <w:t>4.4</w:t>
      </w:r>
      <w:r>
        <w:fldChar w:fldCharType="end"/>
      </w:r>
      <w:r w:rsidRPr="005C2CEC">
        <w:t xml:space="preserve"> a pripraví dokumentáciu pre obstarávanie.</w:t>
      </w:r>
    </w:p>
    <w:bookmarkEnd w:id="116"/>
    <w:p w14:paraId="12547C6A" w14:textId="19FE9D67" w:rsidR="00BB68E6" w:rsidRPr="005C2CEC" w:rsidRDefault="00BC1AD6" w:rsidP="00591D2F">
      <w:r w:rsidRPr="005C2CEC">
        <w:t xml:space="preserve">Viaceré </w:t>
      </w:r>
      <w:r w:rsidR="00143E39">
        <w:t>investície</w:t>
      </w:r>
      <w:r w:rsidRPr="005C2CEC">
        <w:t>, obstarávania alebo rozhodnutia vytvárajúce záväzok, ktoré predstavujú jeden funkčný celok sú považované za jeden investičný projekt</w:t>
      </w:r>
      <w:r w:rsidR="00961806" w:rsidRPr="005C2CEC">
        <w:t xml:space="preserve"> (napr. ak investícia do informačného systému vyvoláva potrebu ďalšej investície, bez ktorej by informačný systém nebol použiteľný alebo funkčný, sú tieto považované za jeden investičný projekt aj keď neboli obstarané v jednom balíku)</w:t>
      </w:r>
      <w:r w:rsidRPr="005C2CEC">
        <w:t>. Za jeden investičný projekt sa považujú aj viaceré projekty ak je ich charakter z hľadiska obsahu totožný a ich realizácia plánovaná v úzkom časovom rozmedzí</w:t>
      </w:r>
      <w:r w:rsidR="00961806" w:rsidRPr="005C2CEC">
        <w:t xml:space="preserve"> (napr. vybudovanie siete pracovísk údržby s cieľom pokryť celkový dopyt je hodnotená ako jeden investičný projekt, aj keď je obstarávanie rozčlenené na niekoľko častí)</w:t>
      </w:r>
      <w:r w:rsidRPr="005C2CEC">
        <w:t>.</w:t>
      </w:r>
      <w:r w:rsidR="00FC1540">
        <w:t xml:space="preserve"> Investičným projektom je aj obstaranie tovaru alebo stavebných prác formou dynamického nákupného systému (DNS).</w:t>
      </w:r>
    </w:p>
    <w:p w14:paraId="66FE9F7A" w14:textId="2E29EFD5" w:rsidR="00996694" w:rsidRPr="005C2CEC" w:rsidRDefault="00996177" w:rsidP="00996694">
      <w:pPr>
        <w:pStyle w:val="Nadpis2"/>
      </w:pPr>
      <w:bookmarkStart w:id="117" w:name="_Ref83631333"/>
      <w:bookmarkStart w:id="118" w:name="_Toc83651081"/>
      <w:r w:rsidRPr="005C2CEC">
        <w:t xml:space="preserve">Príprava investičného projektu pod </w:t>
      </w:r>
      <w:r w:rsidR="006077A0" w:rsidRPr="006077A0">
        <w:t xml:space="preserve">ustanovenou </w:t>
      </w:r>
      <w:r w:rsidRPr="005C2CEC">
        <w:t>hranicou</w:t>
      </w:r>
      <w:bookmarkEnd w:id="117"/>
      <w:bookmarkEnd w:id="118"/>
    </w:p>
    <w:p w14:paraId="72FBFA8B" w14:textId="77777777" w:rsidR="001D08C5" w:rsidRDefault="00D848C8" w:rsidP="00F33DB1">
      <w:r w:rsidRPr="005C2CEC">
        <w:t xml:space="preserve">Pri </w:t>
      </w:r>
      <w:r w:rsidR="0020732B" w:rsidRPr="005C2CEC">
        <w:t>príprave investičných projektov</w:t>
      </w:r>
      <w:r w:rsidRPr="005C2CEC">
        <w:t xml:space="preserve">, ktorých predpokladaná hodnota je </w:t>
      </w:r>
      <w:r w:rsidR="00F33DB1" w:rsidRPr="005C2CEC">
        <w:t xml:space="preserve">pod </w:t>
      </w:r>
      <w:r w:rsidR="006077A0" w:rsidRPr="006077A0">
        <w:t xml:space="preserve">ustanovenou </w:t>
      </w:r>
      <w:r w:rsidR="00F33DB1" w:rsidRPr="005C2CEC">
        <w:t>hranicou a zároveň</w:t>
      </w:r>
      <w:r w:rsidRPr="005C2CEC">
        <w:t xml:space="preserve"> vyššia ako 1 mil. eur</w:t>
      </w:r>
      <w:r w:rsidR="00B836F8" w:rsidRPr="005C2CEC">
        <w:t>,</w:t>
      </w:r>
      <w:r w:rsidR="00A23B7B" w:rsidRPr="005C2CEC">
        <w:t xml:space="preserve"> sa </w:t>
      </w:r>
      <w:r w:rsidRPr="005C2CEC">
        <w:t xml:space="preserve">Investor riadi </w:t>
      </w:r>
      <w:r w:rsidR="00F33DB1" w:rsidRPr="005C2CEC">
        <w:t>internými pravidlami uvedenými</w:t>
      </w:r>
      <w:r w:rsidR="0034491A" w:rsidRPr="005C2CEC">
        <w:t xml:space="preserve"> v</w:t>
      </w:r>
      <w:r w:rsidR="00856CC8" w:rsidRPr="005C2CEC">
        <w:t xml:space="preserve"> schválenej</w:t>
      </w:r>
      <w:r w:rsidR="0034491A" w:rsidRPr="005C2CEC">
        <w:t> </w:t>
      </w:r>
      <w:r w:rsidR="00B9011E" w:rsidRPr="005C2CEC">
        <w:t>sektorovej i</w:t>
      </w:r>
      <w:r w:rsidR="0034491A" w:rsidRPr="005C2CEC">
        <w:t>nvestičnej</w:t>
      </w:r>
      <w:r w:rsidR="000218F2" w:rsidRPr="005C2CEC">
        <w:t xml:space="preserve"> stratégii príslušného ministerstva</w:t>
      </w:r>
      <w:r w:rsidRPr="005C2CEC">
        <w:t>.</w:t>
      </w:r>
      <w:r w:rsidR="000E4C38">
        <w:t xml:space="preserve"> V prípade, že príslušné sa na ministerstvo nevzťahuje povinnosť vypracovať sektorovú investičnú stratégiu, Investor zohľadňuje interné pravidlá a platné predpisy vzťahujúce sa na predmetný investičný projekt.</w:t>
      </w:r>
    </w:p>
    <w:p w14:paraId="111BBE7E" w14:textId="1995399D" w:rsidR="00F33DB1" w:rsidRDefault="00D21FD7" w:rsidP="00F33DB1">
      <w:r w:rsidRPr="005C2CEC">
        <w:t>Pre tento typ investičných projektov nie je potrebné vypracovať štúdiu uskutočniteľnosti</w:t>
      </w:r>
      <w:r w:rsidR="00E13674" w:rsidRPr="005C2CEC">
        <w:t>, s výnimkou projektov, pri ktorých je vypracovanie štúdie uskutočniteľnosti špecificky vyžadované (napr. pri financovaní zo zdrojov EÚ</w:t>
      </w:r>
      <w:r w:rsidR="00C6652A">
        <w:t xml:space="preserve">, investíciách v informatizácii podľa pravidiel vyhlášky č. 85/2020 Z. z., </w:t>
      </w:r>
      <w:r w:rsidR="00ED6E8A">
        <w:t>koncesiách s hodnotou podľa osobitného predpisu</w:t>
      </w:r>
      <w:r w:rsidR="00487501">
        <w:rPr>
          <w:rStyle w:val="Odkaznapoznmkupodiarou"/>
        </w:rPr>
        <w:footnoteReference w:id="11"/>
      </w:r>
      <w:r w:rsidR="00ED6E8A">
        <w:t>, a pod.</w:t>
      </w:r>
      <w:r w:rsidR="00E13674" w:rsidRPr="005C2CEC">
        <w:t>)</w:t>
      </w:r>
      <w:r w:rsidRPr="005C2CEC">
        <w:t>.</w:t>
      </w:r>
    </w:p>
    <w:p w14:paraId="34BA35FD" w14:textId="194BF289" w:rsidR="001D08C5" w:rsidRDefault="001D08C5" w:rsidP="00F33DB1">
      <w:r w:rsidRPr="005C2CEC">
        <w:lastRenderedPageBreak/>
        <w:t>Pri príprave investičných projektov</w:t>
      </w:r>
      <w:r>
        <w:t xml:space="preserve"> pod ustanovenou hranicou</w:t>
      </w:r>
      <w:r w:rsidRPr="005C2CEC">
        <w:t xml:space="preserve"> v oblasti informatizácie Investor zohľadní podmienky vyplývajúce z </w:t>
      </w:r>
      <w:hyperlink r:id="rId38" w:history="1">
        <w:r w:rsidRPr="002522E9">
          <w:rPr>
            <w:rStyle w:val="Hypertextovprepojenie"/>
          </w:rPr>
          <w:t>vyhlášky Úradu podpredsedu vlády SR pre investície a informatizáciu č. 85/2020 Z. z. o riadení projektov</w:t>
        </w:r>
      </w:hyperlink>
      <w:r w:rsidRPr="005C2CEC">
        <w:t>.</w:t>
      </w:r>
    </w:p>
    <w:p w14:paraId="0CCDFB82" w14:textId="2417D715" w:rsidR="00373943" w:rsidRPr="005C2CEC" w:rsidRDefault="00373943" w:rsidP="00577F95">
      <w:r w:rsidRPr="005C2CEC">
        <w:t>Pre koncesie s celkovou predpokladanou hodnotou rovnou alebo vyššou, ako je hodnota ustanovená osobitným predpisom</w:t>
      </w:r>
      <w:r w:rsidRPr="005C2CEC">
        <w:rPr>
          <w:vertAlign w:val="superscript"/>
        </w:rPr>
        <w:footnoteReference w:id="12"/>
      </w:r>
      <w:r w:rsidRPr="005C2CEC">
        <w:t xml:space="preserve"> (v </w:t>
      </w:r>
      <w:r>
        <w:t xml:space="preserve">čase tvorby </w:t>
      </w:r>
      <w:r w:rsidR="00B608EA">
        <w:t>Metodiky</w:t>
      </w:r>
      <w:r w:rsidRPr="005C2CEC">
        <w:t xml:space="preserve"> je finančný limit pre nadlimitnú koncesiu 5,</w:t>
      </w:r>
      <w:r>
        <w:t>35</w:t>
      </w:r>
      <w:r w:rsidRPr="005C2CEC">
        <w:t xml:space="preserve"> mil. eur) a zároveň nižšou ako je </w:t>
      </w:r>
      <w:r>
        <w:t>ustanovená</w:t>
      </w:r>
      <w:r w:rsidRPr="006077A0">
        <w:t xml:space="preserve"> </w:t>
      </w:r>
      <w:r w:rsidRPr="005C2CEC">
        <w:t xml:space="preserve">hranica, pripraví investor štúdiu uskutočniteľnosti </w:t>
      </w:r>
      <w:r w:rsidR="008E0D4E">
        <w:t>(vrátane finančnej a ekonomickej analýzy)</w:t>
      </w:r>
      <w:r w:rsidR="008E0D4E" w:rsidRPr="005C2CEC">
        <w:t xml:space="preserve"> </w:t>
      </w:r>
      <w:r w:rsidRPr="005C2CEC">
        <w:t xml:space="preserve">vypracovanú podľa metodického dokumentu </w:t>
      </w:r>
      <w:hyperlink r:id="rId39" w:history="1">
        <w:r w:rsidRPr="002522E9">
          <w:rPr>
            <w:rStyle w:val="Hypertextovprepojenie"/>
            <w:i/>
          </w:rPr>
          <w:t>Obsah a požiadavky na štúdiu uskutočniteľnosti a komparátor verejného sektora (Public sector comparator)</w:t>
        </w:r>
      </w:hyperlink>
      <w:r w:rsidR="00AF4241">
        <w:t>.</w:t>
      </w:r>
    </w:p>
    <w:p w14:paraId="64E9BECB" w14:textId="138F475F" w:rsidR="00D848C8" w:rsidRPr="005C2CEC" w:rsidRDefault="00A67BFD" w:rsidP="0092546B">
      <w:r w:rsidRPr="005C2CEC">
        <w:t xml:space="preserve">Podrobnosti týkajúce sa postupu hodnotenia investičných projektov </w:t>
      </w:r>
      <w:r w:rsidR="00487501">
        <w:t xml:space="preserve">pod ustanovenou hranicou </w:t>
      </w:r>
      <w:r w:rsidRPr="005C2CEC">
        <w:t>sú uvedené v</w:t>
      </w:r>
      <w:r w:rsidR="000218F2" w:rsidRPr="005C2CEC">
        <w:t> </w:t>
      </w:r>
      <w:r w:rsidRPr="005C2CEC">
        <w:t>kapitole</w:t>
      </w:r>
      <w:r w:rsidR="000218F2" w:rsidRPr="005C2CEC">
        <w:t xml:space="preserve"> </w:t>
      </w:r>
      <w:r w:rsidR="000218F2" w:rsidRPr="005C2CEC">
        <w:fldChar w:fldCharType="begin"/>
      </w:r>
      <w:r w:rsidR="000218F2" w:rsidRPr="005C2CEC">
        <w:instrText xml:space="preserve"> REF _Ref56685496 \r \h </w:instrText>
      </w:r>
      <w:r w:rsidR="005C2CEC">
        <w:instrText xml:space="preserve"> \* MERGEFORMAT </w:instrText>
      </w:r>
      <w:r w:rsidR="000218F2" w:rsidRPr="005C2CEC">
        <w:fldChar w:fldCharType="separate"/>
      </w:r>
      <w:r w:rsidR="000D2AF7">
        <w:t>5.2</w:t>
      </w:r>
      <w:r w:rsidR="000218F2" w:rsidRPr="005C2CEC">
        <w:fldChar w:fldCharType="end"/>
      </w:r>
      <w:r w:rsidR="000218F2" w:rsidRPr="005C2CEC">
        <w:t>.</w:t>
      </w:r>
    </w:p>
    <w:p w14:paraId="3586BD49" w14:textId="7DA3845E" w:rsidR="00996694" w:rsidRPr="005C2CEC" w:rsidRDefault="006E3B9C" w:rsidP="00996694">
      <w:pPr>
        <w:pStyle w:val="Nadpis2"/>
      </w:pPr>
      <w:bookmarkStart w:id="119" w:name="_Ref45024676"/>
      <w:bookmarkStart w:id="120" w:name="_Ref45025176"/>
      <w:bookmarkStart w:id="121" w:name="_Toc83651082"/>
      <w:r w:rsidRPr="005C2CEC">
        <w:t>Príprava investičného projektu</w:t>
      </w:r>
      <w:r w:rsidR="00557666" w:rsidRPr="005C2CEC">
        <w:t xml:space="preserve"> nad </w:t>
      </w:r>
      <w:r w:rsidR="006077A0" w:rsidRPr="006077A0">
        <w:t xml:space="preserve">ustanovenou </w:t>
      </w:r>
      <w:r w:rsidR="00557666" w:rsidRPr="005C2CEC">
        <w:t>hranicou</w:t>
      </w:r>
      <w:bookmarkEnd w:id="119"/>
      <w:bookmarkEnd w:id="120"/>
      <w:bookmarkEnd w:id="121"/>
    </w:p>
    <w:p w14:paraId="122295F9" w14:textId="7664AD4E" w:rsidR="0097111B" w:rsidRDefault="00FE50F3" w:rsidP="00996694">
      <w:r>
        <w:t xml:space="preserve">Na začiatku prípravy </w:t>
      </w:r>
      <w:r w:rsidR="00267C17" w:rsidRPr="005C2CEC">
        <w:t>investičn</w:t>
      </w:r>
      <w:r>
        <w:t>ého</w:t>
      </w:r>
      <w:r w:rsidR="00267C17" w:rsidRPr="005C2CEC">
        <w:t xml:space="preserve"> projekt</w:t>
      </w:r>
      <w:r>
        <w:t>u</w:t>
      </w:r>
      <w:r w:rsidR="00996694" w:rsidRPr="005C2CEC">
        <w:t xml:space="preserve"> s hodnotou </w:t>
      </w:r>
      <w:r w:rsidR="00557666" w:rsidRPr="005C2CEC">
        <w:t xml:space="preserve">nad </w:t>
      </w:r>
      <w:r w:rsidR="006077A0" w:rsidRPr="006077A0">
        <w:t xml:space="preserve">ustanovenou </w:t>
      </w:r>
      <w:r w:rsidR="00557666" w:rsidRPr="005C2CEC">
        <w:t>hranicou</w:t>
      </w:r>
      <w:r w:rsidR="00231214" w:rsidRPr="005C2CEC">
        <w:rPr>
          <w:rStyle w:val="Odkaznapoznmkupodiarou"/>
        </w:rPr>
        <w:footnoteReference w:id="13"/>
      </w:r>
      <w:r w:rsidR="00996694" w:rsidRPr="005C2CEC">
        <w:t xml:space="preserve"> Investor </w:t>
      </w:r>
      <w:r w:rsidR="005F0EFB" w:rsidRPr="005C2CEC">
        <w:t xml:space="preserve">vypracuje </w:t>
      </w:r>
      <w:r w:rsidR="00996694" w:rsidRPr="005C2CEC">
        <w:t>štúdiu uskutočniteľnosti investície alebo štúdiu uskutočniteľnosti koncesie</w:t>
      </w:r>
      <w:r w:rsidR="00996694" w:rsidRPr="005C2CEC">
        <w:rPr>
          <w:vertAlign w:val="superscript"/>
        </w:rPr>
        <w:footnoteReference w:id="14"/>
      </w:r>
      <w:r w:rsidR="00996694" w:rsidRPr="005C2CEC">
        <w:t xml:space="preserve"> </w:t>
      </w:r>
      <w:r w:rsidRPr="005C2CEC">
        <w:t xml:space="preserve">v súlade s § 19a </w:t>
      </w:r>
      <w:r>
        <w:t>z</w:t>
      </w:r>
      <w:r w:rsidRPr="005C2CEC">
        <w:t>ákona</w:t>
      </w:r>
      <w:r>
        <w:t xml:space="preserve"> č. 523/2004 Z. z.</w:t>
      </w:r>
      <w:r w:rsidR="0097111B">
        <w:t xml:space="preserve"> </w:t>
      </w:r>
      <w:r w:rsidR="00767706" w:rsidRPr="005C2CEC">
        <w:t xml:space="preserve">Pri príprave podkladov </w:t>
      </w:r>
      <w:r w:rsidR="006C7917" w:rsidRPr="005C2CEC">
        <w:t xml:space="preserve">pre štúdiu uskutočniteľnosti </w:t>
      </w:r>
      <w:r w:rsidR="00F20FD5" w:rsidRPr="005C2CEC">
        <w:t xml:space="preserve">je odporúčané aby </w:t>
      </w:r>
      <w:r w:rsidR="00217446" w:rsidRPr="005C2CEC">
        <w:t xml:space="preserve">Investor </w:t>
      </w:r>
      <w:r w:rsidR="00F20FD5" w:rsidRPr="005C2CEC">
        <w:t xml:space="preserve">nadviazal spoluprácu </w:t>
      </w:r>
      <w:r w:rsidR="00217446" w:rsidRPr="005C2CEC">
        <w:t>s </w:t>
      </w:r>
      <w:r w:rsidR="00CF3BB2">
        <w:t>rezortnou</w:t>
      </w:r>
      <w:r w:rsidR="00CF3BB2" w:rsidRPr="005C2CEC">
        <w:t xml:space="preserve"> </w:t>
      </w:r>
      <w:r w:rsidR="00217446" w:rsidRPr="005C2CEC">
        <w:t>analytickou jednotkou</w:t>
      </w:r>
      <w:r w:rsidR="00CF3BB2">
        <w:t xml:space="preserve"> na príslušnom ministerstve</w:t>
      </w:r>
      <w:r w:rsidR="00767706" w:rsidRPr="005C2CEC">
        <w:t>.</w:t>
      </w:r>
    </w:p>
    <w:p w14:paraId="78A2A040" w14:textId="1CE1E36F" w:rsidR="007273D1" w:rsidRDefault="00856CC8" w:rsidP="00996694">
      <w:r w:rsidRPr="005C2CEC">
        <w:t>Do priebehu</w:t>
      </w:r>
      <w:r w:rsidR="00767706" w:rsidRPr="005C2CEC">
        <w:t xml:space="preserve"> prípravy projektu </w:t>
      </w:r>
      <w:r w:rsidRPr="005C2CEC">
        <w:t xml:space="preserve">Investor </w:t>
      </w:r>
      <w:r w:rsidR="00767706" w:rsidRPr="005C2CEC">
        <w:t>zapoj</w:t>
      </w:r>
      <w:r w:rsidRPr="005C2CEC">
        <w:t>í</w:t>
      </w:r>
      <w:r w:rsidR="00767706" w:rsidRPr="005C2CEC">
        <w:t xml:space="preserve"> MF SR (napr. pri príprave zadávacích podmienok súťaže</w:t>
      </w:r>
      <w:r w:rsidR="0097111B">
        <w:t>,</w:t>
      </w:r>
      <w:r w:rsidR="00767706" w:rsidRPr="005C2CEC">
        <w:t xml:space="preserve"> </w:t>
      </w:r>
      <w:r w:rsidR="0097111B">
        <w:t>príprave</w:t>
      </w:r>
      <w:r w:rsidR="00767706" w:rsidRPr="005C2CEC">
        <w:t xml:space="preserve"> projektovej dokumentácie, </w:t>
      </w:r>
      <w:r w:rsidR="00321711" w:rsidRPr="005C2CEC">
        <w:t xml:space="preserve">pri opise predmetu zákazky pred verejným obstarávaním zhotoviteľa štúdie uskutočniteľnosti, </w:t>
      </w:r>
      <w:r w:rsidR="00767706" w:rsidRPr="005C2CEC">
        <w:t>počas prípravy štúdie uskutočniteľnosti, pred prebratím štúdie</w:t>
      </w:r>
      <w:r w:rsidR="0097111B">
        <w:t xml:space="preserve"> a inej projektovej</w:t>
      </w:r>
      <w:r w:rsidR="00767706" w:rsidRPr="005C2CEC">
        <w:t xml:space="preserve"> dokumentácie</w:t>
      </w:r>
      <w:r w:rsidR="0097111B">
        <w:t xml:space="preserve"> od dodávateľa</w:t>
      </w:r>
      <w:r w:rsidR="00767706" w:rsidRPr="005C2CEC">
        <w:t>, či do hodnotiacich a monitorovacích komisií).</w:t>
      </w:r>
      <w:r w:rsidR="003725ED">
        <w:t xml:space="preserve"> </w:t>
      </w:r>
      <w:r w:rsidR="0097111B" w:rsidRPr="005C2CEC">
        <w:t>MF SR je oprávnené</w:t>
      </w:r>
      <w:r w:rsidR="0097111B">
        <w:rPr>
          <w:rStyle w:val="Odkaznapoznmkupodiarou"/>
        </w:rPr>
        <w:footnoteReference w:id="15"/>
      </w:r>
      <w:r w:rsidR="0097111B" w:rsidRPr="005C2CEC">
        <w:t xml:space="preserve"> na základe písomnej žiadosti zaslanej Investorovi požiadať o všetky informácie a d</w:t>
      </w:r>
      <w:r w:rsidR="0097111B">
        <w:t>okumenty týkajúce sa prípravy</w:t>
      </w:r>
      <w:r w:rsidR="0097111B" w:rsidRPr="005C2CEC">
        <w:t xml:space="preserve"> investičného projektu. Investor poskytne požadované informácie a do</w:t>
      </w:r>
      <w:r w:rsidR="0097111B">
        <w:t xml:space="preserve">kumenty v lehote určenej MF SR, ktorá nemôže byť kratšia ako </w:t>
      </w:r>
      <w:r w:rsidR="0097111B" w:rsidRPr="005C2CEC">
        <w:t>10 kalendárnych dní.</w:t>
      </w:r>
      <w:r w:rsidR="0097111B">
        <w:t xml:space="preserve"> </w:t>
      </w:r>
      <w:r w:rsidR="003725ED">
        <w:t>V</w:t>
      </w:r>
      <w:r w:rsidR="00AC0DE2">
        <w:t> </w:t>
      </w:r>
      <w:r w:rsidR="003725ED">
        <w:t>prípade</w:t>
      </w:r>
      <w:r w:rsidR="00AC0DE2">
        <w:t>,</w:t>
      </w:r>
      <w:r w:rsidR="003725ED">
        <w:t xml:space="preserve"> ak informácie týkajúce sa prípravy investičného projektu podliehajú osobitnému režimu, budú za účelom ekonomického hodnotenia MF SR poskytnuté na zák</w:t>
      </w:r>
      <w:r w:rsidR="00DD63F8">
        <w:t>lade uzatvorenej dohody</w:t>
      </w:r>
      <w:r w:rsidR="003725ED">
        <w:t xml:space="preserve"> o mlčanlivosti alebo na základe účasti MF SR v relevantnej pracovnej skupine.</w:t>
      </w:r>
    </w:p>
    <w:p w14:paraId="152D7708" w14:textId="1946F04E" w:rsidR="00767706" w:rsidRPr="005C2CEC" w:rsidRDefault="006F20E4" w:rsidP="00996694">
      <w:r w:rsidRPr="005C2CEC">
        <w:t xml:space="preserve">V prípade, že Investor plánuje obstarať zhotovenie štúdie uskutočniteľnosti externými kapacitami </w:t>
      </w:r>
      <w:r w:rsidR="003725ED">
        <w:t xml:space="preserve">je nevyhnutné, aby pri stanovení súťažných podmienok a úprave zmluvného vzťahu s dodávateľom adekvátne zohľadnil budúcu potrebu aktualizácie štúdie uskutočniteľnosti </w:t>
      </w:r>
      <w:r w:rsidR="00876DF0">
        <w:t xml:space="preserve">(napr. </w:t>
      </w:r>
      <w:r w:rsidR="0072404E">
        <w:t>požadovať</w:t>
      </w:r>
      <w:r w:rsidR="0097111B">
        <w:t xml:space="preserve"> od dodávateľa</w:t>
      </w:r>
      <w:r w:rsidR="0072404E">
        <w:t xml:space="preserve"> predloženie </w:t>
      </w:r>
      <w:r w:rsidR="0097111B">
        <w:t xml:space="preserve">štúdie a jej príloh </w:t>
      </w:r>
      <w:r w:rsidR="0072404E">
        <w:t>aj v spracovateľnom formáte za účelom</w:t>
      </w:r>
      <w:r w:rsidR="00876DF0">
        <w:t xml:space="preserve"> úpravy vybraných vstupných parametrov alebo korekcie použitých vzorcov)</w:t>
      </w:r>
      <w:r w:rsidRPr="005C2CEC">
        <w:t xml:space="preserve">. </w:t>
      </w:r>
      <w:r w:rsidR="00967518" w:rsidRPr="005C2CEC">
        <w:t xml:space="preserve">Týmto opatrením Investor zrýchli a zjednoduší proces prípravy investičného projektu. </w:t>
      </w:r>
    </w:p>
    <w:p w14:paraId="4DC19D2B" w14:textId="3321342A" w:rsidR="00CE18C0" w:rsidRPr="005C2CEC" w:rsidRDefault="00CE18C0" w:rsidP="00CE18C0">
      <w:pPr>
        <w:pStyle w:val="Popis"/>
      </w:pPr>
      <w:bookmarkStart w:id="122" w:name="_Toc83651101"/>
      <w:r w:rsidRPr="005C2CEC">
        <w:lastRenderedPageBreak/>
        <w:t xml:space="preserve">Schéma </w:t>
      </w:r>
      <w:r w:rsidR="00E516AE">
        <w:fldChar w:fldCharType="begin"/>
      </w:r>
      <w:r w:rsidR="00E516AE">
        <w:instrText xml:space="preserve"> SEQ Schéma \* ARABIC </w:instrText>
      </w:r>
      <w:r w:rsidR="00E516AE">
        <w:fldChar w:fldCharType="separate"/>
      </w:r>
      <w:r w:rsidR="000D2AF7">
        <w:rPr>
          <w:noProof/>
        </w:rPr>
        <w:t>5</w:t>
      </w:r>
      <w:r w:rsidR="00E516AE">
        <w:rPr>
          <w:noProof/>
        </w:rPr>
        <w:fldChar w:fldCharType="end"/>
      </w:r>
      <w:r w:rsidRPr="005C2CEC">
        <w:t>: Postup pri príprave investičných projektov</w:t>
      </w:r>
      <w:r w:rsidR="004C737F" w:rsidRPr="005C2CEC">
        <w:t xml:space="preserve"> s hodnotou</w:t>
      </w:r>
      <w:r w:rsidRPr="005C2CEC">
        <w:t xml:space="preserve"> nad </w:t>
      </w:r>
      <w:r w:rsidR="006077A0" w:rsidRPr="006077A0">
        <w:t xml:space="preserve">ustanovenou </w:t>
      </w:r>
      <w:r w:rsidR="00557666" w:rsidRPr="005C2CEC">
        <w:t>hranicou</w:t>
      </w:r>
      <w:bookmarkEnd w:id="122"/>
    </w:p>
    <w:p w14:paraId="646941E8" w14:textId="5265360A" w:rsidR="006E3B9C" w:rsidRDefault="001109B1" w:rsidP="002E20AD">
      <w:r>
        <w:rPr>
          <w:noProof/>
          <w:lang w:eastAsia="sk-SK"/>
        </w:rPr>
        <w:drawing>
          <wp:inline distT="0" distB="0" distL="0" distR="0" wp14:anchorId="2D849498" wp14:editId="07275AB7">
            <wp:extent cx="4600453" cy="2321366"/>
            <wp:effectExtent l="0" t="0" r="0" b="317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614128" cy="2328266"/>
                    </a:xfrm>
                    <a:prstGeom prst="rect">
                      <a:avLst/>
                    </a:prstGeom>
                    <a:noFill/>
                  </pic:spPr>
                </pic:pic>
              </a:graphicData>
            </a:graphic>
          </wp:inline>
        </w:drawing>
      </w:r>
    </w:p>
    <w:p w14:paraId="0DC6678C" w14:textId="34DA21FF" w:rsidR="007273D1" w:rsidRPr="00C66FB3" w:rsidRDefault="007273D1" w:rsidP="007273D1">
      <w:pPr>
        <w:rPr>
          <w:iCs/>
        </w:rPr>
      </w:pPr>
      <w:r w:rsidRPr="00C66FB3">
        <w:rPr>
          <w:iCs/>
        </w:rPr>
        <w:t>Pre potreby Investorov pri obsahovej príprave investičných projektov s hodnotou na</w:t>
      </w:r>
      <w:r w:rsidR="00515EDE">
        <w:rPr>
          <w:iCs/>
        </w:rPr>
        <w:t>d</w:t>
      </w:r>
      <w:r w:rsidRPr="00C66FB3">
        <w:rPr>
          <w:iCs/>
        </w:rPr>
        <w:t xml:space="preserve"> ustanovenou hranicou bude zriadená nová jednotka pod MIRRI SR. Úlohou jednotky bude </w:t>
      </w:r>
      <w:r w:rsidR="002522E9" w:rsidRPr="00C66FB3">
        <w:rPr>
          <w:iCs/>
        </w:rPr>
        <w:t xml:space="preserve">v spolupráci so </w:t>
      </w:r>
      <w:r w:rsidR="00595661">
        <w:rPr>
          <w:iCs/>
        </w:rPr>
        <w:t>Slovak Investment Holding (ďalej len „</w:t>
      </w:r>
      <w:r w:rsidR="002522E9" w:rsidRPr="00C66FB3">
        <w:rPr>
          <w:iCs/>
        </w:rPr>
        <w:t>SIH</w:t>
      </w:r>
      <w:r w:rsidR="00595661">
        <w:rPr>
          <w:iCs/>
        </w:rPr>
        <w:t>“)</w:t>
      </w:r>
      <w:r w:rsidR="002522E9">
        <w:rPr>
          <w:iCs/>
        </w:rPr>
        <w:t xml:space="preserve"> </w:t>
      </w:r>
      <w:r w:rsidRPr="00C66FB3">
        <w:rPr>
          <w:iCs/>
        </w:rPr>
        <w:t>poskytovať odbornú technickú asistenciu v prípravných fázach procesu, od identifikácie investičného projektu až po jeho schválenie. Jednotka bude zároveň podľa kapacitných možností poskytovať súčinnosť ministerstvám pri vypracovaní sektorových investičných stratégií, priorizácii investičných projektov a tvorbe investičných plánov. Pri plnení uvedených úloh jednotka spolupracuje s analytickými kapacitami na príslušnom ministerstve.</w:t>
      </w:r>
    </w:p>
    <w:p w14:paraId="0F7F0D6D" w14:textId="77777777" w:rsidR="007273D1" w:rsidRPr="00C66FB3" w:rsidRDefault="007273D1" w:rsidP="007273D1">
      <w:pPr>
        <w:rPr>
          <w:iCs/>
        </w:rPr>
      </w:pPr>
      <w:r w:rsidRPr="00C66FB3">
        <w:rPr>
          <w:iCs/>
        </w:rPr>
        <w:t>O začiatku prípravy investičného projektu s hodnotou nad ustanovenou hranicou Investor informuje jednotku technickej asistencie na MIRRI. Súčinnosť jednotky bude zameraná najmä na pomoc a usmernenie pri:</w:t>
      </w:r>
    </w:p>
    <w:p w14:paraId="1832BE7B" w14:textId="77777777" w:rsidR="007273D1" w:rsidRPr="00C66FB3" w:rsidRDefault="007273D1" w:rsidP="007273D1">
      <w:pPr>
        <w:pStyle w:val="Odsekzoznamu"/>
        <w:numPr>
          <w:ilvl w:val="0"/>
          <w:numId w:val="41"/>
        </w:numPr>
      </w:pPr>
      <w:r w:rsidRPr="00C66FB3">
        <w:t>príprave a oponentúre štúdie uskutočniteľnosti (vrátane stanovenia relevantných alternatív a očakávaných prínosov),</w:t>
      </w:r>
    </w:p>
    <w:p w14:paraId="6DC22AC8" w14:textId="77777777" w:rsidR="007273D1" w:rsidRPr="00C66FB3" w:rsidRDefault="007273D1" w:rsidP="007273D1">
      <w:pPr>
        <w:pStyle w:val="Odsekzoznamu"/>
        <w:numPr>
          <w:ilvl w:val="0"/>
          <w:numId w:val="41"/>
        </w:numPr>
      </w:pPr>
      <w:r w:rsidRPr="00C66FB3">
        <w:t>stanovení vhodných predpokladov v analýze nákladov a prínosov,</w:t>
      </w:r>
    </w:p>
    <w:p w14:paraId="4CF01A0A" w14:textId="77777777" w:rsidR="007273D1" w:rsidRPr="00C66FB3" w:rsidRDefault="007273D1" w:rsidP="007273D1">
      <w:pPr>
        <w:pStyle w:val="Odsekzoznamu"/>
        <w:numPr>
          <w:ilvl w:val="0"/>
          <w:numId w:val="41"/>
        </w:numPr>
      </w:pPr>
      <w:r w:rsidRPr="00C66FB3">
        <w:t>technickej špecifikácii investičného projektu,</w:t>
      </w:r>
    </w:p>
    <w:p w14:paraId="3223D451" w14:textId="77777777" w:rsidR="007273D1" w:rsidRPr="00C66FB3" w:rsidRDefault="007273D1" w:rsidP="007273D1">
      <w:pPr>
        <w:pStyle w:val="Odsekzoznamu"/>
        <w:numPr>
          <w:ilvl w:val="0"/>
          <w:numId w:val="41"/>
        </w:numPr>
      </w:pPr>
      <w:r w:rsidRPr="00C66FB3">
        <w:t>vypracovaní projektovej dokumentácie.</w:t>
      </w:r>
    </w:p>
    <w:p w14:paraId="2394E35F" w14:textId="15D28812" w:rsidR="007273D1" w:rsidRDefault="007273D1" w:rsidP="007273D1">
      <w:r w:rsidRPr="00D156CF">
        <w:rPr>
          <w:iCs/>
        </w:rPr>
        <w:t xml:space="preserve">Cieľom vytvorenia jednotky je zrýchliť proces prípravy a zabezpečiť kvalitnú prípravu investičných projektov tak, aby ich implementácia prebehla v súlade so stanoveným časovým harmonogramom, v rámcoch naplánovaných projektových výdavkov a zabezpečiť, aby projektová dokumentácia zodpovedala očakávaným štandardom na národnej a európskej úrovni. Asistencia bude poskytovaná pre investičné projekty financované zo štátneho rozpočtu, z externých zdrojov (napr. EŠIF, REACT, </w:t>
      </w:r>
      <w:r w:rsidR="00A95A41">
        <w:rPr>
          <w:iCs/>
        </w:rPr>
        <w:t>POO</w:t>
      </w:r>
      <w:r w:rsidRPr="00D156CF">
        <w:rPr>
          <w:iCs/>
        </w:rPr>
        <w:t>), ako aj projekty financované návratnými formami (napr. EIB atď.).</w:t>
      </w:r>
    </w:p>
    <w:p w14:paraId="4BDB35C3" w14:textId="4BE5A34D" w:rsidR="009C72F7" w:rsidRPr="007E531F" w:rsidRDefault="009C72F7" w:rsidP="009C72F7">
      <w:pPr>
        <w:pStyle w:val="Popis"/>
      </w:pPr>
      <w:r w:rsidRPr="007E531F">
        <w:t xml:space="preserve">Box </w:t>
      </w:r>
      <w:r w:rsidRPr="007E531F">
        <w:rPr>
          <w:noProof/>
        </w:rPr>
        <w:fldChar w:fldCharType="begin"/>
      </w:r>
      <w:r w:rsidRPr="007E531F">
        <w:rPr>
          <w:noProof/>
        </w:rPr>
        <w:instrText xml:space="preserve"> SEQ Box \* ARABIC </w:instrText>
      </w:r>
      <w:r w:rsidRPr="007E531F">
        <w:rPr>
          <w:noProof/>
        </w:rPr>
        <w:fldChar w:fldCharType="separate"/>
      </w:r>
      <w:r w:rsidR="000D2AF7">
        <w:rPr>
          <w:noProof/>
        </w:rPr>
        <w:t>8</w:t>
      </w:r>
      <w:r w:rsidRPr="007E531F">
        <w:rPr>
          <w:noProof/>
        </w:rPr>
        <w:fldChar w:fldCharType="end"/>
      </w:r>
      <w:r w:rsidRPr="007E531F">
        <w:t xml:space="preserve">: </w:t>
      </w:r>
      <w:r>
        <w:t>Úloha analytických jednotiek v procese riadenia verejných investícií</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Layout w:type="fixed"/>
        <w:tblLook w:val="04A0" w:firstRow="1" w:lastRow="0" w:firstColumn="1" w:lastColumn="0" w:noHBand="0" w:noVBand="1"/>
      </w:tblPr>
      <w:tblGrid>
        <w:gridCol w:w="9062"/>
      </w:tblGrid>
      <w:tr w:rsidR="009C72F7" w:rsidRPr="007E531F" w14:paraId="0D512DD3" w14:textId="77777777" w:rsidTr="00237E2C">
        <w:tc>
          <w:tcPr>
            <w:tcW w:w="9062" w:type="dxa"/>
            <w:shd w:val="clear" w:color="auto" w:fill="DEEAF6" w:themeFill="accent1" w:themeFillTint="33"/>
          </w:tcPr>
          <w:p w14:paraId="2310FE89" w14:textId="1F00BB22" w:rsidR="0048226F" w:rsidRDefault="009C72F7" w:rsidP="00237E2C">
            <w:r>
              <w:t xml:space="preserve">Rezortné analytické jednotky aktívne vstupujú do celého procesu riadenia verejných investícií. </w:t>
            </w:r>
            <w:r w:rsidR="00B96368">
              <w:t>Analytické jednotky by mali kvalitu projektov podchytiť už v počiatočnej fáze ich prípravy.</w:t>
            </w:r>
            <w:r w:rsidRPr="00F33C51">
              <w:t xml:space="preserve"> </w:t>
            </w:r>
            <w:r w:rsidR="0048226F">
              <w:t>Na budovanie analytických kapacít sú v rozpočte verejnej správy zabezpečené potrebné zdroje.</w:t>
            </w:r>
          </w:p>
          <w:p w14:paraId="0AB98ED2" w14:textId="3B5E405E" w:rsidR="009C72F7" w:rsidRDefault="009C72F7" w:rsidP="00237E2C">
            <w:r>
              <w:t>V</w:t>
            </w:r>
            <w:r w:rsidR="0019117F">
              <w:t> </w:t>
            </w:r>
            <w:r>
              <w:t>zmysle</w:t>
            </w:r>
            <w:r w:rsidR="0019117F">
              <w:t xml:space="preserve"> </w:t>
            </w:r>
            <w:hyperlink r:id="rId41" w:history="1">
              <w:r w:rsidRPr="002522E9">
                <w:rPr>
                  <w:rStyle w:val="Hypertextovprepojenie"/>
                </w:rPr>
                <w:t>Metodiky budovania analytických kapacít v štátnej správe</w:t>
              </w:r>
            </w:hyperlink>
            <w:r>
              <w:t xml:space="preserve">, ktorej garantom je Riadiaci výbor pre analytické jednotky, plní analytická jednotka </w:t>
            </w:r>
            <w:r w:rsidR="0019117F">
              <w:t xml:space="preserve">v investičnom procese </w:t>
            </w:r>
            <w:r>
              <w:t>nasledovné úlohy:</w:t>
            </w:r>
          </w:p>
          <w:p w14:paraId="33F75F55" w14:textId="566A42A5" w:rsidR="009C72F7" w:rsidRDefault="009C72F7" w:rsidP="009C72F7">
            <w:pPr>
              <w:pStyle w:val="Odsekzoznamu"/>
              <w:numPr>
                <w:ilvl w:val="0"/>
                <w:numId w:val="42"/>
              </w:numPr>
            </w:pPr>
            <w:r w:rsidRPr="00F33C51">
              <w:t>podieľa sa na nastavovaní priorít, cieľov a cieľových</w:t>
            </w:r>
            <w:r w:rsidR="0019117F">
              <w:t xml:space="preserve"> ukazovateľov výkonu inštitúcie</w:t>
            </w:r>
            <w:r w:rsidR="003F4DA3">
              <w:t xml:space="preserve"> (napr. pri spracovaní sektorovej investičnej stratégie)</w:t>
            </w:r>
            <w:r w:rsidR="0019117F">
              <w:t>,</w:t>
            </w:r>
          </w:p>
          <w:p w14:paraId="276E8722" w14:textId="77777777" w:rsidR="0019117F" w:rsidRDefault="009C72F7" w:rsidP="009C72F7">
            <w:pPr>
              <w:pStyle w:val="Odsekzoznamu"/>
              <w:numPr>
                <w:ilvl w:val="0"/>
                <w:numId w:val="42"/>
              </w:numPr>
            </w:pPr>
            <w:r w:rsidRPr="009C72F7">
              <w:lastRenderedPageBreak/>
              <w:t>pripravuje štúdie uskutočniteľnosti investičných projektov plánovaných v rámci danej inštitúcie alebo aspoň nákladovo-prínosovú analýzu štúdie uskutočniteľnosti, prípadne oponuje nákladovo-prínosovú analýzu alebo štúdiu uskutočniteľnosti pripravenú iným ú</w:t>
            </w:r>
            <w:r w:rsidR="0019117F">
              <w:t>tvarom v rámci jeho inštitúcie,</w:t>
            </w:r>
          </w:p>
          <w:p w14:paraId="34110DF5" w14:textId="77A241D9" w:rsidR="009C72F7" w:rsidRPr="007E531F" w:rsidRDefault="009C72F7" w:rsidP="009C72F7">
            <w:pPr>
              <w:pStyle w:val="Odsekzoznamu"/>
              <w:numPr>
                <w:ilvl w:val="0"/>
                <w:numId w:val="42"/>
              </w:numPr>
            </w:pPr>
            <w:r w:rsidRPr="009C72F7">
              <w:t>na hodnotení investičných projektov a pri príprave sektorových metodík posudzovania investícií spolupracuje vzhľadom na znalosť sektorových reálií vecne príslušná analytická jednotka s centrálnym odborom pre posudzovanie investícií v rámci Útvaru hodnoty za peniaze</w:t>
            </w:r>
            <w:r w:rsidR="003234AE">
              <w:t xml:space="preserve"> pri Ministerstve financií SR</w:t>
            </w:r>
            <w:r w:rsidR="0019117F">
              <w:t>.</w:t>
            </w:r>
          </w:p>
        </w:tc>
      </w:tr>
    </w:tbl>
    <w:p w14:paraId="7CD7F00F" w14:textId="09D5C92A" w:rsidR="00996694" w:rsidRPr="005C2CEC" w:rsidRDefault="00B45B08" w:rsidP="004C737F">
      <w:pPr>
        <w:pStyle w:val="Nadpis3"/>
      </w:pPr>
      <w:bookmarkStart w:id="123" w:name="_Ref45287927"/>
      <w:r>
        <w:lastRenderedPageBreak/>
        <w:t>P</w:t>
      </w:r>
      <w:r w:rsidR="00996694" w:rsidRPr="005C2CEC">
        <w:t>ríprav</w:t>
      </w:r>
      <w:r>
        <w:t>a</w:t>
      </w:r>
      <w:r w:rsidR="00996694" w:rsidRPr="005C2CEC">
        <w:t xml:space="preserve"> štúdie uskutočniteľnosti</w:t>
      </w:r>
      <w:r>
        <w:t xml:space="preserve"> investície</w:t>
      </w:r>
      <w:bookmarkEnd w:id="123"/>
    </w:p>
    <w:p w14:paraId="6DF61EB3" w14:textId="69930BC0" w:rsidR="004A216B" w:rsidRDefault="00856CC8" w:rsidP="00996694">
      <w:pPr>
        <w:rPr>
          <w:szCs w:val="24"/>
        </w:rPr>
      </w:pPr>
      <w:r w:rsidRPr="005C2CEC">
        <w:rPr>
          <w:szCs w:val="24"/>
        </w:rPr>
        <w:t>V štúdii</w:t>
      </w:r>
      <w:r w:rsidR="00996694" w:rsidRPr="005C2CEC">
        <w:rPr>
          <w:szCs w:val="24"/>
        </w:rPr>
        <w:t xml:space="preserve"> uskutočniteľnosti </w:t>
      </w:r>
      <w:r w:rsidRPr="005C2CEC">
        <w:rPr>
          <w:szCs w:val="24"/>
        </w:rPr>
        <w:t xml:space="preserve">Investor </w:t>
      </w:r>
      <w:r w:rsidR="005F0EFB" w:rsidRPr="005C2CEC">
        <w:rPr>
          <w:szCs w:val="24"/>
        </w:rPr>
        <w:t xml:space="preserve">opíše </w:t>
      </w:r>
      <w:r w:rsidR="00996694" w:rsidRPr="005C2CEC">
        <w:rPr>
          <w:szCs w:val="24"/>
        </w:rPr>
        <w:t xml:space="preserve">plánovaný investičný </w:t>
      </w:r>
      <w:r w:rsidR="002D2539" w:rsidRPr="005C2CEC">
        <w:rPr>
          <w:szCs w:val="24"/>
        </w:rPr>
        <w:t>projekt</w:t>
      </w:r>
      <w:r w:rsidR="00996694" w:rsidRPr="005C2CEC">
        <w:rPr>
          <w:szCs w:val="24"/>
        </w:rPr>
        <w:t xml:space="preserve"> a </w:t>
      </w:r>
      <w:r w:rsidR="005F0EFB" w:rsidRPr="005C2CEC">
        <w:rPr>
          <w:szCs w:val="24"/>
        </w:rPr>
        <w:t xml:space="preserve">vysvetlí </w:t>
      </w:r>
      <w:r w:rsidR="00996694" w:rsidRPr="005C2CEC">
        <w:rPr>
          <w:szCs w:val="24"/>
        </w:rPr>
        <w:t xml:space="preserve">potrebu </w:t>
      </w:r>
      <w:r w:rsidR="004A216B">
        <w:rPr>
          <w:szCs w:val="24"/>
        </w:rPr>
        <w:t>jeho realizácie. Investor v štúdii</w:t>
      </w:r>
      <w:r w:rsidR="00996694" w:rsidRPr="005C2CEC">
        <w:rPr>
          <w:szCs w:val="24"/>
        </w:rPr>
        <w:t xml:space="preserve"> </w:t>
      </w:r>
      <w:r w:rsidR="004A216B">
        <w:rPr>
          <w:szCs w:val="24"/>
        </w:rPr>
        <w:t>identifikuje možné alternatívne</w:t>
      </w:r>
      <w:r w:rsidR="00996694" w:rsidRPr="005C2CEC">
        <w:rPr>
          <w:szCs w:val="24"/>
        </w:rPr>
        <w:t xml:space="preserve"> </w:t>
      </w:r>
      <w:r w:rsidR="004A216B">
        <w:rPr>
          <w:szCs w:val="24"/>
        </w:rPr>
        <w:t>riešenia projektu, ktoré porovná a identifikuje užší okruh relevantných alternatív. Následne Investor vyhodnotí</w:t>
      </w:r>
      <w:r w:rsidR="00996694" w:rsidRPr="005C2CEC">
        <w:rPr>
          <w:szCs w:val="24"/>
        </w:rPr>
        <w:t xml:space="preserve"> </w:t>
      </w:r>
      <w:r w:rsidR="0053202A" w:rsidRPr="005C2CEC">
        <w:t>spoločensko-</w:t>
      </w:r>
      <w:r w:rsidR="00996694" w:rsidRPr="005C2CEC">
        <w:rPr>
          <w:szCs w:val="24"/>
        </w:rPr>
        <w:t>ekonomickú návratnosť</w:t>
      </w:r>
      <w:r w:rsidR="004A216B">
        <w:rPr>
          <w:szCs w:val="24"/>
        </w:rPr>
        <w:t xml:space="preserve"> všetkých relevantných alternatív prostredníctvom analýzy</w:t>
      </w:r>
      <w:r w:rsidR="00996694" w:rsidRPr="005C2CEC">
        <w:rPr>
          <w:szCs w:val="24"/>
        </w:rPr>
        <w:t xml:space="preserve"> nákladov a</w:t>
      </w:r>
      <w:r w:rsidR="0043338C">
        <w:rPr>
          <w:szCs w:val="24"/>
        </w:rPr>
        <w:t> </w:t>
      </w:r>
      <w:r w:rsidR="00996694" w:rsidRPr="005C2CEC">
        <w:rPr>
          <w:szCs w:val="24"/>
        </w:rPr>
        <w:t>prínosov</w:t>
      </w:r>
      <w:r w:rsidR="0043338C">
        <w:rPr>
          <w:szCs w:val="24"/>
        </w:rPr>
        <w:t>, resp. alternatívnej metódy ekonomickej a finančnej analýzy</w:t>
      </w:r>
      <w:r w:rsidR="004A216B">
        <w:rPr>
          <w:szCs w:val="24"/>
        </w:rPr>
        <w:t>.</w:t>
      </w:r>
    </w:p>
    <w:p w14:paraId="03215FEC" w14:textId="1604B9FB" w:rsidR="00996694" w:rsidRPr="005C2CEC" w:rsidRDefault="00996694" w:rsidP="00996694">
      <w:pPr>
        <w:rPr>
          <w:szCs w:val="24"/>
        </w:rPr>
      </w:pPr>
      <w:r w:rsidRPr="005C2CEC">
        <w:rPr>
          <w:szCs w:val="24"/>
        </w:rPr>
        <w:t xml:space="preserve">Na štúdiu uskutočniteľnosti nadväzujú podrobnejšie dokumenty, ktoré rozpracúvajú technické riešenia zvolenej alternatívy (v prípade stavieb pôjde o dokumentácie k územnému rozhodnutiu a stavebnému povoleniu) a posudzujú vplyvy </w:t>
      </w:r>
      <w:r w:rsidR="003772D9" w:rsidRPr="005C2CEC">
        <w:rPr>
          <w:szCs w:val="24"/>
        </w:rPr>
        <w:t>investičného projektu</w:t>
      </w:r>
      <w:r w:rsidRPr="005C2CEC">
        <w:rPr>
          <w:szCs w:val="24"/>
        </w:rPr>
        <w:t xml:space="preserve"> na životné prostredie (EIA).</w:t>
      </w:r>
    </w:p>
    <w:p w14:paraId="32698693" w14:textId="4936A721" w:rsidR="00996694" w:rsidRPr="005C2CEC" w:rsidRDefault="00996694" w:rsidP="00996694">
      <w:r w:rsidRPr="005C2CEC">
        <w:t xml:space="preserve">Štúdia uskutočniteľnosti v zmysle </w:t>
      </w:r>
      <w:r w:rsidR="00AC5122" w:rsidRPr="00AC5122">
        <w:t>§ 2</w:t>
      </w:r>
      <w:r w:rsidR="00AC5122">
        <w:t xml:space="preserve"> </w:t>
      </w:r>
      <w:r w:rsidRPr="005C2CEC">
        <w:t xml:space="preserve">Nariadenia vlády Slovenskej republiky č. 174/2019 Z. z. o podmienkach vypracovania štúdie uskutočniteľnosti </w:t>
      </w:r>
      <w:r w:rsidR="005F0EFB" w:rsidRPr="005C2CEC">
        <w:t>obsahuje</w:t>
      </w:r>
      <w:r w:rsidRPr="005C2CEC">
        <w:t>:</w:t>
      </w:r>
    </w:p>
    <w:p w14:paraId="155C84D5" w14:textId="77777777" w:rsidR="00996694" w:rsidRPr="005C2CEC" w:rsidRDefault="00996694" w:rsidP="0087207E">
      <w:pPr>
        <w:pStyle w:val="Odsekzoznamu"/>
        <w:numPr>
          <w:ilvl w:val="0"/>
          <w:numId w:val="6"/>
        </w:numPr>
      </w:pPr>
      <w:r w:rsidRPr="005C2CEC">
        <w:t>opis súčasnej situácie a určenie cieľov investície alebo koncesie,</w:t>
      </w:r>
    </w:p>
    <w:p w14:paraId="1960982D" w14:textId="77777777" w:rsidR="00996694" w:rsidRPr="005C2CEC" w:rsidRDefault="00996694" w:rsidP="0087207E">
      <w:pPr>
        <w:pStyle w:val="Odsekzoznamu"/>
        <w:numPr>
          <w:ilvl w:val="0"/>
          <w:numId w:val="6"/>
        </w:numPr>
      </w:pPr>
      <w:r w:rsidRPr="005C2CEC">
        <w:t>analýzu dopytu a ponuky,</w:t>
      </w:r>
    </w:p>
    <w:p w14:paraId="29BAC40D" w14:textId="77777777" w:rsidR="00996694" w:rsidRPr="005C2CEC" w:rsidRDefault="00996694" w:rsidP="0087207E">
      <w:pPr>
        <w:pStyle w:val="Odsekzoznamu"/>
        <w:numPr>
          <w:ilvl w:val="0"/>
          <w:numId w:val="6"/>
        </w:numPr>
      </w:pPr>
      <w:r w:rsidRPr="005C2CEC">
        <w:t>výber a opis alternatívnych riešení,</w:t>
      </w:r>
    </w:p>
    <w:p w14:paraId="7CFFE80F" w14:textId="77777777" w:rsidR="00996694" w:rsidRPr="005C2CEC" w:rsidRDefault="00996694" w:rsidP="0087207E">
      <w:pPr>
        <w:pStyle w:val="Odsekzoznamu"/>
        <w:numPr>
          <w:ilvl w:val="0"/>
          <w:numId w:val="6"/>
        </w:numPr>
      </w:pPr>
      <w:r w:rsidRPr="005C2CEC">
        <w:t>finančnú analýzu a ekonomickú analýzu,</w:t>
      </w:r>
    </w:p>
    <w:p w14:paraId="00767047" w14:textId="77777777" w:rsidR="00996694" w:rsidRPr="005C2CEC" w:rsidRDefault="00996694" w:rsidP="0087207E">
      <w:pPr>
        <w:pStyle w:val="Odsekzoznamu"/>
        <w:numPr>
          <w:ilvl w:val="0"/>
          <w:numId w:val="6"/>
        </w:numPr>
      </w:pPr>
      <w:r w:rsidRPr="005C2CEC">
        <w:t>hodnotenie rizík súvisiacich s investíciou alebo koncesiou,</w:t>
      </w:r>
    </w:p>
    <w:p w14:paraId="5ABE0BC3" w14:textId="77777777" w:rsidR="00996694" w:rsidRPr="005C2CEC" w:rsidRDefault="00996694" w:rsidP="0087207E">
      <w:pPr>
        <w:pStyle w:val="Odsekzoznamu"/>
        <w:numPr>
          <w:ilvl w:val="0"/>
          <w:numId w:val="6"/>
        </w:numPr>
      </w:pPr>
      <w:r w:rsidRPr="005C2CEC">
        <w:t xml:space="preserve">ďalšie skutočnosti potrebné na riadne hodnotenie štúdie uskutočniteľnosti. </w:t>
      </w:r>
    </w:p>
    <w:p w14:paraId="41EAA92B" w14:textId="5EC6BBFB" w:rsidR="00050348" w:rsidRPr="005C2CEC" w:rsidRDefault="003E1000" w:rsidP="00996694">
      <w:r w:rsidRPr="005C2CEC">
        <w:fldChar w:fldCharType="begin"/>
      </w:r>
      <w:r w:rsidRPr="005C2CEC">
        <w:instrText xml:space="preserve"> REF _Ref44946269 \h </w:instrText>
      </w:r>
      <w:r w:rsidR="005C2CEC">
        <w:instrText xml:space="preserve"> \* MERGEFORMAT </w:instrText>
      </w:r>
      <w:r w:rsidRPr="005C2CEC">
        <w:fldChar w:fldCharType="separate"/>
      </w:r>
      <w:r w:rsidR="000D2AF7" w:rsidRPr="005C2CEC">
        <w:t xml:space="preserve">Príloha </w:t>
      </w:r>
      <w:r w:rsidR="000D2AF7">
        <w:rPr>
          <w:noProof/>
        </w:rPr>
        <w:t>3</w:t>
      </w:r>
      <w:r w:rsidRPr="005C2CEC">
        <w:fldChar w:fldCharType="end"/>
      </w:r>
      <w:r w:rsidRPr="005C2CEC">
        <w:t xml:space="preserve"> uvádza štandardný obsah štúdie uskutočniteľnosti vo väčšom detaile. </w:t>
      </w:r>
      <w:r w:rsidR="00050348" w:rsidRPr="005C2CEC">
        <w:t>Štúdia uskutočniteľnosti analyz</w:t>
      </w:r>
      <w:r w:rsidR="005F0EFB" w:rsidRPr="005C2CEC">
        <w:t>uje</w:t>
      </w:r>
      <w:r w:rsidR="00050348" w:rsidRPr="005C2CEC">
        <w:t xml:space="preserve"> skutočné alternatívy dosiahnutia vytýčeného cieľa, tak aby bolo zabezpečené posúdenie rôznych spôsobov dosiahnutia daného cieľa. Posudzovanie rôznych </w:t>
      </w:r>
      <w:r w:rsidR="00920770" w:rsidRPr="005C2CEC">
        <w:t>scenárov</w:t>
      </w:r>
      <w:r w:rsidR="00050348" w:rsidRPr="005C2CEC">
        <w:t xml:space="preserve"> jednej alternatívy, kde rozdiely nemajú skutočný dopad na spôsob dosiahnutia cieľa je nedostatočné.</w:t>
      </w:r>
      <w:r w:rsidR="00AA5FDC">
        <w:t xml:space="preserve"> V</w:t>
      </w:r>
      <w:r w:rsidR="00545D55">
        <w:t> ojedinelých prípadoch sa môžu vyskytnúť investičné projekty, pri ktorých k navrhovanému riešeniu neexistuje</w:t>
      </w:r>
      <w:r w:rsidR="00AA5FDC">
        <w:t> </w:t>
      </w:r>
      <w:r w:rsidR="00545D55">
        <w:t xml:space="preserve">relevantná alternatíva. V takom </w:t>
      </w:r>
      <w:r w:rsidR="00AA5FDC">
        <w:t>prípade</w:t>
      </w:r>
      <w:r w:rsidR="00545D55">
        <w:t xml:space="preserve"> </w:t>
      </w:r>
      <w:r w:rsidR="00AA5FDC">
        <w:t xml:space="preserve">Investor </w:t>
      </w:r>
      <w:r w:rsidR="00545D55">
        <w:t xml:space="preserve">hodnotenie alternatív vynechá a adekvátne </w:t>
      </w:r>
      <w:r w:rsidR="00AA5FDC">
        <w:t>preukáže</w:t>
      </w:r>
      <w:r w:rsidR="00545D55">
        <w:t>, že relevantná alternatíva neexistuje</w:t>
      </w:r>
      <w:r w:rsidR="00AA5FDC">
        <w:t>.</w:t>
      </w:r>
    </w:p>
    <w:p w14:paraId="5E136904" w14:textId="0551831E" w:rsidR="00920770" w:rsidRPr="005C2CEC" w:rsidRDefault="00920770" w:rsidP="00920770">
      <w:pPr>
        <w:pStyle w:val="Popis"/>
      </w:pPr>
      <w:r w:rsidRPr="005C2CEC">
        <w:t xml:space="preserve">Box </w:t>
      </w:r>
      <w:r w:rsidRPr="005C2CEC">
        <w:rPr>
          <w:noProof/>
        </w:rPr>
        <w:fldChar w:fldCharType="begin"/>
      </w:r>
      <w:r w:rsidRPr="005C2CEC">
        <w:rPr>
          <w:noProof/>
        </w:rPr>
        <w:instrText xml:space="preserve"> SEQ Box \* ARABIC </w:instrText>
      </w:r>
      <w:r w:rsidRPr="005C2CEC">
        <w:rPr>
          <w:noProof/>
        </w:rPr>
        <w:fldChar w:fldCharType="separate"/>
      </w:r>
      <w:r w:rsidR="000D2AF7">
        <w:rPr>
          <w:noProof/>
        </w:rPr>
        <w:t>9</w:t>
      </w:r>
      <w:r w:rsidRPr="005C2CEC">
        <w:rPr>
          <w:noProof/>
        </w:rPr>
        <w:fldChar w:fldCharType="end"/>
      </w:r>
      <w:r w:rsidRPr="005C2CEC">
        <w:t>: P</w:t>
      </w:r>
      <w:r w:rsidR="004C11BA" w:rsidRPr="005C2CEC">
        <w:t>ríklad posudzovania</w:t>
      </w:r>
      <w:r w:rsidRPr="005C2CEC">
        <w:t xml:space="preserve"> alternatív</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Layout w:type="fixed"/>
        <w:tblLook w:val="04A0" w:firstRow="1" w:lastRow="0" w:firstColumn="1" w:lastColumn="0" w:noHBand="0" w:noVBand="1"/>
      </w:tblPr>
      <w:tblGrid>
        <w:gridCol w:w="9062"/>
      </w:tblGrid>
      <w:tr w:rsidR="00920770" w:rsidRPr="005C2CEC" w14:paraId="1CA2D83C" w14:textId="77777777" w:rsidTr="00193FE7">
        <w:tc>
          <w:tcPr>
            <w:tcW w:w="9062" w:type="dxa"/>
            <w:shd w:val="clear" w:color="auto" w:fill="DEEAF6" w:themeFill="accent1" w:themeFillTint="33"/>
          </w:tcPr>
          <w:p w14:paraId="75057233" w14:textId="4ABA2A19" w:rsidR="00920770" w:rsidRPr="005C2CEC" w:rsidRDefault="00857C8B" w:rsidP="004C11BA">
            <w:r w:rsidRPr="005C2CEC">
              <w:t>V rámci</w:t>
            </w:r>
            <w:r w:rsidR="00920770" w:rsidRPr="005C2CEC">
              <w:t xml:space="preserve"> štúdie uskutočniteľnosti je </w:t>
            </w:r>
            <w:r w:rsidRPr="005C2CEC">
              <w:t xml:space="preserve">potrebné posúdiť všetky relevantné </w:t>
            </w:r>
            <w:r w:rsidR="00920770" w:rsidRPr="005C2CEC">
              <w:t xml:space="preserve">alternatívy </w:t>
            </w:r>
            <w:r w:rsidR="004A6313" w:rsidRPr="005C2CEC">
              <w:t>investičného projektu</w:t>
            </w:r>
            <w:r w:rsidRPr="005C2CEC">
              <w:t>.</w:t>
            </w:r>
            <w:r w:rsidR="00920770" w:rsidRPr="005C2CEC">
              <w:t xml:space="preserve"> </w:t>
            </w:r>
            <w:r w:rsidRPr="005C2CEC">
              <w:t xml:space="preserve">Nevhodnou </w:t>
            </w:r>
            <w:r w:rsidR="00920770" w:rsidRPr="005C2CEC">
              <w:t>prax</w:t>
            </w:r>
            <w:r w:rsidRPr="005C2CEC">
              <w:t>ou</w:t>
            </w:r>
            <w:r w:rsidR="00920770" w:rsidRPr="005C2CEC">
              <w:t xml:space="preserve"> je </w:t>
            </w:r>
            <w:r w:rsidR="004C11BA" w:rsidRPr="005C2CEC">
              <w:t>anal</w:t>
            </w:r>
            <w:r w:rsidRPr="005C2CEC">
              <w:t>ýza</w:t>
            </w:r>
            <w:r w:rsidR="004C11BA" w:rsidRPr="005C2CEC">
              <w:t xml:space="preserve"> len</w:t>
            </w:r>
            <w:r w:rsidR="00920770" w:rsidRPr="005C2CEC">
              <w:t xml:space="preserve"> </w:t>
            </w:r>
            <w:r w:rsidR="004C11BA" w:rsidRPr="005C2CEC">
              <w:t>jedn</w:t>
            </w:r>
            <w:r w:rsidRPr="005C2CEC">
              <w:t>ej</w:t>
            </w:r>
            <w:r w:rsidR="004C11BA" w:rsidRPr="005C2CEC">
              <w:t xml:space="preserve"> alternatív</w:t>
            </w:r>
            <w:r w:rsidRPr="005C2CEC">
              <w:t>y</w:t>
            </w:r>
            <w:r w:rsidR="004C11BA" w:rsidRPr="005C2CEC">
              <w:t xml:space="preserve"> pri rôznych scenároch, </w:t>
            </w:r>
            <w:r w:rsidR="004A6313" w:rsidRPr="005C2CEC">
              <w:t>v ktorých</w:t>
            </w:r>
            <w:r w:rsidR="004C11BA" w:rsidRPr="005C2CEC">
              <w:t xml:space="preserve"> sú upravené iba hodnoty vstupných premenných.</w:t>
            </w:r>
            <w:r w:rsidR="004A6313" w:rsidRPr="005C2CEC">
              <w:t xml:space="preserve"> Problematika </w:t>
            </w:r>
            <w:r w:rsidR="00D36D52" w:rsidRPr="005C2CEC">
              <w:t>výberu</w:t>
            </w:r>
            <w:r w:rsidR="004A6313" w:rsidRPr="005C2CEC">
              <w:t xml:space="preserve"> relevantných alternatív je znázornená na nasledujúcom príklade:</w:t>
            </w:r>
          </w:p>
          <w:p w14:paraId="09321001" w14:textId="7BA931FF" w:rsidR="00D36D52" w:rsidRPr="005C2CEC" w:rsidRDefault="007F285C" w:rsidP="004A6313">
            <w:pPr>
              <w:ind w:left="284" w:right="284"/>
            </w:pPr>
            <w:r w:rsidRPr="005C2CEC">
              <w:t xml:space="preserve">Obec si </w:t>
            </w:r>
            <w:r w:rsidR="004A6313" w:rsidRPr="005C2CEC">
              <w:t>stanovila</w:t>
            </w:r>
            <w:r w:rsidRPr="005C2CEC">
              <w:t xml:space="preserve"> cieľ redukovať </w:t>
            </w:r>
            <w:r w:rsidR="00D36D52" w:rsidRPr="005C2CEC">
              <w:t>mieru</w:t>
            </w:r>
            <w:r w:rsidRPr="005C2CEC">
              <w:t xml:space="preserve"> skládkovaného od</w:t>
            </w:r>
            <w:r w:rsidR="004A6313" w:rsidRPr="005C2CEC">
              <w:t>padu a nechala</w:t>
            </w:r>
            <w:r w:rsidRPr="005C2CEC">
              <w:t xml:space="preserve"> si pre tento účel vypracovať štúdiu uskutočniteľnosti. Autor štúdie </w:t>
            </w:r>
            <w:r w:rsidR="004A6313" w:rsidRPr="005C2CEC">
              <w:t>po dohode s obcou pripravil</w:t>
            </w:r>
            <w:r w:rsidRPr="005C2CEC">
              <w:t xml:space="preserve"> finančnú a ekonomickú analýzu výstavby zariadenia na energetické využitie odpadu (spaľovne), v ktorej </w:t>
            </w:r>
            <w:r w:rsidR="004A6313" w:rsidRPr="005C2CEC">
              <w:t>porovnal</w:t>
            </w:r>
            <w:r w:rsidRPr="005C2CEC">
              <w:t xml:space="preserve"> rôzne dostupné technológie a</w:t>
            </w:r>
            <w:r w:rsidR="004A6313" w:rsidRPr="005C2CEC">
              <w:t xml:space="preserve"> zohľadnil</w:t>
            </w:r>
            <w:r w:rsidRPr="005C2CEC">
              <w:t xml:space="preserve"> rôzne scenáre dopytu. </w:t>
            </w:r>
            <w:r w:rsidR="004A6313" w:rsidRPr="005C2CEC">
              <w:t xml:space="preserve">Z výsledkov ekonomickej analýzy vyplynulo, že výstavba spaľovne je ekonomicky návratná. </w:t>
            </w:r>
          </w:p>
          <w:p w14:paraId="21823E75" w14:textId="522347D8" w:rsidR="004C11BA" w:rsidRPr="005C2CEC" w:rsidRDefault="007F285C">
            <w:pPr>
              <w:ind w:left="284" w:right="284"/>
            </w:pPr>
            <w:r w:rsidRPr="005C2CEC">
              <w:t xml:space="preserve">V skutočnosti však </w:t>
            </w:r>
            <w:r w:rsidR="00F05908" w:rsidRPr="005C2CEC">
              <w:t>rôzne technológie</w:t>
            </w:r>
            <w:r w:rsidR="00D36D52" w:rsidRPr="005C2CEC">
              <w:t xml:space="preserve"> použité v spaľovni</w:t>
            </w:r>
            <w:r w:rsidR="00F05908" w:rsidRPr="005C2CEC">
              <w:t xml:space="preserve"> nie sú</w:t>
            </w:r>
            <w:r w:rsidRPr="005C2CEC">
              <w:t xml:space="preserve"> re</w:t>
            </w:r>
            <w:r w:rsidR="00F05908" w:rsidRPr="005C2CEC">
              <w:t>álnymi</w:t>
            </w:r>
            <w:r w:rsidRPr="005C2CEC">
              <w:t xml:space="preserve"> alternat</w:t>
            </w:r>
            <w:r w:rsidR="00F05908" w:rsidRPr="005C2CEC">
              <w:t>ívami</w:t>
            </w:r>
            <w:r w:rsidRPr="005C2CEC">
              <w:t xml:space="preserve"> dosiahnutia </w:t>
            </w:r>
            <w:r w:rsidR="00D36D52" w:rsidRPr="005C2CEC">
              <w:t xml:space="preserve">pôvodného </w:t>
            </w:r>
            <w:r w:rsidRPr="005C2CEC">
              <w:t>cieľa stanoveného obcou</w:t>
            </w:r>
            <w:r w:rsidR="00D36D52" w:rsidRPr="005C2CEC">
              <w:t xml:space="preserve"> (zníženie miery skládkovania odpadu)</w:t>
            </w:r>
            <w:r w:rsidRPr="005C2CEC">
              <w:t>.</w:t>
            </w:r>
            <w:r w:rsidR="00D36D52" w:rsidRPr="005C2CEC">
              <w:t xml:space="preserve"> Plnohodnotn</w:t>
            </w:r>
            <w:r w:rsidR="00857C8B" w:rsidRPr="005C2CEC">
              <w:t>ými</w:t>
            </w:r>
            <w:r w:rsidR="00D36D52" w:rsidRPr="005C2CEC">
              <w:t xml:space="preserve"> alternatív</w:t>
            </w:r>
            <w:r w:rsidR="00857C8B" w:rsidRPr="005C2CEC">
              <w:t>ami</w:t>
            </w:r>
            <w:r w:rsidR="00D36D52" w:rsidRPr="005C2CEC">
              <w:t xml:space="preserve"> </w:t>
            </w:r>
            <w:r w:rsidR="00857C8B" w:rsidRPr="005C2CEC">
              <w:t xml:space="preserve">sú </w:t>
            </w:r>
            <w:r w:rsidR="00D36D52" w:rsidRPr="005C2CEC">
              <w:t>v tomto prípade zavedenie triedeného zberu odpadu, zber kuchynského odpadu</w:t>
            </w:r>
            <w:r w:rsidR="00857C8B" w:rsidRPr="005C2CEC">
              <w:t>,</w:t>
            </w:r>
            <w:r w:rsidR="00D36D52" w:rsidRPr="005C2CEC">
              <w:t> výstavb</w:t>
            </w:r>
            <w:r w:rsidR="00857C8B" w:rsidRPr="005C2CEC">
              <w:t>a</w:t>
            </w:r>
            <w:r w:rsidR="00D36D52" w:rsidRPr="005C2CEC">
              <w:t xml:space="preserve"> bioplynovej stanice a/alebo výstavba centra opätovného použitia.</w:t>
            </w:r>
            <w:r w:rsidRPr="005C2CEC">
              <w:t xml:space="preserve"> </w:t>
            </w:r>
            <w:r w:rsidR="00D36D52" w:rsidRPr="005C2CEC">
              <w:t>Zo z</w:t>
            </w:r>
            <w:r w:rsidRPr="005C2CEC">
              <w:t>araden</w:t>
            </w:r>
            <w:r w:rsidR="00D36D52" w:rsidRPr="005C2CEC">
              <w:t xml:space="preserve">ia a </w:t>
            </w:r>
            <w:r w:rsidR="00D36D52" w:rsidRPr="005C2CEC">
              <w:lastRenderedPageBreak/>
              <w:t>porovnania</w:t>
            </w:r>
            <w:r w:rsidRPr="005C2CEC">
              <w:t xml:space="preserve"> </w:t>
            </w:r>
            <w:r w:rsidR="00D36D52" w:rsidRPr="005C2CEC">
              <w:t>týchto</w:t>
            </w:r>
            <w:r w:rsidRPr="005C2CEC">
              <w:t xml:space="preserve"> alternatív </w:t>
            </w:r>
            <w:r w:rsidR="00D36D52" w:rsidRPr="005C2CEC">
              <w:t>s</w:t>
            </w:r>
            <w:r w:rsidRPr="005C2CEC">
              <w:t xml:space="preserve"> výstavb</w:t>
            </w:r>
            <w:r w:rsidR="00D36D52" w:rsidRPr="005C2CEC">
              <w:t>ou</w:t>
            </w:r>
            <w:r w:rsidRPr="005C2CEC">
              <w:t xml:space="preserve"> spaľovne, </w:t>
            </w:r>
            <w:r w:rsidR="00857C8B" w:rsidRPr="005C2CEC">
              <w:t xml:space="preserve">môže </w:t>
            </w:r>
            <w:r w:rsidR="00F05908" w:rsidRPr="005C2CEC">
              <w:t>vyplynúť, že alternatívne riešenie vyžaduje nižšie celkové náklady, zabezpečí porovnateľné zníženie miery skládkovania odpadu a </w:t>
            </w:r>
            <w:r w:rsidR="00857C8B" w:rsidRPr="005C2CEC">
              <w:t>zároveň</w:t>
            </w:r>
            <w:r w:rsidR="00F05908" w:rsidRPr="005C2CEC">
              <w:t xml:space="preserve"> prispeje k zvýšeniu miery recyklácie.</w:t>
            </w:r>
          </w:p>
        </w:tc>
      </w:tr>
    </w:tbl>
    <w:p w14:paraId="7E620FF3" w14:textId="233F5D45" w:rsidR="00996694" w:rsidRPr="005C2CEC" w:rsidRDefault="00996694" w:rsidP="00996694">
      <w:r w:rsidRPr="005C2CEC">
        <w:lastRenderedPageBreak/>
        <w:t xml:space="preserve">Pri príprave štúdie uskutočniteľnosti </w:t>
      </w:r>
      <w:r w:rsidR="002556AF" w:rsidRPr="005C2CEC">
        <w:t xml:space="preserve">investície </w:t>
      </w:r>
      <w:r w:rsidRPr="005C2CEC">
        <w:t>Investor postupuje v súlade s platným znením</w:t>
      </w:r>
      <w:r w:rsidR="00BA6BE2" w:rsidRPr="005C2CEC">
        <w:t xml:space="preserve"> </w:t>
      </w:r>
      <w:hyperlink r:id="rId42" w:history="1">
        <w:r w:rsidR="00BA6BE2" w:rsidRPr="00450439">
          <w:rPr>
            <w:rStyle w:val="Hypertextovprepojenie"/>
            <w:i/>
          </w:rPr>
          <w:t>Rámca na hodnotenie verejných investičných projektov v SR</w:t>
        </w:r>
      </w:hyperlink>
      <w:r w:rsidR="0034015F" w:rsidRPr="005C2CEC">
        <w:t>, ktoré</w:t>
      </w:r>
      <w:r w:rsidRPr="005C2CEC">
        <w:t xml:space="preserve"> </w:t>
      </w:r>
      <w:r w:rsidR="00BA6BE2" w:rsidRPr="005C2CEC">
        <w:t>je</w:t>
      </w:r>
      <w:r w:rsidRPr="005C2CEC">
        <w:t xml:space="preserve"> zverejnené </w:t>
      </w:r>
      <w:r w:rsidR="00BA6BE2" w:rsidRPr="005C2CEC">
        <w:t>na webovej stránke MF SR</w:t>
      </w:r>
      <w:r w:rsidRPr="005C2CEC">
        <w:t>.</w:t>
      </w:r>
    </w:p>
    <w:p w14:paraId="130AE054" w14:textId="208F7622" w:rsidR="00996694" w:rsidRPr="005C2CEC" w:rsidRDefault="00996694" w:rsidP="00996694">
      <w:r w:rsidRPr="005C2CEC">
        <w:t>V prípade, že je plánovan</w:t>
      </w:r>
      <w:r w:rsidR="008E0D4E">
        <w:t>ý</w:t>
      </w:r>
      <w:r w:rsidRPr="005C2CEC">
        <w:t xml:space="preserve"> </w:t>
      </w:r>
      <w:r w:rsidR="008E0D4E">
        <w:t xml:space="preserve">investičný projekt </w:t>
      </w:r>
      <w:r w:rsidRPr="005C2CEC">
        <w:t>v doprav</w:t>
      </w:r>
      <w:r w:rsidR="002348EF" w:rsidRPr="005C2CEC">
        <w:t>e</w:t>
      </w:r>
      <w:r w:rsidRPr="005C2CEC">
        <w:t>, informatizáci</w:t>
      </w:r>
      <w:r w:rsidR="002348EF" w:rsidRPr="005C2CEC">
        <w:t>i</w:t>
      </w:r>
      <w:r w:rsidRPr="005C2CEC">
        <w:t xml:space="preserve"> alebo životn</w:t>
      </w:r>
      <w:r w:rsidR="002348EF" w:rsidRPr="005C2CEC">
        <w:t>om</w:t>
      </w:r>
      <w:r w:rsidRPr="005C2CEC">
        <w:t xml:space="preserve"> prostred</w:t>
      </w:r>
      <w:r w:rsidR="002348EF" w:rsidRPr="005C2CEC">
        <w:t>í</w:t>
      </w:r>
      <w:r w:rsidRPr="005C2CEC">
        <w:t>, postupuje Investor pri vypracovaní štúdie uskutočniteľnosti nasledovne:</w:t>
      </w:r>
    </w:p>
    <w:p w14:paraId="3120177B" w14:textId="50E9EA78" w:rsidR="001F27B5" w:rsidRPr="005C2CEC" w:rsidRDefault="00996694" w:rsidP="0087207E">
      <w:pPr>
        <w:pStyle w:val="Odsekzoznamu"/>
        <w:numPr>
          <w:ilvl w:val="0"/>
          <w:numId w:val="7"/>
        </w:numPr>
      </w:pPr>
      <w:r w:rsidRPr="005C2CEC">
        <w:t xml:space="preserve">pri </w:t>
      </w:r>
      <w:r w:rsidR="008E0D4E">
        <w:t>investičnom projekte</w:t>
      </w:r>
      <w:r w:rsidR="008E0D4E" w:rsidRPr="005C2CEC">
        <w:t xml:space="preserve"> </w:t>
      </w:r>
      <w:r w:rsidRPr="005C2CEC">
        <w:t>v doprave</w:t>
      </w:r>
      <w:r w:rsidRPr="005C2CEC">
        <w:rPr>
          <w:rStyle w:val="Odkaznapoznmkupodiarou"/>
        </w:rPr>
        <w:footnoteReference w:id="16"/>
      </w:r>
      <w:r w:rsidRPr="005C2CEC">
        <w:t xml:space="preserve"> vypracuje Investor štúdiu uskutočniteľnosti </w:t>
      </w:r>
      <w:r w:rsidR="005302BB" w:rsidRPr="005C2CEC">
        <w:t>v súlade so</w:t>
      </w:r>
      <w:r w:rsidR="001F27B5" w:rsidRPr="005C2CEC">
        <w:t xml:space="preserve"> </w:t>
      </w:r>
      <w:r w:rsidR="005302BB" w:rsidRPr="005C2CEC">
        <w:t xml:space="preserve">sektorovou metodikou: </w:t>
      </w:r>
      <w:hyperlink r:id="rId43" w:history="1">
        <w:r w:rsidR="005302BB" w:rsidRPr="002522E9">
          <w:rPr>
            <w:rStyle w:val="Hypertextovprepojenie"/>
            <w:i/>
          </w:rPr>
          <w:t>Metodický rámec pre vypracovanie Štúdie uskutočniteľnosti</w:t>
        </w:r>
      </w:hyperlink>
      <w:r w:rsidR="005302BB" w:rsidRPr="005C2CEC">
        <w:rPr>
          <w:i/>
        </w:rPr>
        <w:t>,</w:t>
      </w:r>
    </w:p>
    <w:p w14:paraId="7548F25A" w14:textId="5A78D68D" w:rsidR="00C24F67" w:rsidRPr="005C2CEC" w:rsidRDefault="00996694" w:rsidP="003234AE">
      <w:pPr>
        <w:pStyle w:val="Odsekzoznamu"/>
        <w:numPr>
          <w:ilvl w:val="0"/>
          <w:numId w:val="7"/>
        </w:numPr>
      </w:pPr>
      <w:r w:rsidRPr="005C2CEC">
        <w:t xml:space="preserve">pri </w:t>
      </w:r>
      <w:r w:rsidR="008E0D4E">
        <w:t>investičnom projekte</w:t>
      </w:r>
      <w:r w:rsidR="008E0D4E" w:rsidRPr="005C2CEC">
        <w:t xml:space="preserve"> </w:t>
      </w:r>
      <w:r w:rsidRPr="005C2CEC">
        <w:t>v informatizácii</w:t>
      </w:r>
      <w:r w:rsidR="00C24F67" w:rsidRPr="005C2CEC">
        <w:rPr>
          <w:rStyle w:val="Odkaznapoznmkupodiarou"/>
        </w:rPr>
        <w:footnoteReference w:id="17"/>
      </w:r>
      <w:r w:rsidRPr="005C2CEC">
        <w:t xml:space="preserve"> vypracuje Investor štúdiu uskutočniteľnosti </w:t>
      </w:r>
      <w:r w:rsidR="005302BB" w:rsidRPr="005C2CEC">
        <w:t xml:space="preserve">v súlade so sektorovou metodikou: </w:t>
      </w:r>
      <w:hyperlink r:id="rId44" w:history="1">
        <w:r w:rsidR="003234AE" w:rsidRPr="002522E9">
          <w:rPr>
            <w:rStyle w:val="Hypertextovprepojenie"/>
            <w:i/>
          </w:rPr>
          <w:t>Metodický pokyn k spracovaniu biznis case a cost benefit analýzy informačných technológií verejnej správy</w:t>
        </w:r>
      </w:hyperlink>
      <w:r w:rsidR="005302BB" w:rsidRPr="005C2CEC">
        <w:rPr>
          <w:i/>
        </w:rPr>
        <w:t>,</w:t>
      </w:r>
    </w:p>
    <w:p w14:paraId="436772D3" w14:textId="68CBD35C" w:rsidR="00C24F67" w:rsidRPr="005C2CEC" w:rsidRDefault="00996694" w:rsidP="0087207E">
      <w:pPr>
        <w:pStyle w:val="Odsekzoznamu"/>
        <w:numPr>
          <w:ilvl w:val="0"/>
          <w:numId w:val="7"/>
        </w:numPr>
      </w:pPr>
      <w:r w:rsidRPr="005C2CEC">
        <w:t xml:space="preserve">pri </w:t>
      </w:r>
      <w:r w:rsidR="008E0D4E">
        <w:t>investičnom projekte</w:t>
      </w:r>
      <w:r w:rsidR="008E0D4E" w:rsidRPr="005C2CEC">
        <w:t xml:space="preserve"> </w:t>
      </w:r>
      <w:r w:rsidRPr="005C2CEC">
        <w:t>v oblasti životného prostredia vypracuje Investor štúdiu uskutočniteľnosti</w:t>
      </w:r>
      <w:r w:rsidR="005302BB" w:rsidRPr="005C2CEC">
        <w:t xml:space="preserve"> v súlade so sektorovou metodikou </w:t>
      </w:r>
      <w:hyperlink r:id="rId45" w:history="1">
        <w:r w:rsidR="005302BB" w:rsidRPr="00EC58A2">
          <w:rPr>
            <w:rStyle w:val="Hypertextovprepojenie"/>
            <w:i/>
          </w:rPr>
          <w:t>Príručka k analýze nákladov a prínosov environmentálnych projektov</w:t>
        </w:r>
      </w:hyperlink>
      <w:r w:rsidR="005302BB" w:rsidRPr="005C2CEC">
        <w:rPr>
          <w:i/>
        </w:rPr>
        <w:t>.</w:t>
      </w:r>
    </w:p>
    <w:p w14:paraId="037A19D8" w14:textId="411440E5" w:rsidR="00996694" w:rsidRPr="005C2CEC" w:rsidRDefault="00996694" w:rsidP="00BA6BE2">
      <w:r w:rsidRPr="005C2CEC">
        <w:t xml:space="preserve">Pri </w:t>
      </w:r>
      <w:r w:rsidR="008E0D4E">
        <w:t>investičných projektoch</w:t>
      </w:r>
      <w:r w:rsidR="008E0D4E" w:rsidRPr="005C2CEC">
        <w:t xml:space="preserve"> </w:t>
      </w:r>
      <w:r w:rsidRPr="005C2CEC">
        <w:t>v oblastiach, pre ktoré neboli vydané špecifické metodické príručky</w:t>
      </w:r>
      <w:r w:rsidRPr="005C2CEC">
        <w:rPr>
          <w:rStyle w:val="Odkaznapoznmkupodiarou"/>
        </w:rPr>
        <w:footnoteReference w:id="18"/>
      </w:r>
      <w:r w:rsidRPr="005C2CEC">
        <w:t xml:space="preserve"> pripraví Investor štúdiu uskutočniteľnosti podľa </w:t>
      </w:r>
      <w:r w:rsidR="005302BB" w:rsidRPr="005C2CEC">
        <w:t xml:space="preserve">kapitol 4 - 8 </w:t>
      </w:r>
      <w:hyperlink r:id="rId46" w:history="1">
        <w:r w:rsidR="001F27B5" w:rsidRPr="00450439">
          <w:rPr>
            <w:rStyle w:val="Hypertextovprepojenie"/>
            <w:i/>
          </w:rPr>
          <w:t>Rámca na hodnotenie verejných investičných projektov v SR</w:t>
        </w:r>
      </w:hyperlink>
      <w:r w:rsidRPr="005C2CEC">
        <w:t>.</w:t>
      </w:r>
    </w:p>
    <w:p w14:paraId="5D573716" w14:textId="0CC83E7C" w:rsidR="00701149" w:rsidRPr="005C2CEC" w:rsidRDefault="00701149" w:rsidP="00701149">
      <w:pPr>
        <w:pStyle w:val="Popis"/>
      </w:pPr>
      <w:r w:rsidRPr="005C2CEC">
        <w:t xml:space="preserve">Box </w:t>
      </w:r>
      <w:r w:rsidR="001F2F09" w:rsidRPr="005C2CEC">
        <w:rPr>
          <w:noProof/>
        </w:rPr>
        <w:fldChar w:fldCharType="begin"/>
      </w:r>
      <w:r w:rsidR="001F2F09" w:rsidRPr="005C2CEC">
        <w:rPr>
          <w:noProof/>
        </w:rPr>
        <w:instrText xml:space="preserve"> SEQ Box \* ARABIC </w:instrText>
      </w:r>
      <w:r w:rsidR="001F2F09" w:rsidRPr="005C2CEC">
        <w:rPr>
          <w:noProof/>
        </w:rPr>
        <w:fldChar w:fldCharType="separate"/>
      </w:r>
      <w:r w:rsidR="000D2AF7">
        <w:rPr>
          <w:noProof/>
        </w:rPr>
        <w:t>10</w:t>
      </w:r>
      <w:r w:rsidR="001F2F09" w:rsidRPr="005C2CEC">
        <w:rPr>
          <w:noProof/>
        </w:rPr>
        <w:fldChar w:fldCharType="end"/>
      </w:r>
      <w:r w:rsidRPr="005C2CEC">
        <w:t>: Sektorové metodiky</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Look w:val="04A0" w:firstRow="1" w:lastRow="0" w:firstColumn="1" w:lastColumn="0" w:noHBand="0" w:noVBand="1"/>
      </w:tblPr>
      <w:tblGrid>
        <w:gridCol w:w="9062"/>
      </w:tblGrid>
      <w:tr w:rsidR="00701149" w:rsidRPr="005C2CEC" w14:paraId="0DED826A" w14:textId="77777777" w:rsidTr="007F7511">
        <w:tc>
          <w:tcPr>
            <w:tcW w:w="9062" w:type="dxa"/>
            <w:shd w:val="clear" w:color="auto" w:fill="DEEAF6" w:themeFill="accent1" w:themeFillTint="33"/>
          </w:tcPr>
          <w:p w14:paraId="6C9444AB" w14:textId="04B93B08" w:rsidR="00701149" w:rsidRPr="005C2CEC" w:rsidRDefault="00701149" w:rsidP="00701149">
            <w:r w:rsidRPr="005C2CEC">
              <w:t xml:space="preserve">Tento dokument poskytuje všeobecný rámec na prípravu a hodnotenie investičných projektov, ktorý je vo vybraných oblastiach doplnený sektorovými metodikami. Sektorové metodiky </w:t>
            </w:r>
            <w:r w:rsidR="008C0E14" w:rsidRPr="005C2CEC">
              <w:t>budú vypracované</w:t>
            </w:r>
            <w:r w:rsidRPr="005C2CEC">
              <w:t xml:space="preserve"> pre všetky oblasti, kde je potrebné špecifikovať individuálny prístup k príprave projektov alebo výpočtu prínosov.</w:t>
            </w:r>
          </w:p>
          <w:p w14:paraId="5C28BE1B" w14:textId="53133CA3" w:rsidR="00E64BEE" w:rsidRPr="005C2CEC" w:rsidRDefault="005A3A94" w:rsidP="00701149">
            <w:r>
              <w:t>Pre sektory</w:t>
            </w:r>
            <w:r w:rsidR="00E64BEE" w:rsidRPr="005C2CEC">
              <w:t>, ktoré zatiaľ nemajú vypracované metodické usmernenia zabezpeči</w:t>
            </w:r>
            <w:r w:rsidR="00A47568" w:rsidRPr="005C2CEC">
              <w:t>a</w:t>
            </w:r>
            <w:r w:rsidR="00E64BEE" w:rsidRPr="005C2CEC">
              <w:t xml:space="preserve"> ich prípravu </w:t>
            </w:r>
            <w:r>
              <w:t xml:space="preserve">relevantné ministerstvá </w:t>
            </w:r>
            <w:r w:rsidR="00E64BEE" w:rsidRPr="005C2CEC">
              <w:t>v spolupráci s MF SR a zverejni</w:t>
            </w:r>
            <w:r w:rsidR="00A47568" w:rsidRPr="005C2CEC">
              <w:t>a</w:t>
            </w:r>
            <w:r w:rsidR="00E64BEE" w:rsidRPr="005C2CEC">
              <w:t xml:space="preserve"> ich do 31.12.202</w:t>
            </w:r>
            <w:r w:rsidR="00760A1E">
              <w:t>2</w:t>
            </w:r>
            <w:r w:rsidR="00E64BEE" w:rsidRPr="005C2CEC">
              <w:t>.</w:t>
            </w:r>
            <w:r w:rsidR="004917DF">
              <w:t xml:space="preserve"> Pre ostatné ministerstvá je odporúčané vytvoriť metodiku podľa sektorových potrieb.</w:t>
            </w:r>
          </w:p>
          <w:p w14:paraId="2B69AF5B" w14:textId="60B8A07E" w:rsidR="00701149" w:rsidRDefault="00701149" w:rsidP="00AB5B1A">
            <w:pPr>
              <w:pStyle w:val="Popis"/>
            </w:pPr>
            <w:bookmarkStart w:id="124" w:name="_Toc83651102"/>
            <w:r w:rsidRPr="005C2CEC">
              <w:lastRenderedPageBreak/>
              <w:t xml:space="preserve">Schéma </w:t>
            </w:r>
            <w:r w:rsidR="00E516AE">
              <w:fldChar w:fldCharType="begin"/>
            </w:r>
            <w:r w:rsidR="00E516AE">
              <w:instrText xml:space="preserve"> SEQ Schéma \* ARABIC </w:instrText>
            </w:r>
            <w:r w:rsidR="00E516AE">
              <w:fldChar w:fldCharType="separate"/>
            </w:r>
            <w:r w:rsidR="000D2AF7">
              <w:rPr>
                <w:noProof/>
              </w:rPr>
              <w:t>6</w:t>
            </w:r>
            <w:r w:rsidR="00E516AE">
              <w:rPr>
                <w:noProof/>
              </w:rPr>
              <w:fldChar w:fldCharType="end"/>
            </w:r>
            <w:r w:rsidRPr="005C2CEC">
              <w:t xml:space="preserve">: Prehľad </w:t>
            </w:r>
            <w:r w:rsidR="00F14DD7" w:rsidRPr="005C2CEC">
              <w:t xml:space="preserve">existujúcich a pripravovaných </w:t>
            </w:r>
            <w:r w:rsidRPr="005C2CEC">
              <w:t>sektorových investičných metodík</w:t>
            </w:r>
            <w:bookmarkEnd w:id="124"/>
          </w:p>
          <w:p w14:paraId="75E93043" w14:textId="3ED40595" w:rsidR="004917DF" w:rsidRPr="005C2CEC" w:rsidRDefault="00FC70D5" w:rsidP="00701149">
            <w:r>
              <w:rPr>
                <w:noProof/>
                <w:lang w:eastAsia="sk-SK"/>
              </w:rPr>
              <w:drawing>
                <wp:inline distT="0" distB="0" distL="0" distR="0" wp14:anchorId="3C2D8369" wp14:editId="361E2DE9">
                  <wp:extent cx="4121150" cy="3493135"/>
                  <wp:effectExtent l="0" t="0" r="0" b="0"/>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121150" cy="3493135"/>
                          </a:xfrm>
                          <a:prstGeom prst="rect">
                            <a:avLst/>
                          </a:prstGeom>
                          <a:noFill/>
                        </pic:spPr>
                      </pic:pic>
                    </a:graphicData>
                  </a:graphic>
                </wp:inline>
              </w:drawing>
            </w:r>
          </w:p>
        </w:tc>
      </w:tr>
    </w:tbl>
    <w:p w14:paraId="49A51659" w14:textId="32603C1F" w:rsidR="00701149" w:rsidRDefault="00B8689E" w:rsidP="00B45B08">
      <w:r w:rsidRPr="005C2CEC">
        <w:lastRenderedPageBreak/>
        <w:t>Investor posiela MF SR p</w:t>
      </w:r>
      <w:r w:rsidR="00F854C9" w:rsidRPr="005C2CEC">
        <w:t>rojektovú dokumentáciu z každého stupňa projektovej prípravy</w:t>
      </w:r>
      <w:r w:rsidR="006B7251" w:rsidRPr="005C2CEC">
        <w:rPr>
          <w:rStyle w:val="Odkaznapoznmkupodiarou"/>
        </w:rPr>
        <w:footnoteReference w:id="19"/>
      </w:r>
      <w:r w:rsidR="00F854C9" w:rsidRPr="005C2CEC">
        <w:t xml:space="preserve"> do 30 </w:t>
      </w:r>
      <w:r w:rsidR="00BD05DB">
        <w:t xml:space="preserve">kalendárnych </w:t>
      </w:r>
      <w:r w:rsidR="00F854C9" w:rsidRPr="005C2CEC">
        <w:t xml:space="preserve">dní od </w:t>
      </w:r>
      <w:r w:rsidR="009648D7" w:rsidRPr="005C2CEC">
        <w:t xml:space="preserve">jej </w:t>
      </w:r>
      <w:r w:rsidR="00F854C9" w:rsidRPr="005C2CEC">
        <w:t xml:space="preserve">akceptácie pri odovzdaní. MF SR </w:t>
      </w:r>
      <w:r w:rsidR="00AB5B1A">
        <w:t>skúma</w:t>
      </w:r>
      <w:r w:rsidR="00AB5B1A" w:rsidRPr="005C2CEC">
        <w:t xml:space="preserve"> </w:t>
      </w:r>
      <w:r w:rsidR="00F854C9" w:rsidRPr="005C2CEC">
        <w:t xml:space="preserve">dopad novej projektovej dokumentácie na investičný projekt </w:t>
      </w:r>
      <w:r w:rsidRPr="005C2CEC">
        <w:t xml:space="preserve">najmä </w:t>
      </w:r>
      <w:r w:rsidR="00F854C9" w:rsidRPr="005C2CEC">
        <w:t xml:space="preserve">z hľadiska nákladov, rozsahu činností, prípadne iných okolností, ktoré sa od posledného stupňa prípravy </w:t>
      </w:r>
      <w:r w:rsidRPr="005C2CEC">
        <w:t>zmeni</w:t>
      </w:r>
      <w:r w:rsidR="002348EF" w:rsidRPr="005C2CEC">
        <w:t>li</w:t>
      </w:r>
      <w:r w:rsidR="00F854C9" w:rsidRPr="005C2CEC">
        <w:t>.</w:t>
      </w:r>
      <w:r w:rsidRPr="005C2CEC">
        <w:t xml:space="preserve"> </w:t>
      </w:r>
      <w:r w:rsidR="005F7468" w:rsidRPr="005C2CEC">
        <w:t xml:space="preserve">MF SR môže na základe zistení z predložených podkladov aktualizovať </w:t>
      </w:r>
      <w:r w:rsidR="00B7407C" w:rsidRPr="005C2CEC">
        <w:t>ekonomické hodnotenie</w:t>
      </w:r>
      <w:r w:rsidR="005F7468" w:rsidRPr="005C2CEC">
        <w:t xml:space="preserve"> k investičnému projektu</w:t>
      </w:r>
      <w:r w:rsidRPr="005C2CEC">
        <w:t>.</w:t>
      </w:r>
    </w:p>
    <w:p w14:paraId="6E3256A5" w14:textId="4582EE90" w:rsidR="002556AF" w:rsidRDefault="00B45B08" w:rsidP="00577F95">
      <w:pPr>
        <w:pStyle w:val="Nadpis3"/>
      </w:pPr>
      <w:bookmarkStart w:id="125" w:name="_Ref44947301"/>
      <w:r>
        <w:t>P</w:t>
      </w:r>
      <w:r w:rsidR="002556AF" w:rsidRPr="00B45B08">
        <w:t>ríprav</w:t>
      </w:r>
      <w:r w:rsidRPr="00B45B08">
        <w:t>a</w:t>
      </w:r>
      <w:r w:rsidR="002556AF" w:rsidRPr="00B45B08">
        <w:t xml:space="preserve"> štúdie uskutočniteľnosti koncesie</w:t>
      </w:r>
      <w:bookmarkEnd w:id="125"/>
    </w:p>
    <w:p w14:paraId="4B06EF64" w14:textId="63AD8042" w:rsidR="0075595E" w:rsidRDefault="0075595E" w:rsidP="00450439">
      <w:r>
        <w:t xml:space="preserve">Investor, resp. ministerstvo pripravuje štúdiu uskutočniteľnosti koncesie </w:t>
      </w:r>
      <w:r w:rsidR="00714C15">
        <w:t>podľa jedného z nasledujúcich dvoch scenárov, ktorý sa vzťahuje na predmetný</w:t>
      </w:r>
      <w:r w:rsidR="002D381D">
        <w:t xml:space="preserve"> investičný</w:t>
      </w:r>
      <w:r w:rsidR="00714C15">
        <w:t xml:space="preserve"> projekt</w:t>
      </w:r>
      <w:r>
        <w:t>:</w:t>
      </w:r>
    </w:p>
    <w:p w14:paraId="793E1A76" w14:textId="09059B59" w:rsidR="0075595E" w:rsidRDefault="002D381D" w:rsidP="00450439">
      <w:pPr>
        <w:pStyle w:val="Odsekzoznamu"/>
        <w:numPr>
          <w:ilvl w:val="0"/>
          <w:numId w:val="51"/>
        </w:numPr>
      </w:pPr>
      <w:r>
        <w:t xml:space="preserve">investičný </w:t>
      </w:r>
      <w:r w:rsidR="0075595E">
        <w:t>projekt je od začiatku pripravovaný formou koncesie,</w:t>
      </w:r>
    </w:p>
    <w:p w14:paraId="0F1AA95C" w14:textId="5C1B4ACD" w:rsidR="0075595E" w:rsidRPr="00714C15" w:rsidRDefault="002D381D" w:rsidP="00450439">
      <w:pPr>
        <w:pStyle w:val="Odsekzoznamu"/>
        <w:numPr>
          <w:ilvl w:val="0"/>
          <w:numId w:val="51"/>
        </w:numPr>
      </w:pPr>
      <w:r>
        <w:t xml:space="preserve">investičný </w:t>
      </w:r>
      <w:r w:rsidR="0075595E">
        <w:t>projekt je od začiatku pripravovaný formou investície, ale zvažuje sa realizácia formou PPP.</w:t>
      </w:r>
    </w:p>
    <w:p w14:paraId="4A0A3A2F" w14:textId="79F885EC" w:rsidR="001358A4" w:rsidRPr="00714C15" w:rsidRDefault="00714C15" w:rsidP="00450439">
      <w:pPr>
        <w:pStyle w:val="Nadpis4"/>
        <w:numPr>
          <w:ilvl w:val="0"/>
          <w:numId w:val="0"/>
        </w:numPr>
        <w:ind w:left="864" w:hanging="864"/>
      </w:pPr>
      <w:r>
        <w:t xml:space="preserve">Scenár </w:t>
      </w:r>
      <w:r w:rsidR="0075595E">
        <w:t xml:space="preserve">A: </w:t>
      </w:r>
      <w:r w:rsidR="001358A4" w:rsidRPr="00714C15">
        <w:t>Príprava</w:t>
      </w:r>
      <w:r w:rsidR="002D381D">
        <w:t xml:space="preserve"> investičného projektu</w:t>
      </w:r>
      <w:r w:rsidR="001358A4" w:rsidRPr="00714C15">
        <w:t xml:space="preserve"> </w:t>
      </w:r>
      <w:r>
        <w:t>formou koncesie</w:t>
      </w:r>
      <w:r w:rsidR="001358A4" w:rsidRPr="00714C15">
        <w:t xml:space="preserve"> od začiatku</w:t>
      </w:r>
    </w:p>
    <w:p w14:paraId="5ECFD75B" w14:textId="25F1E475" w:rsidR="001358A4" w:rsidRPr="005C2CEC" w:rsidRDefault="001358A4" w:rsidP="00450439">
      <w:r w:rsidRPr="005C2CEC">
        <w:t xml:space="preserve">Pre koncesie s celkovou predpokladanou hodnotou </w:t>
      </w:r>
      <w:r w:rsidR="007907EA">
        <w:t>nad ustanovenou</w:t>
      </w:r>
      <w:r w:rsidRPr="006077A0">
        <w:t xml:space="preserve"> </w:t>
      </w:r>
      <w:r w:rsidRPr="005C2CEC">
        <w:t>hranic</w:t>
      </w:r>
      <w:r w:rsidR="007907EA">
        <w:t>ou</w:t>
      </w:r>
      <w:r w:rsidRPr="005C2CEC">
        <w:t xml:space="preserve"> pripraví </w:t>
      </w:r>
      <w:r w:rsidR="00714C15">
        <w:t>I</w:t>
      </w:r>
      <w:r w:rsidRPr="005C2CEC">
        <w:t xml:space="preserve">nvestor štúdiu uskutočniteľnosti vypracovanú podľa metodiky </w:t>
      </w:r>
      <w:hyperlink r:id="rId48" w:history="1">
        <w:r w:rsidRPr="0028456A">
          <w:rPr>
            <w:rStyle w:val="Hypertextovprepojenie"/>
            <w:i/>
          </w:rPr>
          <w:t>Obsah a požiadavky na štúdiu uskutočniteľnosti a komparátor verejného sektora (Public sector comparator)</w:t>
        </w:r>
      </w:hyperlink>
      <w:r w:rsidRPr="005C2CEC">
        <w:t xml:space="preserve"> pri splnení nasledovných krokov:</w:t>
      </w:r>
    </w:p>
    <w:p w14:paraId="6685B57E" w14:textId="4BD61872" w:rsidR="001358A4" w:rsidRPr="005C2CEC" w:rsidRDefault="001358A4" w:rsidP="00450439">
      <w:pPr>
        <w:pStyle w:val="Odsekzoznamu"/>
        <w:numPr>
          <w:ilvl w:val="0"/>
          <w:numId w:val="11"/>
        </w:numPr>
      </w:pPr>
      <w:r w:rsidRPr="005C2CEC">
        <w:t>kapitol</w:t>
      </w:r>
      <w:r w:rsidR="00714C15">
        <w:t xml:space="preserve">u </w:t>
      </w:r>
      <w:r w:rsidRPr="005C2CEC">
        <w:t xml:space="preserve">„Strategický kontext“ vypracuje podľa </w:t>
      </w:r>
      <w:r w:rsidR="002D381D">
        <w:t xml:space="preserve">časti B. </w:t>
      </w:r>
      <w:r w:rsidRPr="005C2CEC">
        <w:t xml:space="preserve">dokumentu </w:t>
      </w:r>
      <w:hyperlink r:id="rId49" w:history="1">
        <w:r w:rsidRPr="00EC58A2">
          <w:rPr>
            <w:rStyle w:val="Hypertextovprepojenie"/>
            <w:i/>
          </w:rPr>
          <w:t>Obsah a požiadavky na štúdiu uskutočniteľnosti a komparátor verejného sektora (Public sector comparator)</w:t>
        </w:r>
      </w:hyperlink>
      <w:r>
        <w:rPr>
          <w:i/>
        </w:rPr>
        <w:t>,</w:t>
      </w:r>
    </w:p>
    <w:p w14:paraId="32909125" w14:textId="147163A7" w:rsidR="001358A4" w:rsidRPr="005C2CEC" w:rsidRDefault="001358A4" w:rsidP="00450439">
      <w:pPr>
        <w:pStyle w:val="Odsekzoznamu"/>
        <w:numPr>
          <w:ilvl w:val="0"/>
          <w:numId w:val="11"/>
        </w:numPr>
      </w:pPr>
      <w:r>
        <w:t>kapitolu</w:t>
      </w:r>
      <w:r w:rsidRPr="005C2CEC">
        <w:t xml:space="preserve"> „Analýza variantov riešenia“ </w:t>
      </w:r>
      <w:r w:rsidRPr="00A20029">
        <w:t>vypracuje podľa</w:t>
      </w:r>
      <w:r w:rsidR="0020498D">
        <w:t xml:space="preserve"> inštrukcií</w:t>
      </w:r>
      <w:r w:rsidR="00714C15">
        <w:t xml:space="preserve"> v kapitole</w:t>
      </w:r>
      <w:r>
        <w:t xml:space="preserve"> </w:t>
      </w:r>
      <w:r>
        <w:fldChar w:fldCharType="begin"/>
      </w:r>
      <w:r>
        <w:instrText xml:space="preserve"> REF _Ref45287927 \r \h </w:instrText>
      </w:r>
      <w:r>
        <w:fldChar w:fldCharType="separate"/>
      </w:r>
      <w:r w:rsidR="000D2AF7">
        <w:t>4.2.1</w:t>
      </w:r>
      <w:r>
        <w:fldChar w:fldCharType="end"/>
      </w:r>
      <w:r w:rsidR="00714C15">
        <w:t xml:space="preserve"> </w:t>
      </w:r>
      <w:r w:rsidR="00B608EA">
        <w:t>tejto Metodiky</w:t>
      </w:r>
      <w:r w:rsidR="00714C15">
        <w:t xml:space="preserve"> </w:t>
      </w:r>
      <w:r w:rsidRPr="005C2CEC">
        <w:t>(</w:t>
      </w:r>
      <w:r w:rsidR="0025404F">
        <w:t xml:space="preserve">t.j. podľa inštrukcií pre vypracovanie štúdie uskutočniteľnosti investície </w:t>
      </w:r>
      <w:r w:rsidRPr="005C2CEC">
        <w:t>s ohľadom</w:t>
      </w:r>
      <w:r w:rsidR="00714C15">
        <w:t xml:space="preserve"> na</w:t>
      </w:r>
      <w:r w:rsidRPr="005C2CEC">
        <w:t xml:space="preserve"> </w:t>
      </w:r>
      <w:r w:rsidR="00714C15">
        <w:t>sektorovú metodiku</w:t>
      </w:r>
      <w:r>
        <w:t>),</w:t>
      </w:r>
    </w:p>
    <w:p w14:paraId="4503658F" w14:textId="72680A90" w:rsidR="001358A4" w:rsidRPr="005C2CEC" w:rsidRDefault="001358A4" w:rsidP="00450439">
      <w:pPr>
        <w:pStyle w:val="Odsekzoznamu"/>
        <w:numPr>
          <w:ilvl w:val="0"/>
          <w:numId w:val="11"/>
        </w:numPr>
      </w:pPr>
      <w:r>
        <w:t xml:space="preserve">kapitolu </w:t>
      </w:r>
      <w:r w:rsidRPr="005C2CEC">
        <w:t>„Analýza uskutočniteľnosti preferovaného variantu“</w:t>
      </w:r>
      <w:r>
        <w:t xml:space="preserve"> vypracuje </w:t>
      </w:r>
      <w:r w:rsidRPr="005C2CEC">
        <w:t xml:space="preserve">podľa </w:t>
      </w:r>
      <w:r w:rsidR="002D381D">
        <w:t xml:space="preserve">časti B. </w:t>
      </w:r>
      <w:r w:rsidRPr="005C2CEC">
        <w:t xml:space="preserve">dokumentu </w:t>
      </w:r>
      <w:hyperlink r:id="rId50" w:history="1">
        <w:r w:rsidRPr="0028456A">
          <w:rPr>
            <w:rStyle w:val="Hypertextovprepojenie"/>
            <w:i/>
          </w:rPr>
          <w:t>Obsah a požiadavky na štúdiu uskutočniteľnosti a komparátor verejného sektora (Public sector comparator)</w:t>
        </w:r>
      </w:hyperlink>
      <w:r>
        <w:rPr>
          <w:i/>
        </w:rPr>
        <w:t>,</w:t>
      </w:r>
    </w:p>
    <w:p w14:paraId="6F1D0145" w14:textId="2F925088" w:rsidR="001358A4" w:rsidRPr="005C2CEC" w:rsidRDefault="002D381D" w:rsidP="00450439">
      <w:pPr>
        <w:pStyle w:val="Odsekzoznamu"/>
        <w:numPr>
          <w:ilvl w:val="0"/>
          <w:numId w:val="11"/>
        </w:numPr>
      </w:pPr>
      <w:r>
        <w:lastRenderedPageBreak/>
        <w:t>n</w:t>
      </w:r>
      <w:r w:rsidR="001358A4" w:rsidRPr="005C2CEC">
        <w:t>ásledne Investor</w:t>
      </w:r>
      <w:r w:rsidR="0025404F">
        <w:t xml:space="preserve"> (ministerstvo)</w:t>
      </w:r>
      <w:r w:rsidR="001358A4" w:rsidRPr="005C2CEC">
        <w:t xml:space="preserve"> posúdi výhodnosť realizácie a financovania koncesie formou verejno-súkromného partnerstva </w:t>
      </w:r>
      <w:r w:rsidR="00714C15">
        <w:t xml:space="preserve">(PPP) </w:t>
      </w:r>
      <w:r w:rsidR="001358A4" w:rsidRPr="005C2CEC">
        <w:t>prostredníctvom hodnotení podľa</w:t>
      </w:r>
      <w:r w:rsidR="0025404F">
        <w:t xml:space="preserve"> inštrukcií uvedených v</w:t>
      </w:r>
      <w:r w:rsidR="001358A4" w:rsidRPr="005C2CEC">
        <w:t xml:space="preserve"> </w:t>
      </w:r>
      <w:r w:rsidR="0025404F">
        <w:t>kapitole</w:t>
      </w:r>
      <w:r w:rsidR="001358A4">
        <w:t xml:space="preserve"> </w:t>
      </w:r>
      <w:r w:rsidR="001358A4">
        <w:fldChar w:fldCharType="begin"/>
      </w:r>
      <w:r w:rsidR="001358A4">
        <w:instrText xml:space="preserve"> REF _Ref75874330 \r \h </w:instrText>
      </w:r>
      <w:r w:rsidR="001358A4">
        <w:fldChar w:fldCharType="separate"/>
      </w:r>
      <w:r w:rsidR="000D2AF7">
        <w:t>4.3.1</w:t>
      </w:r>
      <w:r w:rsidR="001358A4">
        <w:fldChar w:fldCharType="end"/>
      </w:r>
      <w:r w:rsidR="001358A4">
        <w:t>:</w:t>
      </w:r>
    </w:p>
    <w:p w14:paraId="46C6A32F" w14:textId="1B284361" w:rsidR="001358A4" w:rsidRPr="005C2CEC" w:rsidRDefault="001358A4" w:rsidP="00450439">
      <w:pPr>
        <w:pStyle w:val="Odsekzoznamu"/>
        <w:numPr>
          <w:ilvl w:val="1"/>
          <w:numId w:val="11"/>
        </w:numPr>
      </w:pPr>
      <w:r w:rsidRPr="005C2CEC">
        <w:t xml:space="preserve">Ak z hodnotenia vyplynie, že koncesia má veľmi dobré, resp. čiastočné predpoklady na to, aby bola realizovaná formou PPP, Investor vypracuje kapitoly „Analýza možností realizácie projektu“, „Platobný mechanizmus“, „Príprava verejného obstarávania projektu“ a „Zhrnutie štúdie uskutočniteľnosti“ </w:t>
      </w:r>
      <w:r w:rsidR="002D381D">
        <w:t>z</w:t>
      </w:r>
      <w:r w:rsidRPr="005C2CEC">
        <w:t xml:space="preserve"> </w:t>
      </w:r>
      <w:r w:rsidR="002D381D" w:rsidRPr="00A24758">
        <w:t>časti B. a časť C. podľa</w:t>
      </w:r>
      <w:r w:rsidR="002D381D">
        <w:t xml:space="preserve"> </w:t>
      </w:r>
      <w:r w:rsidRPr="005C2CEC">
        <w:t xml:space="preserve">metodického dokumentu </w:t>
      </w:r>
      <w:hyperlink r:id="rId51" w:history="1">
        <w:r w:rsidRPr="0028456A">
          <w:rPr>
            <w:rStyle w:val="Hypertextovprepojenie"/>
            <w:i/>
          </w:rPr>
          <w:t>Obsah a požiadavky na štúdiu uskutočniteľnosti a komparátor verejného sektora (Public sector comparator)</w:t>
        </w:r>
      </w:hyperlink>
      <w:r w:rsidRPr="005C2CEC">
        <w:t>.</w:t>
      </w:r>
    </w:p>
    <w:p w14:paraId="4D6F2A4D" w14:textId="60B6CC17" w:rsidR="001358A4" w:rsidRDefault="001358A4" w:rsidP="00450439">
      <w:pPr>
        <w:pStyle w:val="Odsekzoznamu"/>
        <w:numPr>
          <w:ilvl w:val="1"/>
          <w:numId w:val="11"/>
        </w:numPr>
      </w:pPr>
      <w:r w:rsidRPr="005C2CEC">
        <w:t>Ak z hodnotenia vyplynie, že koncesia pravdepodobne nie je vhodná na realizáciu formou PPP a napriek tomu má Investor</w:t>
      </w:r>
      <w:r w:rsidR="007907EA">
        <w:t xml:space="preserve"> (ministerstvo)</w:t>
      </w:r>
      <w:r w:rsidRPr="005C2CEC">
        <w:t xml:space="preserve"> záujem pokračovať v tejto forme zákazky</w:t>
      </w:r>
      <w:r w:rsidRPr="005C2CEC">
        <w:rPr>
          <w:vertAlign w:val="superscript"/>
        </w:rPr>
        <w:footnoteReference w:id="20"/>
      </w:r>
      <w:r w:rsidRPr="005C2CEC">
        <w:t xml:space="preserve">, </w:t>
      </w:r>
      <w:r w:rsidR="008017E0">
        <w:t xml:space="preserve">vypracuje </w:t>
      </w:r>
      <w:r w:rsidR="002D381D">
        <w:t>kapitoly</w:t>
      </w:r>
      <w:r w:rsidR="008017E0">
        <w:t xml:space="preserve"> štúdie uskutočniteľnosti koncesie </w:t>
      </w:r>
      <w:r w:rsidRPr="005C2CEC">
        <w:t>podľa predchádzajúceho bodu.</w:t>
      </w:r>
    </w:p>
    <w:p w14:paraId="06560F45" w14:textId="4AFE01D2" w:rsidR="001358A4" w:rsidRPr="00E279B2" w:rsidRDefault="00714C15" w:rsidP="00450439">
      <w:pPr>
        <w:pStyle w:val="Nadpis4"/>
        <w:numPr>
          <w:ilvl w:val="0"/>
          <w:numId w:val="0"/>
        </w:numPr>
        <w:ind w:left="864" w:hanging="864"/>
      </w:pPr>
      <w:r>
        <w:t xml:space="preserve">Scenár </w:t>
      </w:r>
      <w:r w:rsidR="0075595E">
        <w:t xml:space="preserve">B: </w:t>
      </w:r>
      <w:r>
        <w:t xml:space="preserve">Posúdenie realizácie </w:t>
      </w:r>
      <w:r w:rsidR="002D381D">
        <w:t>investičného projektu</w:t>
      </w:r>
      <w:r w:rsidR="003F3AA6">
        <w:t xml:space="preserve"> (investície)</w:t>
      </w:r>
      <w:r>
        <w:t xml:space="preserve"> formou PPP</w:t>
      </w:r>
    </w:p>
    <w:p w14:paraId="49365043" w14:textId="181F9FAA" w:rsidR="002D381D" w:rsidRDefault="008017E0" w:rsidP="008017E0">
      <w:r w:rsidRPr="00A20029">
        <w:t>V prípade, že sa Investor, resp. ministerstvo rozhodne posúdiť financovanie</w:t>
      </w:r>
      <w:r w:rsidR="002D381D">
        <w:t xml:space="preserve"> </w:t>
      </w:r>
      <w:r w:rsidRPr="00A20029">
        <w:t>investičného projektu nad u</w:t>
      </w:r>
      <w:r w:rsidR="007907EA">
        <w:t>stanovenou hranicou</w:t>
      </w:r>
      <w:r w:rsidR="007907EA" w:rsidRPr="007907EA">
        <w:t xml:space="preserve"> </w:t>
      </w:r>
      <w:r w:rsidR="007907EA" w:rsidRPr="00A20029">
        <w:t xml:space="preserve">formou </w:t>
      </w:r>
      <w:r w:rsidR="007907EA">
        <w:t xml:space="preserve">PPP a pre tento investičný projekt už bola vypracovaná štúdia uskutočniteľnosti investície v súlade s kapitolou </w:t>
      </w:r>
      <w:r w:rsidR="007907EA">
        <w:fldChar w:fldCharType="begin"/>
      </w:r>
      <w:r w:rsidR="007907EA">
        <w:instrText xml:space="preserve"> REF _Ref45287927 \r \h </w:instrText>
      </w:r>
      <w:r w:rsidR="007907EA">
        <w:fldChar w:fldCharType="separate"/>
      </w:r>
      <w:r w:rsidR="000D2AF7">
        <w:t>4.2.1</w:t>
      </w:r>
      <w:r w:rsidR="007907EA">
        <w:fldChar w:fldCharType="end"/>
      </w:r>
      <w:r w:rsidRPr="00A20029">
        <w:t xml:space="preserve">, </w:t>
      </w:r>
      <w:r w:rsidR="003F3AA6">
        <w:t>Investor</w:t>
      </w:r>
      <w:r w:rsidR="0025404F">
        <w:t xml:space="preserve"> (ministerstvo) </w:t>
      </w:r>
      <w:r w:rsidRPr="00A20029">
        <w:t>vypracu</w:t>
      </w:r>
      <w:r>
        <w:t xml:space="preserve">je dotazník </w:t>
      </w:r>
      <w:r w:rsidR="007907EA">
        <w:t xml:space="preserve">v Prílohe </w:t>
      </w:r>
      <w:r w:rsidR="007907EA">
        <w:fldChar w:fldCharType="begin"/>
      </w:r>
      <w:r w:rsidR="007907EA">
        <w:instrText xml:space="preserve"> REF Priloha1 \h </w:instrText>
      </w:r>
      <w:r w:rsidR="007907EA">
        <w:fldChar w:fldCharType="separate"/>
      </w:r>
      <w:r w:rsidR="000D2AF7">
        <w:rPr>
          <w:noProof/>
        </w:rPr>
        <w:t>1</w:t>
      </w:r>
      <w:r w:rsidR="007907EA">
        <w:fldChar w:fldCharType="end"/>
      </w:r>
      <w:r w:rsidR="007907EA">
        <w:t xml:space="preserve"> </w:t>
      </w:r>
      <w:r w:rsidR="003F3AA6">
        <w:t>(</w:t>
      </w:r>
      <w:r w:rsidR="003F3AA6" w:rsidRPr="00F75E5B">
        <w:t>Dotazník pre vyhodnotenie potenciálu na financovanie formou PPP</w:t>
      </w:r>
      <w:r w:rsidR="003F3AA6">
        <w:t xml:space="preserve">) </w:t>
      </w:r>
      <w:r w:rsidR="007907EA">
        <w:t>a posúdi výhodnosť realizácie</w:t>
      </w:r>
      <w:r w:rsidR="003F3AA6">
        <w:t xml:space="preserve"> investičného projektu</w:t>
      </w:r>
      <w:r w:rsidR="0025404F">
        <w:t xml:space="preserve"> formou </w:t>
      </w:r>
      <w:r w:rsidR="003F3AA6">
        <w:t>PPP</w:t>
      </w:r>
      <w:r w:rsidR="007907EA">
        <w:t xml:space="preserve"> p</w:t>
      </w:r>
      <w:r>
        <w:t>odľa</w:t>
      </w:r>
      <w:r w:rsidR="007907EA">
        <w:t xml:space="preserve"> inštrukcií</w:t>
      </w:r>
      <w:r>
        <w:t xml:space="preserve"> </w:t>
      </w:r>
      <w:r w:rsidR="007907EA">
        <w:t>uvedených v kapitole</w:t>
      </w:r>
      <w:r>
        <w:t xml:space="preserve"> </w:t>
      </w:r>
      <w:r>
        <w:fldChar w:fldCharType="begin"/>
      </w:r>
      <w:r>
        <w:instrText xml:space="preserve"> REF _Ref75874330 \r \h </w:instrText>
      </w:r>
      <w:r>
        <w:fldChar w:fldCharType="separate"/>
      </w:r>
      <w:r w:rsidR="000D2AF7">
        <w:t>4.3.1</w:t>
      </w:r>
      <w:r>
        <w:fldChar w:fldCharType="end"/>
      </w:r>
      <w:r w:rsidR="002D381D">
        <w:t>:</w:t>
      </w:r>
    </w:p>
    <w:p w14:paraId="5709296E" w14:textId="38F490A5" w:rsidR="008017E0" w:rsidRPr="00450439" w:rsidRDefault="008017E0" w:rsidP="00450439">
      <w:pPr>
        <w:pStyle w:val="Odsekzoznamu"/>
        <w:numPr>
          <w:ilvl w:val="0"/>
          <w:numId w:val="52"/>
        </w:numPr>
        <w:rPr>
          <w:rFonts w:ascii="Calibri" w:hAnsi="Calibri"/>
          <w:lang w:val="en-GB"/>
        </w:rPr>
      </w:pPr>
      <w:r w:rsidRPr="00A20029">
        <w:t xml:space="preserve">Ak z hodnotenia vyplynie, že </w:t>
      </w:r>
      <w:r w:rsidR="002D381D">
        <w:t>investičný projekt</w:t>
      </w:r>
      <w:r w:rsidRPr="00A20029">
        <w:t xml:space="preserve"> má veľmi dobré, resp. čiast</w:t>
      </w:r>
      <w:r w:rsidR="002D381D">
        <w:t>očné predpoklady na to, aby bol realizovaný</w:t>
      </w:r>
      <w:r w:rsidRPr="00A20029">
        <w:t xml:space="preserve"> formou</w:t>
      </w:r>
      <w:r w:rsidR="00C63BF5">
        <w:t xml:space="preserve"> </w:t>
      </w:r>
      <w:r w:rsidR="00C63BF5" w:rsidRPr="005C2CEC">
        <w:t>verejno-súkromného partnerstva</w:t>
      </w:r>
      <w:r w:rsidRPr="00A20029">
        <w:t xml:space="preserve"> </w:t>
      </w:r>
      <w:r w:rsidR="00C63BF5">
        <w:t>(</w:t>
      </w:r>
      <w:r w:rsidRPr="00A20029">
        <w:t>PPP</w:t>
      </w:r>
      <w:r w:rsidR="00C63BF5">
        <w:t>)</w:t>
      </w:r>
      <w:r w:rsidRPr="00A20029">
        <w:t xml:space="preserve">, </w:t>
      </w:r>
      <w:r w:rsidR="00C63BF5">
        <w:t>doplní</w:t>
      </w:r>
      <w:r w:rsidRPr="00A20029">
        <w:t xml:space="preserve"> </w:t>
      </w:r>
      <w:r w:rsidR="00C63BF5">
        <w:t>do</w:t>
      </w:r>
      <w:r w:rsidR="0025404F">
        <w:t xml:space="preserve"> existujúcej</w:t>
      </w:r>
      <w:r w:rsidR="00C63BF5">
        <w:t xml:space="preserve"> </w:t>
      </w:r>
      <w:r w:rsidR="002D381D">
        <w:t>štúdie</w:t>
      </w:r>
      <w:r w:rsidRPr="00A20029">
        <w:t xml:space="preserve"> uskutočniteľnosti</w:t>
      </w:r>
      <w:r w:rsidR="00C63BF5">
        <w:t xml:space="preserve"> investície</w:t>
      </w:r>
      <w:r w:rsidRPr="00A20029">
        <w:t xml:space="preserve"> </w:t>
      </w:r>
      <w:r w:rsidR="00C63BF5">
        <w:t>nasledujúce časti</w:t>
      </w:r>
      <w:r w:rsidRPr="00A20029">
        <w:t>:</w:t>
      </w:r>
    </w:p>
    <w:p w14:paraId="0040B824" w14:textId="103CF4BC" w:rsidR="008017E0" w:rsidRPr="00A20029" w:rsidRDefault="008017E0" w:rsidP="00450439">
      <w:pPr>
        <w:pStyle w:val="Odsekzoznamu"/>
        <w:numPr>
          <w:ilvl w:val="1"/>
          <w:numId w:val="11"/>
        </w:numPr>
      </w:pPr>
      <w:r w:rsidRPr="00A20029">
        <w:t>kapitoly „Analýza uskutočniteľnosti preferovaného variantu“, „Analýza možností realizácie projektu“, „Platobný mechanizmus“, „Príprava verejného obstarávania projektu“ a „Zhrnutie štúdie uskutoč</w:t>
      </w:r>
      <w:r w:rsidR="002D381D">
        <w:t>niteľnosti“ vypracované podľa časti B.</w:t>
      </w:r>
      <w:r w:rsidRPr="00A20029">
        <w:t xml:space="preserve"> metodického dokumentu </w:t>
      </w:r>
      <w:hyperlink r:id="rId52" w:history="1">
        <w:r w:rsidRPr="0028456A">
          <w:rPr>
            <w:rStyle w:val="Hypertextovprepojenie"/>
            <w:i/>
          </w:rPr>
          <w:t xml:space="preserve">Obsah a požiadavky na štúdiu uskutočniteľnosti a </w:t>
        </w:r>
        <w:r w:rsidRPr="00450439">
          <w:rPr>
            <w:rStyle w:val="Hypertextovprepojenie"/>
          </w:rPr>
          <w:t>komparátor</w:t>
        </w:r>
        <w:r w:rsidRPr="0028456A">
          <w:rPr>
            <w:rStyle w:val="Hypertextovprepojenie"/>
            <w:i/>
          </w:rPr>
          <w:t xml:space="preserve"> verejného sektora (</w:t>
        </w:r>
        <w:r w:rsidRPr="00450439">
          <w:rPr>
            <w:rStyle w:val="Hypertextovprepojenie"/>
          </w:rPr>
          <w:t>Public</w:t>
        </w:r>
        <w:r w:rsidRPr="0028456A">
          <w:rPr>
            <w:rStyle w:val="Hypertextovprepojenie"/>
            <w:i/>
          </w:rPr>
          <w:t xml:space="preserve"> </w:t>
        </w:r>
        <w:r w:rsidRPr="00450439">
          <w:rPr>
            <w:rStyle w:val="Hypertextovprepojenie"/>
          </w:rPr>
          <w:t>sector</w:t>
        </w:r>
        <w:r w:rsidRPr="0028456A">
          <w:rPr>
            <w:rStyle w:val="Hypertextovprepojenie"/>
            <w:i/>
          </w:rPr>
          <w:t xml:space="preserve"> </w:t>
        </w:r>
        <w:r w:rsidRPr="00450439">
          <w:rPr>
            <w:rStyle w:val="Hypertextovprepojenie"/>
          </w:rPr>
          <w:t>comparator</w:t>
        </w:r>
        <w:r w:rsidRPr="0028456A">
          <w:rPr>
            <w:rStyle w:val="Hypertextovprepojenie"/>
            <w:i/>
          </w:rPr>
          <w:t>)</w:t>
        </w:r>
      </w:hyperlink>
      <w:r w:rsidRPr="00A20029">
        <w:t>,</w:t>
      </w:r>
    </w:p>
    <w:p w14:paraId="4DE4E371" w14:textId="0D8577B6" w:rsidR="008017E0" w:rsidRDefault="007907EA" w:rsidP="00450439">
      <w:pPr>
        <w:pStyle w:val="Odsekzoznamu"/>
        <w:numPr>
          <w:ilvl w:val="1"/>
          <w:numId w:val="11"/>
        </w:numPr>
      </w:pPr>
      <w:r>
        <w:t>časť</w:t>
      </w:r>
      <w:r w:rsidR="008017E0" w:rsidRPr="00A20029">
        <w:t xml:space="preserve"> C. </w:t>
      </w:r>
      <w:r>
        <w:t>vypracovanú</w:t>
      </w:r>
      <w:r w:rsidR="008017E0" w:rsidRPr="00A20029">
        <w:t xml:space="preserve"> podľa metodického dokumentu </w:t>
      </w:r>
      <w:hyperlink r:id="rId53" w:history="1">
        <w:r w:rsidR="008017E0" w:rsidRPr="00450439">
          <w:rPr>
            <w:rStyle w:val="Hypertextovprepojenie"/>
          </w:rPr>
          <w:t>Obsah a požiadavky na štúdiu uskutočniteľnosti a komparátor verejného sektora (Public sector comparator)</w:t>
        </w:r>
      </w:hyperlink>
      <w:r w:rsidR="008017E0" w:rsidRPr="00A20029">
        <w:t>.</w:t>
      </w:r>
    </w:p>
    <w:p w14:paraId="7D7913D6" w14:textId="58FDA316" w:rsidR="009B64B5" w:rsidRPr="00B45B08" w:rsidRDefault="00C63BF5" w:rsidP="00450439">
      <w:pPr>
        <w:pStyle w:val="Odsekzoznamu"/>
        <w:numPr>
          <w:ilvl w:val="0"/>
          <w:numId w:val="52"/>
        </w:numPr>
      </w:pPr>
      <w:r w:rsidRPr="00C63BF5">
        <w:t xml:space="preserve">Ak z hodnotenia vyplynie, že </w:t>
      </w:r>
      <w:r w:rsidR="007907EA">
        <w:t>investičný projekt pravdepodobne nie je vhodný</w:t>
      </w:r>
      <w:r w:rsidRPr="00C63BF5">
        <w:t xml:space="preserve"> na realizáciu formou PPP a napriek tomu má </w:t>
      </w:r>
      <w:r w:rsidR="007907EA">
        <w:t xml:space="preserve">Investor (ministerstvo) </w:t>
      </w:r>
      <w:r w:rsidRPr="00C63BF5">
        <w:t>záujem p</w:t>
      </w:r>
      <w:r w:rsidR="007907EA">
        <w:t>okračovať v tejto forme zákazky</w:t>
      </w:r>
      <w:r w:rsidRPr="00C63BF5">
        <w:t xml:space="preserve">, </w:t>
      </w:r>
      <w:r>
        <w:t>doplní</w:t>
      </w:r>
      <w:r w:rsidRPr="00C63BF5">
        <w:t xml:space="preserve"> </w:t>
      </w:r>
      <w:r w:rsidR="007907EA">
        <w:t xml:space="preserve">existujúcu </w:t>
      </w:r>
      <w:r>
        <w:t>štúdiu</w:t>
      </w:r>
      <w:r w:rsidRPr="00C63BF5">
        <w:t xml:space="preserve"> uskutočniteľnosti </w:t>
      </w:r>
      <w:r>
        <w:t>investície podľa inštrukcií</w:t>
      </w:r>
      <w:r w:rsidR="007907EA">
        <w:t xml:space="preserve"> v predchádzajúcich bodoch</w:t>
      </w:r>
      <w:r w:rsidRPr="00C63BF5">
        <w:t>.</w:t>
      </w:r>
    </w:p>
    <w:p w14:paraId="30A56C62" w14:textId="0BBEE2DC" w:rsidR="00996694" w:rsidRPr="005C2CEC" w:rsidRDefault="00996694" w:rsidP="00996694">
      <w:pPr>
        <w:pStyle w:val="Nadpis3"/>
      </w:pPr>
      <w:bookmarkStart w:id="126" w:name="_Ref75349088"/>
      <w:r w:rsidRPr="005C2CEC">
        <w:t>Finančná a ekonomická analýza</w:t>
      </w:r>
      <w:bookmarkEnd w:id="126"/>
    </w:p>
    <w:p w14:paraId="553BAA77" w14:textId="0F6CDF8E" w:rsidR="00996694" w:rsidRPr="005C2CEC" w:rsidRDefault="00B8704B" w:rsidP="00996694">
      <w:r w:rsidRPr="005C2CEC">
        <w:t xml:space="preserve">Investor v rámci </w:t>
      </w:r>
      <w:r w:rsidR="00996694" w:rsidRPr="005C2CEC">
        <w:t xml:space="preserve">štúdie uskutočniteľnosti </w:t>
      </w:r>
      <w:r w:rsidRPr="005C2CEC">
        <w:t>vypracuje finančnú a ekonomickú analýz</w:t>
      </w:r>
      <w:r w:rsidR="00867B9F" w:rsidRPr="005C2CEC">
        <w:t>u</w:t>
      </w:r>
      <w:r w:rsidRPr="005C2CEC">
        <w:t xml:space="preserve"> (analýzu</w:t>
      </w:r>
      <w:r w:rsidR="00996694" w:rsidRPr="005C2CEC">
        <w:t xml:space="preserve"> nákladov a</w:t>
      </w:r>
      <w:r w:rsidR="00ED6E8A">
        <w:t> </w:t>
      </w:r>
      <w:r w:rsidR="00996694" w:rsidRPr="005C2CEC">
        <w:t>prínosov</w:t>
      </w:r>
      <w:r w:rsidR="00ED6E8A">
        <w:t xml:space="preserve"> – CBA analýz</w:t>
      </w:r>
      <w:r w:rsidR="0043338C">
        <w:t>u, prípadne inú metódu finančnej a ekonomickej analýzy</w:t>
      </w:r>
      <w:r w:rsidR="00996694" w:rsidRPr="005C2CEC">
        <w:t xml:space="preserve">). Pri ich príprave postupuje Investor v zmysle </w:t>
      </w:r>
      <w:r w:rsidR="009144FE" w:rsidRPr="005C2CEC">
        <w:t>Rámca na hodnotenie verejných investičných projektov v SR</w:t>
      </w:r>
      <w:r w:rsidR="00996694" w:rsidRPr="005C2CEC">
        <w:t xml:space="preserve">. Na vypracovaní </w:t>
      </w:r>
      <w:r w:rsidR="0043338C">
        <w:t xml:space="preserve">finančnej a ekonomickej </w:t>
      </w:r>
      <w:r w:rsidR="00996694" w:rsidRPr="005C2CEC">
        <w:t xml:space="preserve">analýzy spolupracuje Investor s príslušnou </w:t>
      </w:r>
      <w:r w:rsidR="009144FE" w:rsidRPr="005C2CEC">
        <w:t>analytickou jednotkou</w:t>
      </w:r>
      <w:r w:rsidR="00996694" w:rsidRPr="005C2CEC">
        <w:t xml:space="preserve">. V prípade zabezpečenia </w:t>
      </w:r>
      <w:r w:rsidR="0043338C">
        <w:t xml:space="preserve">finančnej a ekonomickej </w:t>
      </w:r>
      <w:r w:rsidR="00996694" w:rsidRPr="005C2CEC">
        <w:t>analýzy z externých zdrojov postúpi Investor analýzu na posúd</w:t>
      </w:r>
      <w:r w:rsidR="009144FE" w:rsidRPr="005C2CEC">
        <w:t xml:space="preserve">enie </w:t>
      </w:r>
      <w:r w:rsidR="00F1642E" w:rsidRPr="005C2CEC">
        <w:t xml:space="preserve">rezortnej </w:t>
      </w:r>
      <w:r w:rsidR="009144FE" w:rsidRPr="005C2CEC">
        <w:t>analytickej jednotke</w:t>
      </w:r>
      <w:r w:rsidR="00996694" w:rsidRPr="005C2CEC">
        <w:t>.</w:t>
      </w:r>
    </w:p>
    <w:p w14:paraId="6D078047" w14:textId="52A32731" w:rsidR="00996694" w:rsidRPr="005C2CEC" w:rsidRDefault="00021EE2" w:rsidP="00996694">
      <w:r w:rsidRPr="005C2CEC">
        <w:t>V prípade, že je plánovaný</w:t>
      </w:r>
      <w:r w:rsidR="00996694" w:rsidRPr="005C2CEC">
        <w:t xml:space="preserve"> </w:t>
      </w:r>
      <w:r w:rsidRPr="005C2CEC">
        <w:t>investičný projekt</w:t>
      </w:r>
      <w:r w:rsidR="00996694" w:rsidRPr="005C2CEC">
        <w:t xml:space="preserve"> v oblasti dopravy, informatizácie alebo životného prostredia, postupuje Investor pri vypracovaní štúdie uskutočniteľnosti v súlade s </w:t>
      </w:r>
      <w:r w:rsidR="00701149" w:rsidRPr="005C2CEC">
        <w:t>sektorovými</w:t>
      </w:r>
      <w:r w:rsidR="00996694" w:rsidRPr="005C2CEC">
        <w:t xml:space="preserve"> metodikami podľa verzie platnej v čase prípravy štúdie uskutočniteľnosti nasledovne:</w:t>
      </w:r>
    </w:p>
    <w:p w14:paraId="53D116F5" w14:textId="0833BA73" w:rsidR="00996694" w:rsidRPr="005C2CEC" w:rsidRDefault="00996694" w:rsidP="0087207E">
      <w:pPr>
        <w:numPr>
          <w:ilvl w:val="0"/>
          <w:numId w:val="8"/>
        </w:numPr>
        <w:rPr>
          <w:b/>
        </w:rPr>
      </w:pPr>
      <w:r w:rsidRPr="005C2CEC">
        <w:t xml:space="preserve">pri </w:t>
      </w:r>
      <w:r w:rsidR="00021EE2" w:rsidRPr="005C2CEC">
        <w:t xml:space="preserve">investičných projektoch </w:t>
      </w:r>
      <w:r w:rsidRPr="005C2CEC">
        <w:t xml:space="preserve">v oblasti dopravy vypracuje Investor finančnú a ekonomickú analýzu podľa </w:t>
      </w:r>
      <w:hyperlink r:id="rId54" w:history="1">
        <w:r w:rsidRPr="00EC58A2">
          <w:rPr>
            <w:rStyle w:val="Hypertextovprepojenie"/>
            <w:i/>
          </w:rPr>
          <w:t>Príručky k analýze nákladov a výnosov investičných dopravných projektov v SR</w:t>
        </w:r>
      </w:hyperlink>
      <w:r w:rsidR="00EC58A2">
        <w:rPr>
          <w:i/>
        </w:rPr>
        <w:t>,</w:t>
      </w:r>
    </w:p>
    <w:p w14:paraId="176A95E4" w14:textId="43847005" w:rsidR="00996694" w:rsidRPr="005C2CEC" w:rsidRDefault="00996694" w:rsidP="00A850F8">
      <w:pPr>
        <w:numPr>
          <w:ilvl w:val="0"/>
          <w:numId w:val="8"/>
        </w:numPr>
        <w:rPr>
          <w:b/>
        </w:rPr>
      </w:pPr>
      <w:r w:rsidRPr="005C2CEC">
        <w:lastRenderedPageBreak/>
        <w:t xml:space="preserve">pri </w:t>
      </w:r>
      <w:r w:rsidR="00021EE2" w:rsidRPr="005C2CEC">
        <w:t xml:space="preserve">investičných projektoch </w:t>
      </w:r>
      <w:r w:rsidRPr="005C2CEC">
        <w:t xml:space="preserve">v oblasti informatizácie vypracuje Investor finančnú a ekonomickú analýzu podľa kapitol 3 - 4 </w:t>
      </w:r>
      <w:r w:rsidR="00701149" w:rsidRPr="005C2CEC">
        <w:t>sektorovej</w:t>
      </w:r>
      <w:r w:rsidRPr="005C2CEC">
        <w:t xml:space="preserve"> metodiky: </w:t>
      </w:r>
      <w:hyperlink r:id="rId55" w:history="1">
        <w:r w:rsidR="00A850F8" w:rsidRPr="0028456A">
          <w:rPr>
            <w:rStyle w:val="Hypertextovprepojenie"/>
            <w:i/>
          </w:rPr>
          <w:t>Metodický pokyn k spracovaniu biznis case a cost benefit analýzy informačných technológií verejnej správy</w:t>
        </w:r>
      </w:hyperlink>
      <w:r w:rsidRPr="005C2CEC">
        <w:rPr>
          <w:i/>
        </w:rPr>
        <w:t>,</w:t>
      </w:r>
    </w:p>
    <w:p w14:paraId="6F04F9FB" w14:textId="39EF0DD3" w:rsidR="00996694" w:rsidRPr="005C2CEC" w:rsidRDefault="00996694" w:rsidP="0087207E">
      <w:pPr>
        <w:numPr>
          <w:ilvl w:val="0"/>
          <w:numId w:val="8"/>
        </w:numPr>
        <w:rPr>
          <w:b/>
        </w:rPr>
      </w:pPr>
      <w:r w:rsidRPr="005C2CEC">
        <w:t xml:space="preserve">pri </w:t>
      </w:r>
      <w:r w:rsidR="00021EE2" w:rsidRPr="005C2CEC">
        <w:t xml:space="preserve">investičných projektoch </w:t>
      </w:r>
      <w:r w:rsidRPr="005C2CEC">
        <w:t xml:space="preserve">v oblasti životného prostredia vypracuje Investor finančnú a ekonomickú analýzu podľa kapitol 1.2 – 2 </w:t>
      </w:r>
      <w:r w:rsidR="00701149" w:rsidRPr="005C2CEC">
        <w:t xml:space="preserve">sektorovej </w:t>
      </w:r>
      <w:r w:rsidRPr="005C2CEC">
        <w:t xml:space="preserve">metodiky: </w:t>
      </w:r>
      <w:hyperlink r:id="rId56" w:history="1">
        <w:r w:rsidRPr="0028456A">
          <w:rPr>
            <w:rStyle w:val="Hypertextovprepojenie"/>
            <w:i/>
          </w:rPr>
          <w:t>Príručka k analýze nákladov a prínosov environmentálnych projektov</w:t>
        </w:r>
      </w:hyperlink>
      <w:r w:rsidRPr="005C2CEC">
        <w:rPr>
          <w:i/>
        </w:rPr>
        <w:t>.</w:t>
      </w:r>
    </w:p>
    <w:p w14:paraId="4D86882D" w14:textId="22F21AF1" w:rsidR="00701149" w:rsidRPr="005C2CEC" w:rsidRDefault="00996694" w:rsidP="00996694">
      <w:r w:rsidRPr="005C2CEC">
        <w:t xml:space="preserve">Pri </w:t>
      </w:r>
      <w:r w:rsidR="00021EE2" w:rsidRPr="005C2CEC">
        <w:t xml:space="preserve">investičných projektoch </w:t>
      </w:r>
      <w:r w:rsidRPr="005C2CEC">
        <w:t>v oblastiach, pre ktoré neboli vydané špecifické metodické príručky</w:t>
      </w:r>
      <w:r w:rsidRPr="005C2CEC">
        <w:rPr>
          <w:rStyle w:val="Odkaznapoznmkupodiarou"/>
        </w:rPr>
        <w:footnoteReference w:id="21"/>
      </w:r>
      <w:r w:rsidRPr="005C2CEC">
        <w:t xml:space="preserve"> pripraví Investor štúdiu uskutočniteľnosti podľa</w:t>
      </w:r>
      <w:r w:rsidR="0034015F" w:rsidRPr="005C2CEC">
        <w:t xml:space="preserve"> kapitol 4 - 8</w:t>
      </w:r>
      <w:r w:rsidRPr="005C2CEC">
        <w:t xml:space="preserve"> </w:t>
      </w:r>
      <w:hyperlink r:id="rId57" w:history="1">
        <w:r w:rsidRPr="00450439">
          <w:rPr>
            <w:rStyle w:val="Hypertextovprepojenie"/>
            <w:i/>
          </w:rPr>
          <w:t xml:space="preserve">Rámca na hodnotenie </w:t>
        </w:r>
        <w:r w:rsidR="009144FE" w:rsidRPr="00450439">
          <w:rPr>
            <w:rStyle w:val="Hypertextovprepojenie"/>
            <w:i/>
          </w:rPr>
          <w:t>verejných investičných projektov v SR</w:t>
        </w:r>
      </w:hyperlink>
      <w:r w:rsidRPr="005C2CEC">
        <w:t>.</w:t>
      </w:r>
    </w:p>
    <w:p w14:paraId="457EA3B3" w14:textId="2CABEF05" w:rsidR="00996694" w:rsidRPr="005C2CEC" w:rsidRDefault="00963544" w:rsidP="007B390E">
      <w:pPr>
        <w:pStyle w:val="Nadpis3"/>
      </w:pPr>
      <w:bookmarkStart w:id="127" w:name="_Ref44947879"/>
      <w:bookmarkStart w:id="128" w:name="_Ref45287944"/>
      <w:r w:rsidRPr="005C2CEC">
        <w:t>Ekonomické h</w:t>
      </w:r>
      <w:r w:rsidR="00996694" w:rsidRPr="005C2CEC">
        <w:t xml:space="preserve">odnotenie </w:t>
      </w:r>
      <w:r w:rsidRPr="005C2CEC">
        <w:t xml:space="preserve">investičného </w:t>
      </w:r>
      <w:r w:rsidR="00996694" w:rsidRPr="005C2CEC">
        <w:t>projektu</w:t>
      </w:r>
      <w:bookmarkEnd w:id="127"/>
      <w:r w:rsidR="007B390E" w:rsidRPr="005C2CEC">
        <w:t xml:space="preserve"> nad </w:t>
      </w:r>
      <w:r w:rsidR="006077A0" w:rsidRPr="006077A0">
        <w:t xml:space="preserve">ustanovenou </w:t>
      </w:r>
      <w:r w:rsidR="007B390E" w:rsidRPr="005C2CEC">
        <w:t>hranicou</w:t>
      </w:r>
      <w:bookmarkEnd w:id="128"/>
    </w:p>
    <w:p w14:paraId="32A694FF" w14:textId="44C04F0F" w:rsidR="00996694" w:rsidRPr="005C2CEC" w:rsidRDefault="00996694" w:rsidP="00996694">
      <w:r w:rsidRPr="005C2CEC">
        <w:t xml:space="preserve">Investor </w:t>
      </w:r>
      <w:r w:rsidR="005F0EFB" w:rsidRPr="005C2CEC">
        <w:t>zverejní</w:t>
      </w:r>
      <w:r w:rsidRPr="005C2CEC">
        <w:t xml:space="preserve"> štúdiu uskutočniteľnosti za účelom </w:t>
      </w:r>
      <w:r w:rsidR="005E10F9">
        <w:t xml:space="preserve">ekonomického </w:t>
      </w:r>
      <w:r w:rsidRPr="005C2CEC">
        <w:t>hodnotenia</w:t>
      </w:r>
      <w:r w:rsidR="005E10F9">
        <w:t xml:space="preserve"> MF SR</w:t>
      </w:r>
      <w:r w:rsidR="001F05DB" w:rsidRPr="005C2CEC">
        <w:t xml:space="preserve"> na svojom webovom sídle</w:t>
      </w:r>
      <w:r w:rsidR="009C27D6" w:rsidRPr="005C2CEC">
        <w:t>.</w:t>
      </w:r>
      <w:r w:rsidR="00365CC8" w:rsidRPr="005C2CEC">
        <w:t xml:space="preserve"> Za účelom zrýchlenia procesu ekonomického hodnotenia Investor </w:t>
      </w:r>
      <w:r w:rsidR="00AD17F9">
        <w:t>predloží</w:t>
      </w:r>
      <w:r w:rsidR="005E10F9" w:rsidRPr="005C2CEC">
        <w:t xml:space="preserve"> </w:t>
      </w:r>
      <w:r w:rsidR="00365CC8" w:rsidRPr="005C2CEC">
        <w:t xml:space="preserve">štúdiu uskutočniteľnosti </w:t>
      </w:r>
      <w:r w:rsidR="007D0727" w:rsidRPr="005C2CEC">
        <w:t>vrátane všetkých jej príloh</w:t>
      </w:r>
      <w:r w:rsidR="005E10F9">
        <w:t xml:space="preserve"> MF SR</w:t>
      </w:r>
      <w:r w:rsidR="007D0727" w:rsidRPr="005C2CEC">
        <w:t xml:space="preserve"> </w:t>
      </w:r>
      <w:r w:rsidR="00365CC8" w:rsidRPr="005C2CEC">
        <w:t>v spracovateľnom formáte</w:t>
      </w:r>
      <w:r w:rsidR="00365CC8" w:rsidRPr="005C2CEC">
        <w:rPr>
          <w:rStyle w:val="Odkaznapoznmkupodiarou"/>
        </w:rPr>
        <w:footnoteReference w:id="22"/>
      </w:r>
      <w:r w:rsidR="00365CC8" w:rsidRPr="005C2CEC">
        <w:t>.</w:t>
      </w:r>
      <w:r w:rsidR="00AF5D93" w:rsidRPr="005C2CEC">
        <w:t xml:space="preserve"> </w:t>
      </w:r>
      <w:r w:rsidR="007B1388">
        <w:t>Povinné prílohy</w:t>
      </w:r>
      <w:r w:rsidR="001E68F9">
        <w:t xml:space="preserve"> k</w:t>
      </w:r>
      <w:r w:rsidR="007B1388">
        <w:t xml:space="preserve"> </w:t>
      </w:r>
      <w:r w:rsidR="001E68F9">
        <w:t xml:space="preserve">štúdii uskutočniteľnosti </w:t>
      </w:r>
      <w:r w:rsidR="007B1388">
        <w:t>sú uvedené</w:t>
      </w:r>
      <w:r w:rsidR="001E68F9">
        <w:t xml:space="preserve"> v Prílohe </w:t>
      </w:r>
      <w:r w:rsidR="001E68F9">
        <w:fldChar w:fldCharType="begin"/>
      </w:r>
      <w:r w:rsidR="001E68F9">
        <w:instrText xml:space="preserve"> REF Priloha3 \h </w:instrText>
      </w:r>
      <w:r w:rsidR="001E68F9">
        <w:fldChar w:fldCharType="separate"/>
      </w:r>
      <w:r w:rsidR="000D2AF7">
        <w:rPr>
          <w:noProof/>
        </w:rPr>
        <w:t>3</w:t>
      </w:r>
      <w:r w:rsidR="001E68F9">
        <w:fldChar w:fldCharType="end"/>
      </w:r>
      <w:r w:rsidR="001E68F9">
        <w:t>.</w:t>
      </w:r>
      <w:r w:rsidR="007B1388">
        <w:t xml:space="preserve"> </w:t>
      </w:r>
      <w:r w:rsidR="00AF5D93" w:rsidRPr="005C2CEC">
        <w:t>Zákonná lehota</w:t>
      </w:r>
      <w:r w:rsidR="00AF5D93" w:rsidRPr="005C2CEC">
        <w:rPr>
          <w:rStyle w:val="Odkaznapoznmkupodiarou"/>
        </w:rPr>
        <w:footnoteReference w:id="23"/>
      </w:r>
      <w:r w:rsidR="00AF5D93" w:rsidRPr="005C2CEC">
        <w:t xml:space="preserve"> na zverejnenie </w:t>
      </w:r>
      <w:r w:rsidRPr="005C2CEC">
        <w:t>štúdi</w:t>
      </w:r>
      <w:r w:rsidR="00AF5D93" w:rsidRPr="005C2CEC">
        <w:t>e</w:t>
      </w:r>
      <w:r w:rsidRPr="005C2CEC">
        <w:t xml:space="preserve"> uskutočniteľnosti</w:t>
      </w:r>
      <w:r w:rsidR="001F05DB" w:rsidRPr="005C2CEC">
        <w:t xml:space="preserve"> </w:t>
      </w:r>
      <w:r w:rsidR="00AF5D93" w:rsidRPr="005C2CEC">
        <w:t>je</w:t>
      </w:r>
      <w:r w:rsidRPr="005C2CEC">
        <w:t xml:space="preserve"> najneskôr</w:t>
      </w:r>
      <w:r w:rsidR="001F05DB" w:rsidRPr="005C2CEC">
        <w:t xml:space="preserve"> 30 </w:t>
      </w:r>
      <w:r w:rsidR="00BD05DB">
        <w:t xml:space="preserve">kalendárnych </w:t>
      </w:r>
      <w:r w:rsidR="001F05DB" w:rsidRPr="005C2CEC">
        <w:t>dní pred</w:t>
      </w:r>
      <w:r w:rsidR="007378DB" w:rsidRPr="005C2CEC">
        <w:t xml:space="preserve"> začiatkom prípravy </w:t>
      </w:r>
      <w:r w:rsidR="006A44D7" w:rsidRPr="005C2CEC">
        <w:t>investičného projektu</w:t>
      </w:r>
      <w:r w:rsidR="007378DB" w:rsidRPr="005C2CEC">
        <w:t>, ktorým je najmä</w:t>
      </w:r>
      <w:r w:rsidR="0035724C" w:rsidRPr="005C2CEC">
        <w:t xml:space="preserve"> jedna z nasledujúcich skutočností, podľa toho, ktorá nastane skôr</w:t>
      </w:r>
      <w:r w:rsidRPr="005C2CEC">
        <w:t>:</w:t>
      </w:r>
    </w:p>
    <w:p w14:paraId="3F5533BD" w14:textId="6CE7FBB1" w:rsidR="00192DFE" w:rsidRPr="005C2CEC" w:rsidRDefault="007378DB" w:rsidP="0087207E">
      <w:pPr>
        <w:pStyle w:val="Odsekzoznamu"/>
        <w:numPr>
          <w:ilvl w:val="0"/>
          <w:numId w:val="25"/>
        </w:numPr>
        <w:ind w:hanging="294"/>
      </w:pPr>
      <w:r w:rsidRPr="005C2CEC">
        <w:t>zverejnenie</w:t>
      </w:r>
    </w:p>
    <w:p w14:paraId="7A9DEBE4" w14:textId="55E9E0E1" w:rsidR="001F05DB" w:rsidRPr="005C2CEC" w:rsidRDefault="00192DFE" w:rsidP="0087207E">
      <w:pPr>
        <w:pStyle w:val="Odsekzoznamu"/>
        <w:numPr>
          <w:ilvl w:val="1"/>
          <w:numId w:val="25"/>
        </w:numPr>
        <w:ind w:left="1276" w:hanging="196"/>
      </w:pPr>
      <w:r w:rsidRPr="005C2CEC">
        <w:t>oznámenia o vyhlásení verejného obstarávania, ktorého pre</w:t>
      </w:r>
      <w:r w:rsidR="00AF5D93" w:rsidRPr="005C2CEC">
        <w:t>dmetom je realizácia investície</w:t>
      </w:r>
      <w:r w:rsidR="001F05DB" w:rsidRPr="005C2CEC">
        <w:t>,</w:t>
      </w:r>
    </w:p>
    <w:p w14:paraId="7DC43AEB" w14:textId="10B7A54D" w:rsidR="00192DFE" w:rsidRPr="005C2CEC" w:rsidRDefault="00192DFE" w:rsidP="0087207E">
      <w:pPr>
        <w:pStyle w:val="Odsekzoznamu"/>
        <w:numPr>
          <w:ilvl w:val="1"/>
          <w:numId w:val="25"/>
        </w:numPr>
        <w:ind w:left="1276" w:hanging="196"/>
      </w:pPr>
      <w:r w:rsidRPr="005C2CEC">
        <w:rPr>
          <w:color w:val="000000"/>
        </w:rPr>
        <w:t>oznámenia použitého ako výzva na súťaž,</w:t>
      </w:r>
    </w:p>
    <w:p w14:paraId="16839CB3" w14:textId="3AE396BE" w:rsidR="00192DFE" w:rsidRPr="005C2CEC" w:rsidRDefault="00192DFE" w:rsidP="0087207E">
      <w:pPr>
        <w:pStyle w:val="Odsekzoznamu"/>
        <w:numPr>
          <w:ilvl w:val="0"/>
          <w:numId w:val="25"/>
        </w:numPr>
        <w:ind w:hanging="294"/>
      </w:pPr>
      <w:r w:rsidRPr="005C2CEC">
        <w:t>vypracov</w:t>
      </w:r>
      <w:r w:rsidR="007378DB" w:rsidRPr="005C2CEC">
        <w:t>anie</w:t>
      </w:r>
      <w:r w:rsidRPr="005C2CEC">
        <w:t xml:space="preserve"> zámeru podľa osobitého predpisu</w:t>
      </w:r>
      <w:r w:rsidRPr="005C2CEC">
        <w:rPr>
          <w:rStyle w:val="Odkaznapoznmkupodiarou"/>
        </w:rPr>
        <w:footnoteReference w:id="24"/>
      </w:r>
      <w:r w:rsidR="007378DB" w:rsidRPr="005C2CEC">
        <w:t>, začatie</w:t>
      </w:r>
      <w:r w:rsidRPr="005C2CEC">
        <w:t xml:space="preserve"> konania o posudzovaní predpokladaných vplyvov na životné prostredie, konania o majetkovoprávnom vysporiadaní, územného konania alebo stavebného konania, podľa toho, čo nastane skôr; </w:t>
      </w:r>
      <w:r w:rsidR="00D03A0D" w:rsidRPr="005C2CEC">
        <w:t>alebo zverejnen</w:t>
      </w:r>
      <w:r w:rsidR="007378DB" w:rsidRPr="005C2CEC">
        <w:t>ie</w:t>
      </w:r>
      <w:r w:rsidRPr="005C2CEC">
        <w:t xml:space="preserve"> oznámenia o vyhlásení verejného obstarávania na prípravu dokumentácie pre tieto úkony,</w:t>
      </w:r>
    </w:p>
    <w:p w14:paraId="521F4396" w14:textId="57EB2607" w:rsidR="00192DFE" w:rsidRPr="005C2CEC" w:rsidRDefault="007378DB" w:rsidP="0087207E">
      <w:pPr>
        <w:pStyle w:val="Odsekzoznamu"/>
        <w:numPr>
          <w:ilvl w:val="0"/>
          <w:numId w:val="25"/>
        </w:numPr>
        <w:ind w:hanging="294"/>
      </w:pPr>
      <w:r w:rsidRPr="005C2CEC">
        <w:t>príprava</w:t>
      </w:r>
      <w:r w:rsidR="00192DFE" w:rsidRPr="005C2CEC">
        <w:t xml:space="preserve"> projektovej dokum</w:t>
      </w:r>
      <w:r w:rsidR="00D03A0D" w:rsidRPr="005C2CEC">
        <w:t>entácie stavby alebo zverejnen</w:t>
      </w:r>
      <w:r w:rsidRPr="005C2CEC">
        <w:t>ie</w:t>
      </w:r>
      <w:r w:rsidR="00192DFE" w:rsidRPr="005C2CEC">
        <w:t xml:space="preserve"> oznámenia o vyhlásení verejného obstarávania na jej prípravu,</w:t>
      </w:r>
    </w:p>
    <w:p w14:paraId="1470B30D" w14:textId="0005B6B8" w:rsidR="00192DFE" w:rsidRPr="005C2CEC" w:rsidRDefault="00D03A0D" w:rsidP="0087207E">
      <w:pPr>
        <w:pStyle w:val="Odsekzoznamu"/>
        <w:numPr>
          <w:ilvl w:val="0"/>
          <w:numId w:val="25"/>
        </w:numPr>
        <w:ind w:hanging="294"/>
      </w:pPr>
      <w:r w:rsidRPr="005C2CEC">
        <w:t>začat</w:t>
      </w:r>
      <w:r w:rsidR="007378DB" w:rsidRPr="005C2CEC">
        <w:t>ie</w:t>
      </w:r>
      <w:r w:rsidR="00192DFE" w:rsidRPr="005C2CEC">
        <w:t xml:space="preserve"> rokovaní o uzatvorení zmluvy, ktorej predmetom je realizácia investície,</w:t>
      </w:r>
    </w:p>
    <w:p w14:paraId="48EC4329" w14:textId="77777777" w:rsidR="002C2D1F" w:rsidRPr="005C2CEC" w:rsidRDefault="00D03A0D" w:rsidP="0087207E">
      <w:pPr>
        <w:pStyle w:val="Odsekzoznamu"/>
        <w:numPr>
          <w:ilvl w:val="0"/>
          <w:numId w:val="25"/>
        </w:numPr>
        <w:ind w:hanging="294"/>
      </w:pPr>
      <w:r w:rsidRPr="005C2CEC">
        <w:t>vykonan</w:t>
      </w:r>
      <w:r w:rsidR="007378DB" w:rsidRPr="005C2CEC">
        <w:t>ie</w:t>
      </w:r>
      <w:r w:rsidR="00192DFE" w:rsidRPr="005C2CEC">
        <w:t xml:space="preserve"> ďalších činností potr</w:t>
      </w:r>
      <w:r w:rsidRPr="005C2CEC">
        <w:t>ebných na realizáciu investície,</w:t>
      </w:r>
    </w:p>
    <w:p w14:paraId="0E3BF88E" w14:textId="18E185ED" w:rsidR="001F05DB" w:rsidRPr="005C2CEC" w:rsidRDefault="00E348E0" w:rsidP="00577F95">
      <w:r>
        <w:t xml:space="preserve">V prípade koncesií sa začiatkom prípravy rozumie </w:t>
      </w:r>
      <w:r w:rsidR="007378DB" w:rsidRPr="005C2CEC">
        <w:t>zverejnenie</w:t>
      </w:r>
      <w:r w:rsidR="00D03A0D" w:rsidRPr="005C2CEC">
        <w:t xml:space="preserve"> </w:t>
      </w:r>
      <w:r w:rsidR="001F05DB" w:rsidRPr="005C2CEC">
        <w:t>oznámenia o koncesii</w:t>
      </w:r>
      <w:r w:rsidR="001F05DB" w:rsidRPr="005C2CEC">
        <w:rPr>
          <w:rStyle w:val="Odkaznapoznmkupodiarou"/>
        </w:rPr>
        <w:footnoteReference w:id="25"/>
      </w:r>
      <w:r w:rsidR="001F05DB" w:rsidRPr="005C2CEC">
        <w:t>.</w:t>
      </w:r>
    </w:p>
    <w:p w14:paraId="5A92CE21" w14:textId="5BB720DA" w:rsidR="003472E0" w:rsidRPr="005C2CEC" w:rsidRDefault="003472E0" w:rsidP="003472E0">
      <w:r w:rsidRPr="005C2CEC">
        <w:t>Štúdiu uskutočniteľnosti, ktorá bola zverejnená pred začiatkom prípravy investičného projektu Investor aktualiz</w:t>
      </w:r>
      <w:r w:rsidR="005F0EFB" w:rsidRPr="005C2CEC">
        <w:t>uje</w:t>
      </w:r>
      <w:r w:rsidRPr="005C2CEC">
        <w:t xml:space="preserve"> a aktualizovanú verziu zverejn</w:t>
      </w:r>
      <w:r w:rsidR="005F0EFB" w:rsidRPr="005C2CEC">
        <w:t>í</w:t>
      </w:r>
      <w:r w:rsidRPr="005C2CEC">
        <w:t xml:space="preserve"> najneskôr 30</w:t>
      </w:r>
      <w:r w:rsidR="00BD05DB" w:rsidRPr="00BD05DB">
        <w:t xml:space="preserve"> </w:t>
      </w:r>
      <w:r w:rsidR="00BD05DB">
        <w:t>kalendárnych</w:t>
      </w:r>
      <w:r w:rsidRPr="005C2CEC">
        <w:t xml:space="preserve"> dní pred:</w:t>
      </w:r>
    </w:p>
    <w:p w14:paraId="4CFAA5DF" w14:textId="5602F75F" w:rsidR="003472E0" w:rsidRPr="005C2CEC" w:rsidRDefault="003472E0" w:rsidP="0087207E">
      <w:pPr>
        <w:pStyle w:val="Odsekzoznamu"/>
        <w:numPr>
          <w:ilvl w:val="0"/>
          <w:numId w:val="27"/>
        </w:numPr>
      </w:pPr>
      <w:r w:rsidRPr="005C2CEC">
        <w:t>vyhlásením verejného obstarávania, ktorého predmetom je realizácia investičného projektu,</w:t>
      </w:r>
      <w:r w:rsidR="00934849" w:rsidRPr="005C2CEC">
        <w:t xml:space="preserve"> a následne pred</w:t>
      </w:r>
    </w:p>
    <w:p w14:paraId="46BA4CB4" w14:textId="77777777" w:rsidR="003472E0" w:rsidRPr="005C2CEC" w:rsidRDefault="003472E0" w:rsidP="0087207E">
      <w:pPr>
        <w:pStyle w:val="Odsekzoznamu"/>
        <w:numPr>
          <w:ilvl w:val="0"/>
          <w:numId w:val="27"/>
        </w:numPr>
      </w:pPr>
      <w:r w:rsidRPr="005C2CEC">
        <w:t>rozhodnutím vytvárajúcim záväzok</w:t>
      </w:r>
      <w:r w:rsidRPr="005C2CEC">
        <w:rPr>
          <w:rStyle w:val="Odkaznapoznmkupodiarou"/>
        </w:rPr>
        <w:footnoteReference w:id="26"/>
      </w:r>
      <w:r w:rsidRPr="005C2CEC">
        <w:t>, na základe ktorého je realizácia investičného projektu nezvratná.</w:t>
      </w:r>
    </w:p>
    <w:p w14:paraId="71E98668" w14:textId="20A5CCE4" w:rsidR="00E106B3" w:rsidRPr="005C2CEC" w:rsidRDefault="00406BEF" w:rsidP="00996694">
      <w:r w:rsidRPr="005C2CEC">
        <w:lastRenderedPageBreak/>
        <w:t xml:space="preserve">Za účelom zjednodušenia a zrýchlenia procesu prípravy investičného projektu je odporúčané aby </w:t>
      </w:r>
      <w:r w:rsidR="0064740F" w:rsidRPr="005C2CEC">
        <w:t xml:space="preserve">si </w:t>
      </w:r>
      <w:r w:rsidRPr="005C2CEC">
        <w:t xml:space="preserve">Investor </w:t>
      </w:r>
      <w:r w:rsidR="0064740F" w:rsidRPr="005C2CEC">
        <w:t xml:space="preserve">zabezpečil </w:t>
      </w:r>
      <w:r w:rsidR="005F0EFB" w:rsidRPr="005C2CEC">
        <w:t xml:space="preserve">vlastné </w:t>
      </w:r>
      <w:r w:rsidR="0064740F" w:rsidRPr="005C2CEC">
        <w:t>kapacity na aktualizáciu štúdie uskutočniteľnosti</w:t>
      </w:r>
      <w:r w:rsidR="005F0EFB" w:rsidRPr="005C2CEC">
        <w:t xml:space="preserve"> (napr. prostredníctvom príslušnej analytickej jednotky)</w:t>
      </w:r>
      <w:r w:rsidR="0064740F" w:rsidRPr="005C2CEC">
        <w:t xml:space="preserve">, prípadne aby možnosť promptnej aktualizácie formálne ukotvil v zmluvnom vzťahu s externým dodávateľom. </w:t>
      </w:r>
      <w:r w:rsidR="00834EF8" w:rsidRPr="005C2CEC">
        <w:t xml:space="preserve">O zverejnení štúdie uskutočniteľnosti alebo jej aktualizovanej verzie Investor bezodkladne informuje MF SR. </w:t>
      </w:r>
      <w:r w:rsidR="00E106B3" w:rsidRPr="005C2CEC">
        <w:t xml:space="preserve">Na účel oznamovania je zriadená </w:t>
      </w:r>
      <w:r w:rsidR="004C2780" w:rsidRPr="005C2CEC">
        <w:t xml:space="preserve">adresa </w:t>
      </w:r>
      <w:hyperlink r:id="rId58" w:history="1">
        <w:r w:rsidR="004C2780" w:rsidRPr="005C2CEC">
          <w:rPr>
            <w:rStyle w:val="Hypertextovprepojenie"/>
          </w:rPr>
          <w:t>investicie.uhp@mfsr.sk</w:t>
        </w:r>
      </w:hyperlink>
      <w:r w:rsidR="00E106B3" w:rsidRPr="005C2CEC">
        <w:t>. Ak štúdie uskutočniteľnosti o</w:t>
      </w:r>
      <w:r w:rsidR="001E1463" w:rsidRPr="005C2CEC">
        <w:t>bsahujú utajované skutočnosti</w:t>
      </w:r>
      <w:r w:rsidR="001F05DB" w:rsidRPr="005C2CEC">
        <w:rPr>
          <w:rStyle w:val="Odkaznapoznmkupodiarou"/>
        </w:rPr>
        <w:footnoteReference w:id="27"/>
      </w:r>
      <w:r w:rsidR="00F51B4A" w:rsidRPr="005C2CEC">
        <w:t>,</w:t>
      </w:r>
      <w:r w:rsidR="001E1463" w:rsidRPr="005C2CEC">
        <w:t xml:space="preserve"> Investor </w:t>
      </w:r>
      <w:r w:rsidR="00E106B3" w:rsidRPr="005C2CEC">
        <w:t>ich nezverejňuje, ale zasiela</w:t>
      </w:r>
      <w:r w:rsidR="009E00FA" w:rsidRPr="005C2CEC">
        <w:t xml:space="preserve"> vo fyzickej podobe na adresu</w:t>
      </w:r>
      <w:r w:rsidR="00E106B3" w:rsidRPr="005C2CEC">
        <w:t xml:space="preserve"> </w:t>
      </w:r>
      <w:r w:rsidR="00F14DD7" w:rsidRPr="005C2CEC">
        <w:t>MF SR</w:t>
      </w:r>
      <w:r w:rsidR="009E00FA" w:rsidRPr="005C2CEC">
        <w:t xml:space="preserve"> a zároveň o tejto skutočnosti posiela oznámenie na vyššie uvedenú elektronickú adresu.</w:t>
      </w:r>
      <w:r w:rsidR="00D03A0D" w:rsidRPr="005C2CEC">
        <w:t xml:space="preserve"> Investor zároveň na svojom webovom sídle oznámi, že štúdia uskutočniteľnosti sa nezverejňuje, pretože obsahuje utajované skutočnosti, okrem prípadov, keď aj samotná informácia o príprave investičného projektu je utajovanou skutočnosťou.</w:t>
      </w:r>
    </w:p>
    <w:p w14:paraId="088974E9" w14:textId="639C2C04" w:rsidR="00AF5D93" w:rsidRPr="005C2CEC" w:rsidRDefault="00996694" w:rsidP="00996694">
      <w:r w:rsidRPr="005C2CEC">
        <w:t xml:space="preserve">MF SR následne k predloženej štúdii uskutočniteľnosti </w:t>
      </w:r>
      <w:r w:rsidR="005F0EFB" w:rsidRPr="005C2CEC">
        <w:t xml:space="preserve">vypracuje </w:t>
      </w:r>
      <w:r w:rsidR="002348EF" w:rsidRPr="005C2CEC">
        <w:t>ekonomické hodnotenie</w:t>
      </w:r>
      <w:r w:rsidRPr="005C2CEC">
        <w:t>, ktor</w:t>
      </w:r>
      <w:r w:rsidR="00AC5122">
        <w:t>é</w:t>
      </w:r>
      <w:r w:rsidRPr="005C2CEC">
        <w:t xml:space="preserve"> zverejní na svojej webovej stránke do 30 </w:t>
      </w:r>
      <w:r w:rsidR="00BD05DB">
        <w:t xml:space="preserve">kalendárnych </w:t>
      </w:r>
      <w:r w:rsidRPr="005C2CEC">
        <w:t>dní od</w:t>
      </w:r>
      <w:r w:rsidR="00AF5D93" w:rsidRPr="005C2CEC">
        <w:t>:</w:t>
      </w:r>
    </w:p>
    <w:p w14:paraId="5105D5CB" w14:textId="6CDDB46F" w:rsidR="00AF5D93" w:rsidRPr="005C2CEC" w:rsidRDefault="00996694" w:rsidP="0087207E">
      <w:pPr>
        <w:pStyle w:val="Odsekzoznamu"/>
        <w:numPr>
          <w:ilvl w:val="0"/>
          <w:numId w:val="26"/>
        </w:numPr>
      </w:pPr>
      <w:r w:rsidRPr="005C2CEC">
        <w:t xml:space="preserve">predloženia </w:t>
      </w:r>
      <w:r w:rsidR="00471D22" w:rsidRPr="005C2CEC">
        <w:t xml:space="preserve">všetkých vyžiadaných </w:t>
      </w:r>
      <w:r w:rsidRPr="005C2CEC">
        <w:t>podkladov</w:t>
      </w:r>
      <w:r w:rsidR="00471D22" w:rsidRPr="005C2CEC">
        <w:t xml:space="preserve"> k</w:t>
      </w:r>
      <w:r w:rsidRPr="005C2CEC">
        <w:t xml:space="preserve"> štúdi</w:t>
      </w:r>
      <w:r w:rsidR="00471D22" w:rsidRPr="005C2CEC">
        <w:t>i</w:t>
      </w:r>
      <w:r w:rsidRPr="005C2CEC">
        <w:t xml:space="preserve"> uskutočniteľnosti</w:t>
      </w:r>
      <w:r w:rsidR="00AF5D93" w:rsidRPr="005C2CEC">
        <w:t>,</w:t>
      </w:r>
      <w:r w:rsidR="002C2D1F" w:rsidRPr="005C2CEC">
        <w:t xml:space="preserve"> alebo od</w:t>
      </w:r>
    </w:p>
    <w:p w14:paraId="2D62BDCF" w14:textId="67E79B7E" w:rsidR="00AF5D93" w:rsidRPr="005C2CEC" w:rsidRDefault="00223808" w:rsidP="0087207E">
      <w:pPr>
        <w:pStyle w:val="Odsekzoznamu"/>
        <w:numPr>
          <w:ilvl w:val="0"/>
          <w:numId w:val="26"/>
        </w:numPr>
      </w:pPr>
      <w:r w:rsidRPr="005C2CEC">
        <w:t>doručenia oznámenia Investora o nedodaní požadovaných podkladov</w:t>
      </w:r>
      <w:r w:rsidR="00996694" w:rsidRPr="005C2CEC">
        <w:t>.</w:t>
      </w:r>
    </w:p>
    <w:p w14:paraId="4D66493D" w14:textId="4C70D469" w:rsidR="00996694" w:rsidRPr="005C2CEC" w:rsidRDefault="0035724C" w:rsidP="00996694">
      <w:r w:rsidRPr="005C2CEC">
        <w:t>O</w:t>
      </w:r>
      <w:r w:rsidR="00F14DD7" w:rsidRPr="005C2CEC">
        <w:t xml:space="preserve"> zverejnení </w:t>
      </w:r>
      <w:r w:rsidR="00B7407C" w:rsidRPr="005C2CEC">
        <w:t>ekonomického hodnotenia</w:t>
      </w:r>
      <w:r w:rsidRPr="005C2CEC">
        <w:t xml:space="preserve"> MF SR </w:t>
      </w:r>
      <w:r w:rsidR="00834EF8" w:rsidRPr="005C2CEC">
        <w:t xml:space="preserve">bezodkladne </w:t>
      </w:r>
      <w:r w:rsidRPr="005C2CEC">
        <w:t>informuje Investora</w:t>
      </w:r>
      <w:r w:rsidR="00F14DD7" w:rsidRPr="005C2CEC">
        <w:t xml:space="preserve">. </w:t>
      </w:r>
      <w:r w:rsidR="001E1463" w:rsidRPr="005C2CEC">
        <w:t>Ak Investor v rámci lehoty 30</w:t>
      </w:r>
      <w:r w:rsidR="00BD05DB" w:rsidRPr="00BD05DB">
        <w:t xml:space="preserve"> </w:t>
      </w:r>
      <w:r w:rsidR="00BD05DB">
        <w:t>kalendárnych</w:t>
      </w:r>
      <w:r w:rsidR="001E1463" w:rsidRPr="005C2CEC">
        <w:t xml:space="preserve"> dní od zverejnenia</w:t>
      </w:r>
      <w:r w:rsidR="00D03A0D" w:rsidRPr="005C2CEC">
        <w:t xml:space="preserve"> štúdie uskutočniteľnosti</w:t>
      </w:r>
      <w:r w:rsidR="001E1463" w:rsidRPr="005C2CEC">
        <w:t xml:space="preserve"> oznámi </w:t>
      </w:r>
      <w:r w:rsidR="0020732B" w:rsidRPr="005C2CEC">
        <w:t xml:space="preserve">MF SR </w:t>
      </w:r>
      <w:r w:rsidR="001E1463" w:rsidRPr="005C2CEC">
        <w:t xml:space="preserve">zámer aktualizovať štúdiu uskutočniteľnosti pred ďalším pokračovaním prípravy </w:t>
      </w:r>
      <w:r w:rsidR="00AA13EA" w:rsidRPr="005C2CEC">
        <w:t>investičného projektu</w:t>
      </w:r>
      <w:r w:rsidR="001E1463" w:rsidRPr="005C2CEC">
        <w:t xml:space="preserve">, MF SR zverejní </w:t>
      </w:r>
      <w:r w:rsidR="00B7407C" w:rsidRPr="005C2CEC">
        <w:t>ekonomické hodnotenie</w:t>
      </w:r>
      <w:r w:rsidR="001E1463" w:rsidRPr="005C2CEC">
        <w:t xml:space="preserve"> do 30 </w:t>
      </w:r>
      <w:r w:rsidR="00BD05DB">
        <w:t xml:space="preserve">kalendárnych </w:t>
      </w:r>
      <w:r w:rsidR="001E1463" w:rsidRPr="005C2CEC">
        <w:t>dní od predloženia aktualizovanej štúdie uskutočniteľnosti. Posúdenie štúdie uskutočniteľnosti zo strany MF SR môže prebiehať súbe</w:t>
      </w:r>
      <w:r w:rsidR="00146477" w:rsidRPr="005C2CEC">
        <w:t>žne s posúdením orgánmi JASPERS</w:t>
      </w:r>
      <w:r w:rsidR="001E1463" w:rsidRPr="005C2CEC">
        <w:t xml:space="preserve"> (Spoločná pomoc na podporu projektov v európskych regiónoch), ak tomuto procesu podlieha.</w:t>
      </w:r>
      <w:r w:rsidR="00471D22" w:rsidRPr="005C2CEC">
        <w:t xml:space="preserve"> </w:t>
      </w:r>
      <w:r w:rsidR="006A44D7" w:rsidRPr="005C2CEC">
        <w:t xml:space="preserve">V prípade, že Investor po zverejnení štúdie uskutočniteľnosti MF SR oznámi, že nebude pokračovať v príprave investičného projektu, MF SR </w:t>
      </w:r>
      <w:r w:rsidR="00B7407C" w:rsidRPr="005C2CEC">
        <w:t xml:space="preserve">ekonomické hodnotenie </w:t>
      </w:r>
      <w:r w:rsidR="006A44D7" w:rsidRPr="005C2CEC">
        <w:t>nezverejňuje.</w:t>
      </w:r>
    </w:p>
    <w:p w14:paraId="0C44E196" w14:textId="738429C4" w:rsidR="00D67B3F" w:rsidRDefault="00BC4409" w:rsidP="00450439">
      <w:r w:rsidRPr="005C2CEC">
        <w:t>Po ekonomickom hodnotení zo strany MF SR Investor predloží investičný projekt na schválenie príslušnému ministerstvu.</w:t>
      </w:r>
      <w:r>
        <w:t xml:space="preserve"> V prípade, že i</w:t>
      </w:r>
      <w:r w:rsidR="003C709A">
        <w:t>nvestičný projekt</w:t>
      </w:r>
      <w:r>
        <w:t xml:space="preserve"> </w:t>
      </w:r>
      <w:r w:rsidR="003C709A">
        <w:t>podlieha schváleniu zo strany vlády</w:t>
      </w:r>
      <w:r>
        <w:t xml:space="preserve"> SR</w:t>
      </w:r>
      <w:r w:rsidR="003C709A">
        <w:t xml:space="preserve">, Investor </w:t>
      </w:r>
      <w:r>
        <w:t xml:space="preserve">predloží investičný projekt </w:t>
      </w:r>
      <w:r w:rsidR="003C709A">
        <w:t>na ekonomické hodnotenie pred rokovaním vlády, na ktorom sa má investičný projekt schvaľovať</w:t>
      </w:r>
      <w:r w:rsidR="00143E39">
        <w:t>.</w:t>
      </w:r>
      <w:r>
        <w:t xml:space="preserve"> Príslušné ministerstvo následne predkladá investičný projekt na rokovanie vlády SR spolu s ekonomickým hodnotením MF SR.</w:t>
      </w:r>
      <w:r w:rsidR="00143E39">
        <w:t xml:space="preserve"> </w:t>
      </w:r>
      <w:bookmarkStart w:id="129" w:name="_Toc77950328"/>
      <w:bookmarkStart w:id="130" w:name="_Toc77950543"/>
      <w:bookmarkStart w:id="131" w:name="_Toc78882744"/>
      <w:bookmarkStart w:id="132" w:name="_Toc78882810"/>
      <w:bookmarkStart w:id="133" w:name="_Toc78901514"/>
      <w:bookmarkStart w:id="134" w:name="_Ref74934265"/>
      <w:bookmarkStart w:id="135" w:name="_Ref55307659"/>
      <w:bookmarkStart w:id="136" w:name="_Ref45287975"/>
      <w:bookmarkStart w:id="137" w:name="_Ref45287968"/>
      <w:bookmarkEnd w:id="129"/>
      <w:bookmarkEnd w:id="130"/>
      <w:bookmarkEnd w:id="131"/>
      <w:bookmarkEnd w:id="132"/>
      <w:bookmarkEnd w:id="133"/>
    </w:p>
    <w:p w14:paraId="307F32E3" w14:textId="46FDA8E3" w:rsidR="00DE6DD5" w:rsidRPr="005C2CEC" w:rsidRDefault="00DE6DD5" w:rsidP="00DE6DD5">
      <w:pPr>
        <w:pStyle w:val="Nadpis2"/>
      </w:pPr>
      <w:bookmarkStart w:id="138" w:name="_Toc83651083"/>
      <w:r w:rsidRPr="005C2CEC">
        <w:t>Postup pri rozhodovaní o spôsobe financovania</w:t>
      </w:r>
      <w:bookmarkEnd w:id="134"/>
      <w:bookmarkEnd w:id="138"/>
    </w:p>
    <w:p w14:paraId="1AD0023D" w14:textId="3274A54E" w:rsidR="00DE6DD5" w:rsidRPr="005C2CEC" w:rsidRDefault="00DE6DD5" w:rsidP="00DE6DD5">
      <w:r w:rsidRPr="00EB5390">
        <w:t xml:space="preserve">Investor pri vypracovaní štúdie uskutočniteľnosti posúdi výhodnosť realizácie a financovania investičného projektu formou verejno-súkromného partnerstva (PPP) alebo návratnými formami financovania. </w:t>
      </w:r>
      <w:r w:rsidR="003F3AA6">
        <w:t xml:space="preserve">MF </w:t>
      </w:r>
      <w:r w:rsidR="00A962B8">
        <w:t xml:space="preserve">SR </w:t>
      </w:r>
      <w:r w:rsidRPr="00EB5390">
        <w:t>kontroluje posúdenie výhodnosti v tomto bode v</w:t>
      </w:r>
      <w:r w:rsidR="00595661">
        <w:t> </w:t>
      </w:r>
      <w:r w:rsidRPr="00EB5390">
        <w:t>spolupráci</w:t>
      </w:r>
      <w:r w:rsidR="00595661">
        <w:t xml:space="preserve"> </w:t>
      </w:r>
      <w:r w:rsidRPr="00EB5390">
        <w:t xml:space="preserve"> SIH. Najlepšie pripraveným investorom SIH poskytne poradenstvo v ďalších fázach projektu s cieľom štruktúrovať PPP</w:t>
      </w:r>
      <w:r w:rsidR="00A962B8">
        <w:t>,</w:t>
      </w:r>
      <w:r w:rsidRPr="00EB5390">
        <w:t xml:space="preserve"> resp. finančne návratný projekt čo najkvalitnejšie. Pri výbere spôsobu financovania postupuje Investor podľa pokynov uvedených v nasledujúcich bodoch:</w:t>
      </w:r>
    </w:p>
    <w:p w14:paraId="38F2947C" w14:textId="5A7C71E4" w:rsidR="00DE6DD5" w:rsidRPr="005C2CEC" w:rsidRDefault="00DE6DD5" w:rsidP="00577F95">
      <w:pPr>
        <w:pStyle w:val="Nadpis3"/>
      </w:pPr>
      <w:bookmarkStart w:id="139" w:name="_Ref75874330"/>
      <w:r w:rsidRPr="005C2CEC">
        <w:t>Postup pri rozhodovaní o financovaní formou PPP</w:t>
      </w:r>
      <w:bookmarkEnd w:id="139"/>
    </w:p>
    <w:p w14:paraId="4D3726F9" w14:textId="5BF67864" w:rsidR="00DE6DD5" w:rsidRPr="005C2CEC" w:rsidRDefault="00DE6DD5" w:rsidP="00DE6DD5">
      <w:pPr>
        <w:numPr>
          <w:ilvl w:val="0"/>
          <w:numId w:val="12"/>
        </w:numPr>
      </w:pPr>
      <w:r w:rsidRPr="005C2CEC">
        <w:t xml:space="preserve">Investor pri vypracovaní štúdie uskutočniteľnosti investície alebo štúdie uskutočniteľnosti koncesie posudzuje výhodnosť realizácie a financovania projektu formou verejno-súkromného partnerstva (PPP) podľa kritérií bodov </w:t>
      </w:r>
      <w:r w:rsidR="009B1260">
        <w:t>b</w:t>
      </w:r>
      <w:r w:rsidRPr="005C2CEC">
        <w:t xml:space="preserve">) až </w:t>
      </w:r>
      <w:r w:rsidR="009B1260">
        <w:t>d</w:t>
      </w:r>
      <w:r w:rsidRPr="005C2CEC">
        <w:t>).</w:t>
      </w:r>
    </w:p>
    <w:p w14:paraId="1F5E537E" w14:textId="4C507C61" w:rsidR="00DE6DD5" w:rsidRPr="005C2CEC" w:rsidRDefault="00DE6DD5" w:rsidP="00DE6DD5">
      <w:pPr>
        <w:numPr>
          <w:ilvl w:val="0"/>
          <w:numId w:val="12"/>
        </w:numPr>
      </w:pPr>
      <w:r w:rsidRPr="005C2CEC">
        <w:lastRenderedPageBreak/>
        <w:t xml:space="preserve">Projekt má veľmi dobré predpoklady na to, aby bol realizovaný formou PPP, ak získal celkovo najmenej 37 bodov v hodnotení podľa Prílohy </w:t>
      </w:r>
      <w:r w:rsidRPr="005C2CEC">
        <w:fldChar w:fldCharType="begin"/>
      </w:r>
      <w:r w:rsidRPr="005C2CEC">
        <w:instrText xml:space="preserve"> REF Priloha1 \h </w:instrText>
      </w:r>
      <w:r>
        <w:instrText xml:space="preserve"> \* MERGEFORMAT </w:instrText>
      </w:r>
      <w:r w:rsidRPr="005C2CEC">
        <w:fldChar w:fldCharType="separate"/>
      </w:r>
      <w:r w:rsidR="000D2AF7">
        <w:rPr>
          <w:noProof/>
        </w:rPr>
        <w:t>1</w:t>
      </w:r>
      <w:r w:rsidRPr="005C2CEC">
        <w:fldChar w:fldCharType="end"/>
      </w:r>
      <w:r w:rsidRPr="005C2CEC">
        <w:t xml:space="preserve">, zároveň nezískal nula bodov za ktorúkoľvek z otázok 3 a 7 v Prílohe </w:t>
      </w:r>
      <w:r w:rsidRPr="005C2CEC">
        <w:fldChar w:fldCharType="begin"/>
      </w:r>
      <w:r w:rsidRPr="005C2CEC">
        <w:instrText xml:space="preserve"> REF Priloha1 \h </w:instrText>
      </w:r>
      <w:r>
        <w:instrText xml:space="preserve"> \* MERGEFORMAT </w:instrText>
      </w:r>
      <w:r w:rsidRPr="005C2CEC">
        <w:fldChar w:fldCharType="separate"/>
      </w:r>
      <w:r w:rsidR="000D2AF7">
        <w:rPr>
          <w:noProof/>
        </w:rPr>
        <w:t>1</w:t>
      </w:r>
      <w:r w:rsidRPr="005C2CEC">
        <w:fldChar w:fldCharType="end"/>
      </w:r>
      <w:r w:rsidRPr="005C2CEC">
        <w:t xml:space="preserve"> a zároveň je suma bodov za otázky 1 a 2 v Prílohe </w:t>
      </w:r>
      <w:r w:rsidRPr="005C2CEC">
        <w:fldChar w:fldCharType="begin"/>
      </w:r>
      <w:r w:rsidRPr="005C2CEC">
        <w:instrText xml:space="preserve"> REF Priloha1 \h </w:instrText>
      </w:r>
      <w:r>
        <w:instrText xml:space="preserve"> \* MERGEFORMAT </w:instrText>
      </w:r>
      <w:r w:rsidRPr="005C2CEC">
        <w:fldChar w:fldCharType="separate"/>
      </w:r>
      <w:r w:rsidR="000D2AF7">
        <w:rPr>
          <w:noProof/>
        </w:rPr>
        <w:t>1</w:t>
      </w:r>
      <w:r w:rsidRPr="005C2CEC">
        <w:fldChar w:fldCharType="end"/>
      </w:r>
      <w:r w:rsidRPr="005C2CEC">
        <w:t xml:space="preserve"> aspoň šesť.</w:t>
      </w:r>
    </w:p>
    <w:p w14:paraId="00B5C1CC" w14:textId="7F81339A" w:rsidR="00DE6DD5" w:rsidRPr="005C2CEC" w:rsidRDefault="00DE6DD5" w:rsidP="00DE6DD5">
      <w:pPr>
        <w:numPr>
          <w:ilvl w:val="0"/>
          <w:numId w:val="12"/>
        </w:numPr>
      </w:pPr>
      <w:r w:rsidRPr="005C2CEC">
        <w:t xml:space="preserve">Projekt má čiastočné predpoklady na to, aby bol realizovaný formou PPP, ak získal celkovo najmenej 25 bodov v hodnotení podľa Prílohy </w:t>
      </w:r>
      <w:r w:rsidRPr="005C2CEC">
        <w:fldChar w:fldCharType="begin"/>
      </w:r>
      <w:r w:rsidRPr="005C2CEC">
        <w:instrText xml:space="preserve"> REF Priloha1 \h </w:instrText>
      </w:r>
      <w:r>
        <w:instrText xml:space="preserve"> \* MERGEFORMAT </w:instrText>
      </w:r>
      <w:r w:rsidRPr="005C2CEC">
        <w:fldChar w:fldCharType="separate"/>
      </w:r>
      <w:r w:rsidR="000D2AF7">
        <w:rPr>
          <w:noProof/>
        </w:rPr>
        <w:t>1</w:t>
      </w:r>
      <w:r w:rsidRPr="005C2CEC">
        <w:fldChar w:fldCharType="end"/>
      </w:r>
      <w:r w:rsidRPr="005C2CEC">
        <w:t xml:space="preserve">, zároveň nezískal nula bodov za ktorúkoľvek z otázok 3 a 7 v Prílohe </w:t>
      </w:r>
      <w:r w:rsidRPr="005C2CEC">
        <w:fldChar w:fldCharType="begin"/>
      </w:r>
      <w:r w:rsidRPr="005C2CEC">
        <w:instrText xml:space="preserve"> REF Priloha1 \h </w:instrText>
      </w:r>
      <w:r>
        <w:instrText xml:space="preserve"> \* MERGEFORMAT </w:instrText>
      </w:r>
      <w:r w:rsidRPr="005C2CEC">
        <w:fldChar w:fldCharType="separate"/>
      </w:r>
      <w:r w:rsidR="000D2AF7">
        <w:rPr>
          <w:noProof/>
        </w:rPr>
        <w:t>1</w:t>
      </w:r>
      <w:r w:rsidRPr="005C2CEC">
        <w:fldChar w:fldCharType="end"/>
      </w:r>
      <w:r w:rsidRPr="005C2CEC">
        <w:t xml:space="preserve"> a zároveň je suma bodov za otázky 1 a 2 v Prílohe </w:t>
      </w:r>
      <w:r w:rsidRPr="005C2CEC">
        <w:fldChar w:fldCharType="begin"/>
      </w:r>
      <w:r w:rsidRPr="005C2CEC">
        <w:instrText xml:space="preserve"> REF Priloha1 \h </w:instrText>
      </w:r>
      <w:r>
        <w:instrText xml:space="preserve"> \* MERGEFORMAT </w:instrText>
      </w:r>
      <w:r w:rsidRPr="005C2CEC">
        <w:fldChar w:fldCharType="separate"/>
      </w:r>
      <w:r w:rsidR="000D2AF7">
        <w:rPr>
          <w:noProof/>
        </w:rPr>
        <w:t>1</w:t>
      </w:r>
      <w:r w:rsidRPr="005C2CEC">
        <w:fldChar w:fldCharType="end"/>
      </w:r>
      <w:r w:rsidRPr="005C2CEC">
        <w:t xml:space="preserve"> aspoň tri. </w:t>
      </w:r>
    </w:p>
    <w:p w14:paraId="57D86B5A" w14:textId="527DF3F4" w:rsidR="00DE6DD5" w:rsidRPr="005C2CEC" w:rsidRDefault="00DE6DD5" w:rsidP="00DE6DD5">
      <w:pPr>
        <w:numPr>
          <w:ilvl w:val="0"/>
          <w:numId w:val="12"/>
        </w:numPr>
      </w:pPr>
      <w:r w:rsidRPr="005C2CEC">
        <w:t xml:space="preserve">Projekt pravdepodobne nie je vhodný na realizáciu formou PPP, ak získal menej ako 25 bodov v hodnotení podľa Prílohy </w:t>
      </w:r>
      <w:r w:rsidRPr="005C2CEC">
        <w:fldChar w:fldCharType="begin"/>
      </w:r>
      <w:r w:rsidRPr="005C2CEC">
        <w:instrText xml:space="preserve"> REF Priloha1 \h </w:instrText>
      </w:r>
      <w:r>
        <w:instrText xml:space="preserve"> \* MERGEFORMAT </w:instrText>
      </w:r>
      <w:r w:rsidRPr="005C2CEC">
        <w:fldChar w:fldCharType="separate"/>
      </w:r>
      <w:r w:rsidR="000D2AF7">
        <w:rPr>
          <w:noProof/>
        </w:rPr>
        <w:t>1</w:t>
      </w:r>
      <w:r w:rsidRPr="005C2CEC">
        <w:fldChar w:fldCharType="end"/>
      </w:r>
      <w:r w:rsidRPr="005C2CEC">
        <w:t>, získal nula bodov za ktorúkoľvek z otázok 3 a 7 v Prílohe </w:t>
      </w:r>
      <w:r w:rsidRPr="005C2CEC">
        <w:fldChar w:fldCharType="begin"/>
      </w:r>
      <w:r w:rsidRPr="005C2CEC">
        <w:instrText xml:space="preserve"> REF Priloha1 \h </w:instrText>
      </w:r>
      <w:r>
        <w:instrText xml:space="preserve"> \* MERGEFORMAT </w:instrText>
      </w:r>
      <w:r w:rsidRPr="005C2CEC">
        <w:fldChar w:fldCharType="separate"/>
      </w:r>
      <w:r w:rsidR="000D2AF7">
        <w:rPr>
          <w:noProof/>
        </w:rPr>
        <w:t>1</w:t>
      </w:r>
      <w:r w:rsidRPr="005C2CEC">
        <w:fldChar w:fldCharType="end"/>
      </w:r>
      <w:r w:rsidRPr="005C2CEC">
        <w:t xml:space="preserve">, alebo je suma bodov za otázky 1 a 2 v Prílohe </w:t>
      </w:r>
      <w:r w:rsidRPr="005C2CEC">
        <w:fldChar w:fldCharType="begin"/>
      </w:r>
      <w:r w:rsidRPr="005C2CEC">
        <w:instrText xml:space="preserve"> REF Priloha1 \h </w:instrText>
      </w:r>
      <w:r>
        <w:instrText xml:space="preserve"> \* MERGEFORMAT </w:instrText>
      </w:r>
      <w:r w:rsidRPr="005C2CEC">
        <w:fldChar w:fldCharType="separate"/>
      </w:r>
      <w:r w:rsidR="000D2AF7">
        <w:rPr>
          <w:noProof/>
        </w:rPr>
        <w:t>1</w:t>
      </w:r>
      <w:r w:rsidRPr="005C2CEC">
        <w:fldChar w:fldCharType="end"/>
      </w:r>
      <w:r w:rsidRPr="005C2CEC">
        <w:t xml:space="preserve"> nula.</w:t>
      </w:r>
    </w:p>
    <w:p w14:paraId="249B3709" w14:textId="77777777" w:rsidR="00DE6DD5" w:rsidRPr="005C2CEC" w:rsidRDefault="00DE6DD5" w:rsidP="00577F95">
      <w:pPr>
        <w:pStyle w:val="Nadpis3"/>
      </w:pPr>
      <w:r w:rsidRPr="005C2CEC">
        <w:t>Postup pri rozhodovaní o financovaní návratnými formami</w:t>
      </w:r>
    </w:p>
    <w:p w14:paraId="719B2351" w14:textId="77777777" w:rsidR="00DE6DD5" w:rsidRPr="005C2CEC" w:rsidRDefault="00DE6DD5" w:rsidP="00DE6DD5">
      <w:pPr>
        <w:numPr>
          <w:ilvl w:val="0"/>
          <w:numId w:val="13"/>
        </w:numPr>
      </w:pPr>
      <w:r w:rsidRPr="005C2CEC">
        <w:t>Návratným financovaním sa myslí komerčné financovanie (komerčné banky, investičné správcovské spoločnosti, poisťovne, atď.) medzinárodné finančné inštitúcie (Európska investičná banka, Európska banka pre obnovu a rozvoj, Rozvojová banka Rady Európy, atď.), štátne návratné financovanie (Slovenská záručná a rozvojová banka, Štátny fond rozvoja bývania, Envirofond atď.) a finančné nástroje (FN), pričom môže sa jednať o centrálne FN (napríklad EFSI alebo InvestEU) alebo národné FN (Slovak Investment Holding).</w:t>
      </w:r>
    </w:p>
    <w:p w14:paraId="67A6CC77" w14:textId="77777777" w:rsidR="00DE6DD5" w:rsidRPr="005C2CEC" w:rsidRDefault="00DE6DD5" w:rsidP="00DE6DD5">
      <w:pPr>
        <w:numPr>
          <w:ilvl w:val="0"/>
          <w:numId w:val="13"/>
        </w:numPr>
      </w:pPr>
      <w:r w:rsidRPr="005C2CEC">
        <w:t>Návratné financovanie môže mať v prípade jednoduchých projektov formu úveru. V prípade komplexnejších projektov vyžadujúcich štruktúrované financovanie sa môže jednať o kombináciu úverového financovania a kapitálového a/alebo kvázi-kapitálového financovania, pričom vo väčšine prípadov sa celkové financovanie vyskladá zo zdrojov viacerých typov inštitúcií spomínaných v predošlom odseku. Nevylučuje sa ani kombinovanie návratnej a nenávratnej finančnej pomoci (či už sa jedná o zdroje z rozpočtu EÚ, rozpočtu SR, alebo iných zdrojov).</w:t>
      </w:r>
    </w:p>
    <w:p w14:paraId="04FEDCC2" w14:textId="428BCDC0" w:rsidR="00DE6DD5" w:rsidRPr="005C2CEC" w:rsidRDefault="00DE6DD5" w:rsidP="00DE6DD5">
      <w:pPr>
        <w:numPr>
          <w:ilvl w:val="0"/>
          <w:numId w:val="13"/>
        </w:numPr>
      </w:pPr>
      <w:r w:rsidRPr="005C2CEC">
        <w:t xml:space="preserve">Investor posúdi výhodnosť financovania návratnými formami na základe faktorov opísaných v Prílohe </w:t>
      </w:r>
      <w:r w:rsidRPr="005C2CEC">
        <w:fldChar w:fldCharType="begin"/>
      </w:r>
      <w:r w:rsidRPr="005C2CEC">
        <w:instrText xml:space="preserve"> REF Priloha2 \h </w:instrText>
      </w:r>
      <w:r>
        <w:instrText xml:space="preserve"> \* MERGEFORMAT </w:instrText>
      </w:r>
      <w:r w:rsidRPr="005C2CEC">
        <w:fldChar w:fldCharType="separate"/>
      </w:r>
      <w:r w:rsidR="000D2AF7">
        <w:rPr>
          <w:noProof/>
        </w:rPr>
        <w:t>2</w:t>
      </w:r>
      <w:r w:rsidRPr="005C2CEC">
        <w:fldChar w:fldCharType="end"/>
      </w:r>
      <w:r w:rsidRPr="005C2CEC">
        <w:t>. V prípade, že navrhovaný projekt môže mať potenciál na výlučnú alebo čiastočnú podporu z návratného financovania, je žiadúce, aby bol projekt a projektová dokumentácia vypracovaná s takýmto cieľom.</w:t>
      </w:r>
    </w:p>
    <w:p w14:paraId="7B11A3DA" w14:textId="77777777" w:rsidR="005D56BA" w:rsidRPr="005C2CEC" w:rsidRDefault="005D56BA" w:rsidP="005D56BA">
      <w:pPr>
        <w:pStyle w:val="Nadpis2"/>
      </w:pPr>
      <w:bookmarkStart w:id="140" w:name="_Ref74842186"/>
      <w:bookmarkStart w:id="141" w:name="_Toc83651084"/>
      <w:r w:rsidRPr="005C2CEC">
        <w:t>Ďalšia príprava projektu</w:t>
      </w:r>
      <w:bookmarkEnd w:id="135"/>
      <w:bookmarkEnd w:id="140"/>
      <w:bookmarkEnd w:id="141"/>
    </w:p>
    <w:p w14:paraId="6EC7CC71" w14:textId="0FE53B6F" w:rsidR="005D56BA" w:rsidRPr="005C2CEC" w:rsidRDefault="005D56BA" w:rsidP="005D56BA">
      <w:r w:rsidRPr="005C2CEC">
        <w:t xml:space="preserve">Po schválení investičného projektu </w:t>
      </w:r>
      <w:r w:rsidR="003472E0" w:rsidRPr="005C2CEC">
        <w:t>ministerstvom</w:t>
      </w:r>
      <w:r w:rsidR="00D45A37">
        <w:t xml:space="preserve"> a</w:t>
      </w:r>
      <w:r w:rsidR="00080BCF">
        <w:t> </w:t>
      </w:r>
      <w:r w:rsidR="00D45A37">
        <w:t>po</w:t>
      </w:r>
      <w:r w:rsidR="00080BCF">
        <w:t xml:space="preserve"> záväznej a preukázateľnej</w:t>
      </w:r>
      <w:r w:rsidR="00D45A37">
        <w:t xml:space="preserve"> alokácii príslušných finančných zdrojov </w:t>
      </w:r>
      <w:r w:rsidRPr="005C2CEC">
        <w:t>pokračuje Investor v ďalšej príprave projektu podľa špecifických potrieb danej oblasti:</w:t>
      </w:r>
    </w:p>
    <w:p w14:paraId="01FAFAC6" w14:textId="76245E72" w:rsidR="005D56BA" w:rsidRPr="005C2CEC" w:rsidRDefault="005D56BA" w:rsidP="0087207E">
      <w:pPr>
        <w:pStyle w:val="Odsekzoznamu"/>
        <w:numPr>
          <w:ilvl w:val="0"/>
          <w:numId w:val="20"/>
        </w:numPr>
      </w:pPr>
      <w:r w:rsidRPr="005C2CEC">
        <w:t>V prípade investičného projektu v informatizácii postupuje Investor pri príprave dokumentácie v súlade s podmienkami vyplývajúcimi z </w:t>
      </w:r>
      <w:hyperlink r:id="rId59" w:history="1">
        <w:r w:rsidRPr="00EC58A2">
          <w:rPr>
            <w:rStyle w:val="Hypertextovprepojenie"/>
          </w:rPr>
          <w:t>Vyhlášky Úradu podpredsedu vlády SR pre investície a informatizáciu č. 85/2020 Z. z. o riadení projektov</w:t>
        </w:r>
      </w:hyperlink>
      <w:r w:rsidRPr="005C2CEC">
        <w:t>.</w:t>
      </w:r>
    </w:p>
    <w:p w14:paraId="14732AD1" w14:textId="77777777" w:rsidR="005D56BA" w:rsidRPr="005C2CEC" w:rsidRDefault="005D56BA" w:rsidP="0087207E">
      <w:pPr>
        <w:pStyle w:val="Odsekzoznamu"/>
        <w:numPr>
          <w:ilvl w:val="0"/>
          <w:numId w:val="20"/>
        </w:numPr>
      </w:pPr>
      <w:r w:rsidRPr="005C2CEC">
        <w:t>V prípade investičného projektu, ktorého predmetom je nákup zariadenia alebo tovaru (okrem tých spadajúcich do informatizácie</w:t>
      </w:r>
      <w:r w:rsidRPr="005C2CEC">
        <w:rPr>
          <w:rStyle w:val="Odkaznapoznmkupodiarou"/>
        </w:rPr>
        <w:footnoteReference w:id="28"/>
      </w:r>
      <w:r w:rsidRPr="005C2CEC">
        <w:t>) pripravuje Investor dokumentáciu obsahujúcu informácie minimálne v rozsahu:</w:t>
      </w:r>
    </w:p>
    <w:p w14:paraId="213E3FD7" w14:textId="77777777" w:rsidR="005D56BA" w:rsidRPr="005C2CEC" w:rsidRDefault="005D56BA" w:rsidP="0087207E">
      <w:pPr>
        <w:pStyle w:val="Odsekzoznamu"/>
        <w:numPr>
          <w:ilvl w:val="1"/>
          <w:numId w:val="19"/>
        </w:numPr>
      </w:pPr>
      <w:r w:rsidRPr="005C2CEC">
        <w:t>Zdôvodnenie potreby nákupu,</w:t>
      </w:r>
    </w:p>
    <w:p w14:paraId="6C23D027" w14:textId="7523B09F" w:rsidR="005D56BA" w:rsidRPr="005C2CEC" w:rsidRDefault="005D56BA" w:rsidP="0087207E">
      <w:pPr>
        <w:pStyle w:val="Odsekzoznamu"/>
        <w:numPr>
          <w:ilvl w:val="1"/>
          <w:numId w:val="19"/>
        </w:numPr>
      </w:pPr>
      <w:r w:rsidRPr="005C2CEC">
        <w:t>Preukázanie súladu</w:t>
      </w:r>
      <w:r w:rsidR="00E84015" w:rsidRPr="005C2CEC">
        <w:t> so sektorovou i</w:t>
      </w:r>
      <w:r w:rsidRPr="005C2CEC">
        <w:t>nvestičnou stratégiou (nadväznosť na konkrétne strategické ciele),</w:t>
      </w:r>
    </w:p>
    <w:p w14:paraId="34F55916" w14:textId="77777777" w:rsidR="005D56BA" w:rsidRPr="005C2CEC" w:rsidRDefault="005D56BA" w:rsidP="0087207E">
      <w:pPr>
        <w:pStyle w:val="Odsekzoznamu"/>
        <w:numPr>
          <w:ilvl w:val="1"/>
          <w:numId w:val="19"/>
        </w:numPr>
      </w:pPr>
      <w:r w:rsidRPr="005C2CEC">
        <w:t>Výkaz výmer s jednotkovými cenami,</w:t>
      </w:r>
    </w:p>
    <w:p w14:paraId="436770A4" w14:textId="753BBA12" w:rsidR="005D56BA" w:rsidRPr="005C2CEC" w:rsidRDefault="005D56BA" w:rsidP="0087207E">
      <w:pPr>
        <w:pStyle w:val="Odsekzoznamu"/>
        <w:numPr>
          <w:ilvl w:val="1"/>
          <w:numId w:val="19"/>
        </w:numPr>
      </w:pPr>
      <w:r w:rsidRPr="005C2CEC">
        <w:t>Dokumentácia pre obstarávanie.</w:t>
      </w:r>
    </w:p>
    <w:p w14:paraId="725920A3" w14:textId="2988E141" w:rsidR="005D56BA" w:rsidRPr="005C2CEC" w:rsidRDefault="005D56BA" w:rsidP="00D56993">
      <w:pPr>
        <w:pStyle w:val="Odsekzoznamu"/>
        <w:numPr>
          <w:ilvl w:val="0"/>
          <w:numId w:val="19"/>
        </w:numPr>
      </w:pPr>
      <w:r w:rsidRPr="005C2CEC">
        <w:lastRenderedPageBreak/>
        <w:t>V</w:t>
      </w:r>
      <w:r w:rsidR="00D56993" w:rsidRPr="005C2CEC">
        <w:t xml:space="preserve"> ostatných </w:t>
      </w:r>
      <w:r w:rsidRPr="005C2CEC">
        <w:t>prípad</w:t>
      </w:r>
      <w:r w:rsidR="00D56993" w:rsidRPr="005C2CEC">
        <w:t>och</w:t>
      </w:r>
      <w:r w:rsidRPr="005C2CEC">
        <w:t xml:space="preserve"> </w:t>
      </w:r>
      <w:r w:rsidR="00D56993" w:rsidRPr="005C2CEC">
        <w:t>sa</w:t>
      </w:r>
      <w:r w:rsidRPr="005C2CEC">
        <w:t xml:space="preserve"> Investor </w:t>
      </w:r>
      <w:r w:rsidR="00D56993" w:rsidRPr="005C2CEC">
        <w:t xml:space="preserve">pri vypracovaní projektovej dokumentácie riadi </w:t>
      </w:r>
      <w:r w:rsidRPr="005C2CEC">
        <w:t>platnou legislatívou.</w:t>
      </w:r>
    </w:p>
    <w:p w14:paraId="39314D56" w14:textId="5D9B6B4F" w:rsidR="009C2099" w:rsidRDefault="00CC7180" w:rsidP="005D56BA">
      <w:r>
        <w:t>Pri investičných projekto</w:t>
      </w:r>
      <w:r w:rsidR="009C2099">
        <w:t>ch</w:t>
      </w:r>
      <w:r>
        <w:t xml:space="preserve"> s</w:t>
      </w:r>
      <w:r w:rsidR="0092123A">
        <w:t> </w:t>
      </w:r>
      <w:r>
        <w:t>hodno</w:t>
      </w:r>
      <w:r w:rsidR="0092123A">
        <w:t>tou nad ustanovenou hranicou posiela Investor p</w:t>
      </w:r>
      <w:r w:rsidR="00265191" w:rsidRPr="005C2CEC">
        <w:t>o ukončení</w:t>
      </w:r>
      <w:r w:rsidR="003472E0" w:rsidRPr="005C2CEC">
        <w:t xml:space="preserve"> každého stupňa</w:t>
      </w:r>
      <w:r w:rsidR="00265191" w:rsidRPr="005C2CEC">
        <w:t xml:space="preserve"> </w:t>
      </w:r>
      <w:r w:rsidR="003472E0" w:rsidRPr="005C2CEC">
        <w:t>prípravy projektovú dokumentáciu MF SR</w:t>
      </w:r>
      <w:r w:rsidR="00EF0A36" w:rsidRPr="00EF0A36">
        <w:t xml:space="preserve"> </w:t>
      </w:r>
      <w:r w:rsidR="00EF0A36" w:rsidRPr="005C2CEC">
        <w:t xml:space="preserve">do 30 </w:t>
      </w:r>
      <w:r w:rsidR="00BD05DB">
        <w:t xml:space="preserve">kalendárnych </w:t>
      </w:r>
      <w:r w:rsidR="00EF0A36" w:rsidRPr="005C2CEC">
        <w:t>dní od jej akceptácie pri odovzdaní</w:t>
      </w:r>
      <w:r w:rsidR="00EF0A36">
        <w:t>.</w:t>
      </w:r>
      <w:r w:rsidR="003472E0" w:rsidRPr="005C2CEC">
        <w:t xml:space="preserve"> </w:t>
      </w:r>
      <w:r w:rsidR="009C2099">
        <w:t>Za týmto účelom sú definované nasledujúce stupne prípravy:</w:t>
      </w:r>
    </w:p>
    <w:p w14:paraId="19327979" w14:textId="3F923A3A" w:rsidR="009C2099" w:rsidRDefault="009C2099" w:rsidP="009C2099">
      <w:pPr>
        <w:pStyle w:val="Odsekzoznamu"/>
        <w:numPr>
          <w:ilvl w:val="0"/>
          <w:numId w:val="48"/>
        </w:numPr>
      </w:pPr>
      <w:r>
        <w:t>posudzovanie vplyvov na životné prostredie (EIA),</w:t>
      </w:r>
    </w:p>
    <w:p w14:paraId="49680284" w14:textId="1BB202D0" w:rsidR="009C2099" w:rsidRDefault="009C2099" w:rsidP="009C2099">
      <w:pPr>
        <w:pStyle w:val="Odsekzoznamu"/>
        <w:numPr>
          <w:ilvl w:val="0"/>
          <w:numId w:val="48"/>
        </w:numPr>
      </w:pPr>
      <w:r>
        <w:t>vypracovanie dokumentácie na územné rozhodnutie,</w:t>
      </w:r>
    </w:p>
    <w:p w14:paraId="78380D16" w14:textId="78DC4020" w:rsidR="009C2099" w:rsidRDefault="009C2099" w:rsidP="009C2099">
      <w:pPr>
        <w:pStyle w:val="Odsekzoznamu"/>
        <w:numPr>
          <w:ilvl w:val="0"/>
          <w:numId w:val="48"/>
        </w:numPr>
      </w:pPr>
      <w:r>
        <w:t>vypracovanie dokumentácie na stavebné povolenie.</w:t>
      </w:r>
    </w:p>
    <w:p w14:paraId="013D1CCF" w14:textId="0DF14E41" w:rsidR="00EF0A36" w:rsidRDefault="00EF0A36" w:rsidP="005D56BA">
      <w:r w:rsidRPr="005C2CEC">
        <w:t xml:space="preserve">MF SR </w:t>
      </w:r>
      <w:r w:rsidR="008A6B7F">
        <w:t>preskúma</w:t>
      </w:r>
      <w:r w:rsidRPr="005C2CEC">
        <w:t xml:space="preserve"> dopad novej projektovej dokumentácie na investičný projekt najmä z hľadiska nákladov, rozsahu činností, prípadne iných okolností, ktoré sa od posledného stupňa prípravy zmenili. MF SR môže na základe zistení z predložených podkladov aktualizovať ekonomické hodnotenie k investičnému projektu.</w:t>
      </w:r>
      <w:r w:rsidR="00DD63F8">
        <w:t xml:space="preserve"> V prípade ak informácie týkajúce sa ďalšej prípravy investičného projektu podliehajú osobitnému režimu, budú za účelom sprístupnenia MF SR poskytnuté na základe uzatvorenej dohody o mlčanlivosti alebo na základe účasti MF SR v relevantnej pracovnej skupine.</w:t>
      </w:r>
    </w:p>
    <w:p w14:paraId="6045FDFB" w14:textId="2086D431" w:rsidR="005D56BA" w:rsidRPr="005C2CEC" w:rsidRDefault="0001795E" w:rsidP="005D56BA">
      <w:r>
        <w:t>Súčasťou dokumentácie pre tieto účely je aj najpodrobnejšia dostupná forma rozpočtu (napr. z DÚR by mal byť predložený projektantský rozpočet s výpočtom stanovenej ceny na úrovni stavebných objektov, ale pri DSP je potrebné doložiť rozpočet na úrovni výkazu výmer).</w:t>
      </w:r>
      <w:r w:rsidR="00E05F08" w:rsidRPr="00E05F08">
        <w:t xml:space="preserve"> </w:t>
      </w:r>
      <w:r w:rsidR="00E05F08">
        <w:t>V prípade, že je projektová dokumentácia obstarávaná ako súčasť realizácie investičného projektu (napr. podľa žltej knihy FIDIC), Investor neposiela projektovú dokumentáciu MF SR pred vyhlásením obstarávania.</w:t>
      </w:r>
    </w:p>
    <w:p w14:paraId="782D6E42" w14:textId="6A0AB18D" w:rsidR="005D56BA" w:rsidRPr="005C2CEC" w:rsidRDefault="005D56BA" w:rsidP="005D56BA">
      <w:pPr>
        <w:pStyle w:val="Popis"/>
      </w:pPr>
      <w:r w:rsidRPr="005C2CEC">
        <w:t xml:space="preserve">Box </w:t>
      </w:r>
      <w:r w:rsidRPr="005C2CEC">
        <w:rPr>
          <w:noProof/>
        </w:rPr>
        <w:fldChar w:fldCharType="begin"/>
      </w:r>
      <w:r w:rsidRPr="005C2CEC">
        <w:rPr>
          <w:noProof/>
        </w:rPr>
        <w:instrText xml:space="preserve"> SEQ Box \* ARABIC </w:instrText>
      </w:r>
      <w:r w:rsidRPr="005C2CEC">
        <w:rPr>
          <w:noProof/>
        </w:rPr>
        <w:fldChar w:fldCharType="separate"/>
      </w:r>
      <w:r w:rsidR="000D2AF7">
        <w:rPr>
          <w:noProof/>
        </w:rPr>
        <w:t>11</w:t>
      </w:r>
      <w:r w:rsidRPr="005C2CEC">
        <w:rPr>
          <w:noProof/>
        </w:rPr>
        <w:fldChar w:fldCharType="end"/>
      </w:r>
      <w:r w:rsidRPr="005C2CEC">
        <w:t>: Príklad prípravy projektovej dokumentácie pre dopravný investičný projekt</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Look w:val="04A0" w:firstRow="1" w:lastRow="0" w:firstColumn="1" w:lastColumn="0" w:noHBand="0" w:noVBand="1"/>
      </w:tblPr>
      <w:tblGrid>
        <w:gridCol w:w="9062"/>
      </w:tblGrid>
      <w:tr w:rsidR="005D56BA" w:rsidRPr="005C2CEC" w14:paraId="7E220CB4" w14:textId="77777777" w:rsidTr="005D56BA">
        <w:tc>
          <w:tcPr>
            <w:tcW w:w="9062" w:type="dxa"/>
            <w:shd w:val="clear" w:color="auto" w:fill="DEEAF6" w:themeFill="accent1" w:themeFillTint="33"/>
          </w:tcPr>
          <w:p w14:paraId="01EBBF49" w14:textId="3265F160" w:rsidR="005D56BA" w:rsidRPr="005C2CEC" w:rsidRDefault="005D56BA" w:rsidP="005D56BA">
            <w:r w:rsidRPr="005C2CEC">
              <w:t>Pri príprave projektovej dokumentácie pre investičný projekt v doprav</w:t>
            </w:r>
            <w:r w:rsidR="00F030B7" w:rsidRPr="005C2CEC">
              <w:t>e</w:t>
            </w:r>
            <w:r w:rsidRPr="005C2CEC">
              <w:t xml:space="preserve"> pripravuje Investor dokumentáciu na posúdenie vplyvov na životné prostredie, dokumentáciu pre územné rozhodnutie, dokumentáciu pre stavebné povolenie, a iné.</w:t>
            </w:r>
          </w:p>
          <w:p w14:paraId="4C15F6CF" w14:textId="1E5F52FE" w:rsidR="005D56BA" w:rsidRPr="005C2CEC" w:rsidRDefault="005D56BA" w:rsidP="005D56BA">
            <w:pPr>
              <w:pStyle w:val="Popis"/>
            </w:pPr>
            <w:bookmarkStart w:id="142" w:name="_Toc83651103"/>
            <w:r w:rsidRPr="005C2CEC">
              <w:t xml:space="preserve">Schéma </w:t>
            </w:r>
            <w:r w:rsidR="00E516AE">
              <w:fldChar w:fldCharType="begin"/>
            </w:r>
            <w:r w:rsidR="00E516AE">
              <w:instrText xml:space="preserve"> SEQ Schéma \* ARABIC </w:instrText>
            </w:r>
            <w:r w:rsidR="00E516AE">
              <w:fldChar w:fldCharType="separate"/>
            </w:r>
            <w:r w:rsidR="000D2AF7">
              <w:rPr>
                <w:noProof/>
              </w:rPr>
              <w:t>7</w:t>
            </w:r>
            <w:r w:rsidR="00E516AE">
              <w:rPr>
                <w:noProof/>
              </w:rPr>
              <w:fldChar w:fldCharType="end"/>
            </w:r>
            <w:r w:rsidRPr="005C2CEC">
              <w:t>: Proces prípravy projektovej dokumentácie pre investičný projekt v oblasti dopravy</w:t>
            </w:r>
            <w:bookmarkEnd w:id="142"/>
          </w:p>
          <w:p w14:paraId="01AA5240" w14:textId="78960EE5" w:rsidR="00C83390" w:rsidRPr="005C2CEC" w:rsidRDefault="001D763C" w:rsidP="00EF0A36">
            <w:r>
              <w:rPr>
                <w:noProof/>
                <w:lang w:eastAsia="sk-SK"/>
              </w:rPr>
              <w:drawing>
                <wp:inline distT="0" distB="0" distL="0" distR="0" wp14:anchorId="03F939D7" wp14:editId="1349D349">
                  <wp:extent cx="5514975" cy="2376671"/>
                  <wp:effectExtent l="0" t="0" r="0" b="5080"/>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528334" cy="2382428"/>
                          </a:xfrm>
                          <a:prstGeom prst="rect">
                            <a:avLst/>
                          </a:prstGeom>
                          <a:noFill/>
                        </pic:spPr>
                      </pic:pic>
                    </a:graphicData>
                  </a:graphic>
                </wp:inline>
              </w:drawing>
            </w:r>
          </w:p>
        </w:tc>
      </w:tr>
    </w:tbl>
    <w:p w14:paraId="13C3C874" w14:textId="406193C2" w:rsidR="0089704E" w:rsidRPr="005C2CEC" w:rsidRDefault="0004000F">
      <w:pPr>
        <w:pStyle w:val="Nadpis1"/>
      </w:pPr>
      <w:bookmarkStart w:id="143" w:name="_Ref55903003"/>
      <w:bookmarkStart w:id="144" w:name="_Toc83651085"/>
      <w:bookmarkEnd w:id="136"/>
      <w:bookmarkEnd w:id="137"/>
      <w:r w:rsidRPr="005C2CEC">
        <w:t>O</w:t>
      </w:r>
      <w:r w:rsidR="00983211" w:rsidRPr="005C2CEC">
        <w:t>bstarávanie</w:t>
      </w:r>
      <w:bookmarkEnd w:id="143"/>
      <w:r w:rsidR="00AB5B1A">
        <w:t xml:space="preserve"> investičného projektu</w:t>
      </w:r>
      <w:bookmarkEnd w:id="144"/>
    </w:p>
    <w:p w14:paraId="272D6FDC" w14:textId="1C6CA528" w:rsidR="007B390E" w:rsidRPr="005C2CEC" w:rsidRDefault="00F95847" w:rsidP="007B390E">
      <w:r>
        <w:t xml:space="preserve">Ministerstvo informuje MF SR o predpokladanom termíne vyhlásenia verejného obstarávania pre jednotlivé investičné projekty v investičnom pláne, ktorý každoročne aktualizuje. Ministerstvo môže o plánovaných </w:t>
      </w:r>
      <w:r>
        <w:lastRenderedPageBreak/>
        <w:t xml:space="preserve">obstarávaniach na nasledujúci kalendárny rok informovať MF SR aj zaslaním plánu </w:t>
      </w:r>
      <w:r w:rsidR="00AB5B1A">
        <w:t xml:space="preserve">verejného </w:t>
      </w:r>
      <w:r>
        <w:t xml:space="preserve">obstarávania jednotlivých podriadených organizácií. </w:t>
      </w:r>
    </w:p>
    <w:p w14:paraId="0655671C" w14:textId="412676CE" w:rsidR="001D5EB1" w:rsidRPr="005C2CEC" w:rsidRDefault="001D5EB1" w:rsidP="001D5EB1">
      <w:pPr>
        <w:pStyle w:val="Popis"/>
      </w:pPr>
      <w:r w:rsidRPr="005C2CEC">
        <w:t xml:space="preserve">Box </w:t>
      </w:r>
      <w:r w:rsidRPr="005C2CEC">
        <w:rPr>
          <w:noProof/>
        </w:rPr>
        <w:fldChar w:fldCharType="begin"/>
      </w:r>
      <w:r w:rsidRPr="005C2CEC">
        <w:rPr>
          <w:noProof/>
        </w:rPr>
        <w:instrText xml:space="preserve"> SEQ Box \* ARABIC </w:instrText>
      </w:r>
      <w:r w:rsidRPr="005C2CEC">
        <w:rPr>
          <w:noProof/>
        </w:rPr>
        <w:fldChar w:fldCharType="separate"/>
      </w:r>
      <w:r w:rsidR="000D2AF7">
        <w:rPr>
          <w:noProof/>
        </w:rPr>
        <w:t>12</w:t>
      </w:r>
      <w:r w:rsidRPr="005C2CEC">
        <w:rPr>
          <w:noProof/>
        </w:rPr>
        <w:fldChar w:fldCharType="end"/>
      </w:r>
      <w:r w:rsidRPr="005C2CEC">
        <w:t>: Príklad plánu obstarávania z Veľkej Británie</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CellMar>
          <w:left w:w="70" w:type="dxa"/>
          <w:right w:w="70" w:type="dxa"/>
        </w:tblCellMar>
        <w:tblLook w:val="04A0" w:firstRow="1" w:lastRow="0" w:firstColumn="1" w:lastColumn="0" w:noHBand="0" w:noVBand="1"/>
      </w:tblPr>
      <w:tblGrid>
        <w:gridCol w:w="9072"/>
      </w:tblGrid>
      <w:tr w:rsidR="001D5EB1" w:rsidRPr="005C2CEC" w14:paraId="13AD60BB" w14:textId="77777777" w:rsidTr="00004863">
        <w:tc>
          <w:tcPr>
            <w:tcW w:w="9072" w:type="dxa"/>
            <w:shd w:val="clear" w:color="auto" w:fill="DEEAF6" w:themeFill="accent1" w:themeFillTint="33"/>
          </w:tcPr>
          <w:p w14:paraId="1561549F" w14:textId="561715CD" w:rsidR="001D5EB1" w:rsidRPr="005C2CEC" w:rsidRDefault="001D5EB1" w:rsidP="00004863">
            <w:r w:rsidRPr="005C2CEC">
              <w:t xml:space="preserve">Vláda vo Veľkej Británii každoročne pripravuje </w:t>
            </w:r>
            <w:hyperlink r:id="rId61" w:history="1">
              <w:r w:rsidRPr="005D4C17">
                <w:rPr>
                  <w:rStyle w:val="Hypertextovprepojenie"/>
                </w:rPr>
                <w:t>National Infrastructure and Construction Procurement Pipeline</w:t>
              </w:r>
            </w:hyperlink>
            <w:r w:rsidRPr="005C2CEC">
              <w:t>, ktorý ponúka strategický prehľad plánovaných zákaziek na nadchádzajúci finančných rok pre všetky sektory verejnej správy.</w:t>
            </w:r>
          </w:p>
          <w:p w14:paraId="51F81B1F" w14:textId="5D9B24C5" w:rsidR="001D5EB1" w:rsidRPr="005C2CEC" w:rsidRDefault="001D5EB1" w:rsidP="00004863">
            <w:r w:rsidRPr="005C2CEC">
              <w:t>Dokument obsahuje zoznam konkrétnych projektov s uvedenou územnou príslušnosťou, stavom pripravenosti, spôsobom obstarávania, predpokladanou hodnotou zákazky a predpokladaným začiat</w:t>
            </w:r>
            <w:r w:rsidR="00F02A03">
              <w:t>kom</w:t>
            </w:r>
            <w:r w:rsidRPr="005C2CEC">
              <w:t xml:space="preserve"> a ukončením obstarávania. Plán je významným signálom pre subjekty na trhovom prostredí, ktoré týmto spôsobom dostávajú pravidelne informáciu o vrcholovom smerovaní a objeme verejných investícií do jednotlivých sektorov.</w:t>
            </w:r>
          </w:p>
          <w:p w14:paraId="58996A47" w14:textId="31AA0A7C" w:rsidR="00EC58A2" w:rsidRPr="005C2CEC" w:rsidRDefault="001D5EB1" w:rsidP="00450439">
            <w:pPr>
              <w:pStyle w:val="Popis"/>
            </w:pPr>
            <w:bookmarkStart w:id="145" w:name="_Toc83651113"/>
            <w:r w:rsidRPr="005C2CEC">
              <w:t xml:space="preserve">Tabuľka </w:t>
            </w:r>
            <w:r w:rsidRPr="005C2CEC">
              <w:rPr>
                <w:noProof/>
              </w:rPr>
              <w:fldChar w:fldCharType="begin"/>
            </w:r>
            <w:r w:rsidRPr="005C2CEC">
              <w:rPr>
                <w:noProof/>
              </w:rPr>
              <w:instrText xml:space="preserve"> SEQ Tabuľka \* ARABIC </w:instrText>
            </w:r>
            <w:r w:rsidRPr="005C2CEC">
              <w:rPr>
                <w:noProof/>
              </w:rPr>
              <w:fldChar w:fldCharType="separate"/>
            </w:r>
            <w:r w:rsidR="003B5091">
              <w:rPr>
                <w:noProof/>
              </w:rPr>
              <w:t>9</w:t>
            </w:r>
            <w:r w:rsidRPr="005C2CEC">
              <w:rPr>
                <w:noProof/>
              </w:rPr>
              <w:fldChar w:fldCharType="end"/>
            </w:r>
            <w:r w:rsidRPr="005C2CEC">
              <w:t>: Príklad investičného plánu z Veľkej Británie</w:t>
            </w:r>
            <w:bookmarkEnd w:id="145"/>
          </w:p>
          <w:tbl>
            <w:tblPr>
              <w:tblW w:w="8927" w:type="dxa"/>
              <w:tblCellMar>
                <w:left w:w="0" w:type="dxa"/>
                <w:right w:w="0" w:type="dxa"/>
              </w:tblCellMar>
              <w:tblLook w:val="04A0" w:firstRow="1" w:lastRow="0" w:firstColumn="1" w:lastColumn="0" w:noHBand="0" w:noVBand="1"/>
            </w:tblPr>
            <w:tblGrid>
              <w:gridCol w:w="645"/>
              <w:gridCol w:w="2975"/>
              <w:gridCol w:w="989"/>
              <w:gridCol w:w="1407"/>
              <w:gridCol w:w="930"/>
              <w:gridCol w:w="871"/>
              <w:gridCol w:w="1110"/>
            </w:tblGrid>
            <w:tr w:rsidR="00EA7160" w:rsidRPr="005D4C17" w14:paraId="1725CCEE" w14:textId="77777777" w:rsidTr="00450439">
              <w:trPr>
                <w:trHeight w:val="420"/>
              </w:trPr>
              <w:tc>
                <w:tcPr>
                  <w:tcW w:w="637" w:type="dxa"/>
                  <w:tcBorders>
                    <w:top w:val="nil"/>
                    <w:left w:val="single" w:sz="4" w:space="0" w:color="FFFFFF"/>
                    <w:bottom w:val="nil"/>
                    <w:right w:val="nil"/>
                  </w:tcBorders>
                  <w:shd w:val="clear" w:color="84A2CD" w:fill="84A2CD"/>
                  <w:vAlign w:val="center"/>
                  <w:hideMark/>
                </w:tcPr>
                <w:p w14:paraId="108F0541" w14:textId="77777777" w:rsidR="00EC58A2" w:rsidRPr="00450439" w:rsidRDefault="00EC58A2" w:rsidP="00EC58A2">
                  <w:pPr>
                    <w:spacing w:after="0" w:line="240" w:lineRule="auto"/>
                    <w:jc w:val="center"/>
                    <w:rPr>
                      <w:rFonts w:eastAsia="Times New Roman" w:cs="Times New Roman"/>
                      <w:b/>
                      <w:bCs/>
                      <w:color w:val="000000"/>
                      <w:sz w:val="16"/>
                      <w:szCs w:val="16"/>
                      <w:lang w:val="en-GB" w:eastAsia="sk-SK"/>
                    </w:rPr>
                  </w:pPr>
                  <w:r w:rsidRPr="00450439">
                    <w:rPr>
                      <w:rFonts w:eastAsia="Times New Roman" w:cs="Times New Roman"/>
                      <w:b/>
                      <w:bCs/>
                      <w:color w:val="000000"/>
                      <w:sz w:val="16"/>
                      <w:szCs w:val="16"/>
                      <w:lang w:val="en-GB" w:eastAsia="sk-SK"/>
                    </w:rPr>
                    <w:t>Sector</w:t>
                  </w:r>
                </w:p>
              </w:tc>
              <w:tc>
                <w:tcPr>
                  <w:tcW w:w="2980" w:type="dxa"/>
                  <w:tcBorders>
                    <w:top w:val="nil"/>
                    <w:left w:val="single" w:sz="4" w:space="0" w:color="FFFFFF"/>
                    <w:bottom w:val="nil"/>
                    <w:right w:val="nil"/>
                  </w:tcBorders>
                  <w:shd w:val="clear" w:color="84A2CD" w:fill="84A2CD"/>
                  <w:vAlign w:val="center"/>
                  <w:hideMark/>
                </w:tcPr>
                <w:p w14:paraId="59C951D3" w14:textId="77777777" w:rsidR="00EC58A2" w:rsidRPr="00450439" w:rsidRDefault="00EC58A2" w:rsidP="00EC58A2">
                  <w:pPr>
                    <w:spacing w:after="0" w:line="240" w:lineRule="auto"/>
                    <w:jc w:val="center"/>
                    <w:rPr>
                      <w:rFonts w:eastAsia="Times New Roman" w:cs="Times New Roman"/>
                      <w:b/>
                      <w:bCs/>
                      <w:color w:val="000000"/>
                      <w:sz w:val="16"/>
                      <w:szCs w:val="16"/>
                      <w:lang w:val="en-GB" w:eastAsia="sk-SK"/>
                    </w:rPr>
                  </w:pPr>
                  <w:r w:rsidRPr="00450439">
                    <w:rPr>
                      <w:rFonts w:eastAsia="Times New Roman" w:cs="Times New Roman"/>
                      <w:b/>
                      <w:bCs/>
                      <w:color w:val="000000"/>
                      <w:sz w:val="16"/>
                      <w:szCs w:val="16"/>
                      <w:lang w:val="en-GB" w:eastAsia="sk-SK"/>
                    </w:rPr>
                    <w:t>Project / Programme Name</w:t>
                  </w:r>
                </w:p>
              </w:tc>
              <w:tc>
                <w:tcPr>
                  <w:tcW w:w="991" w:type="dxa"/>
                  <w:tcBorders>
                    <w:top w:val="nil"/>
                    <w:left w:val="single" w:sz="4" w:space="0" w:color="FFFFFF"/>
                    <w:bottom w:val="nil"/>
                    <w:right w:val="nil"/>
                  </w:tcBorders>
                  <w:shd w:val="clear" w:color="84A2CD" w:fill="84A2CD"/>
                  <w:vAlign w:val="center"/>
                  <w:hideMark/>
                </w:tcPr>
                <w:p w14:paraId="1B54E2DF" w14:textId="7D62E08D" w:rsidR="00EC58A2" w:rsidRPr="00450439" w:rsidRDefault="00EC58A2">
                  <w:pPr>
                    <w:spacing w:after="0" w:line="240" w:lineRule="auto"/>
                    <w:jc w:val="center"/>
                    <w:rPr>
                      <w:rFonts w:eastAsia="Times New Roman" w:cs="Times New Roman"/>
                      <w:b/>
                      <w:bCs/>
                      <w:color w:val="000000"/>
                      <w:sz w:val="16"/>
                      <w:szCs w:val="16"/>
                      <w:lang w:val="en-GB" w:eastAsia="sk-SK"/>
                    </w:rPr>
                  </w:pPr>
                  <w:r w:rsidRPr="00450439">
                    <w:rPr>
                      <w:rFonts w:eastAsia="Times New Roman" w:cs="Times New Roman"/>
                      <w:b/>
                      <w:bCs/>
                      <w:color w:val="000000"/>
                      <w:sz w:val="16"/>
                      <w:szCs w:val="16"/>
                      <w:lang w:val="en-GB" w:eastAsia="sk-SK"/>
                    </w:rPr>
                    <w:t>Region</w:t>
                  </w:r>
                </w:p>
              </w:tc>
              <w:tc>
                <w:tcPr>
                  <w:tcW w:w="1410" w:type="dxa"/>
                  <w:tcBorders>
                    <w:top w:val="nil"/>
                    <w:left w:val="single" w:sz="4" w:space="0" w:color="FFFFFF"/>
                    <w:bottom w:val="nil"/>
                    <w:right w:val="nil"/>
                  </w:tcBorders>
                  <w:shd w:val="clear" w:color="84A2CD" w:fill="84A2CD"/>
                  <w:vAlign w:val="center"/>
                  <w:hideMark/>
                </w:tcPr>
                <w:p w14:paraId="229048F9" w14:textId="77777777" w:rsidR="00EC58A2" w:rsidRPr="00450439" w:rsidRDefault="00EC58A2" w:rsidP="00EC58A2">
                  <w:pPr>
                    <w:spacing w:after="0" w:line="240" w:lineRule="auto"/>
                    <w:jc w:val="center"/>
                    <w:rPr>
                      <w:rFonts w:eastAsia="Times New Roman" w:cs="Times New Roman"/>
                      <w:b/>
                      <w:bCs/>
                      <w:color w:val="000000"/>
                      <w:sz w:val="16"/>
                      <w:szCs w:val="16"/>
                      <w:lang w:val="en-GB" w:eastAsia="sk-SK"/>
                    </w:rPr>
                  </w:pPr>
                  <w:r w:rsidRPr="00450439">
                    <w:rPr>
                      <w:rFonts w:eastAsia="Times New Roman" w:cs="Times New Roman"/>
                      <w:b/>
                      <w:bCs/>
                      <w:color w:val="000000"/>
                      <w:sz w:val="16"/>
                      <w:szCs w:val="16"/>
                      <w:lang w:val="en-GB" w:eastAsia="sk-SK"/>
                    </w:rPr>
                    <w:t>Project Status</w:t>
                  </w:r>
                </w:p>
              </w:tc>
              <w:tc>
                <w:tcPr>
                  <w:tcW w:w="932" w:type="dxa"/>
                  <w:tcBorders>
                    <w:top w:val="nil"/>
                    <w:left w:val="single" w:sz="4" w:space="0" w:color="FFFFFF"/>
                    <w:bottom w:val="nil"/>
                    <w:right w:val="nil"/>
                  </w:tcBorders>
                  <w:shd w:val="clear" w:color="84A2CD" w:fill="84A2CD"/>
                  <w:vAlign w:val="center"/>
                  <w:hideMark/>
                </w:tcPr>
                <w:p w14:paraId="144C48A2" w14:textId="77777777" w:rsidR="00EC58A2" w:rsidRPr="00450439" w:rsidRDefault="00EC58A2" w:rsidP="00EC58A2">
                  <w:pPr>
                    <w:spacing w:after="0" w:line="240" w:lineRule="auto"/>
                    <w:jc w:val="center"/>
                    <w:rPr>
                      <w:rFonts w:eastAsia="Times New Roman" w:cs="Times New Roman"/>
                      <w:b/>
                      <w:bCs/>
                      <w:color w:val="000000"/>
                      <w:sz w:val="16"/>
                      <w:szCs w:val="16"/>
                      <w:lang w:val="en-GB" w:eastAsia="sk-SK"/>
                    </w:rPr>
                  </w:pPr>
                  <w:r w:rsidRPr="00450439">
                    <w:rPr>
                      <w:rFonts w:eastAsia="Times New Roman" w:cs="Times New Roman"/>
                      <w:b/>
                      <w:bCs/>
                      <w:color w:val="000000"/>
                      <w:sz w:val="16"/>
                      <w:szCs w:val="16"/>
                      <w:lang w:val="en-GB" w:eastAsia="sk-SK"/>
                    </w:rPr>
                    <w:t>Procurement Route</w:t>
                  </w:r>
                </w:p>
              </w:tc>
              <w:tc>
                <w:tcPr>
                  <w:tcW w:w="873" w:type="dxa"/>
                  <w:tcBorders>
                    <w:top w:val="nil"/>
                    <w:left w:val="single" w:sz="4" w:space="0" w:color="FFFFFF"/>
                    <w:bottom w:val="nil"/>
                    <w:right w:val="nil"/>
                  </w:tcBorders>
                  <w:shd w:val="clear" w:color="84A2CD" w:fill="84A2CD"/>
                  <w:vAlign w:val="center"/>
                  <w:hideMark/>
                </w:tcPr>
                <w:p w14:paraId="4D8B2FF7" w14:textId="77777777" w:rsidR="00EC58A2" w:rsidRPr="00450439" w:rsidRDefault="00EC58A2" w:rsidP="00EC58A2">
                  <w:pPr>
                    <w:spacing w:after="0" w:line="240" w:lineRule="auto"/>
                    <w:jc w:val="center"/>
                    <w:rPr>
                      <w:rFonts w:eastAsia="Times New Roman" w:cs="Times New Roman"/>
                      <w:b/>
                      <w:bCs/>
                      <w:color w:val="000000"/>
                      <w:sz w:val="16"/>
                      <w:szCs w:val="16"/>
                      <w:lang w:val="en-GB" w:eastAsia="sk-SK"/>
                    </w:rPr>
                  </w:pPr>
                  <w:r w:rsidRPr="00450439">
                    <w:rPr>
                      <w:rFonts w:eastAsia="Times New Roman" w:cs="Times New Roman"/>
                      <w:b/>
                      <w:bCs/>
                      <w:color w:val="000000"/>
                      <w:sz w:val="16"/>
                      <w:szCs w:val="16"/>
                      <w:lang w:val="en-GB" w:eastAsia="sk-SK"/>
                    </w:rPr>
                    <w:t>Estimated Publication Date</w:t>
                  </w:r>
                </w:p>
              </w:tc>
              <w:tc>
                <w:tcPr>
                  <w:tcW w:w="1104" w:type="dxa"/>
                  <w:tcBorders>
                    <w:top w:val="nil"/>
                    <w:left w:val="single" w:sz="4" w:space="0" w:color="FFFFFF"/>
                    <w:bottom w:val="nil"/>
                    <w:right w:val="nil"/>
                  </w:tcBorders>
                  <w:shd w:val="clear" w:color="84A2CD" w:fill="84A2CD"/>
                  <w:vAlign w:val="center"/>
                  <w:hideMark/>
                </w:tcPr>
                <w:p w14:paraId="6FBBEAA6" w14:textId="77777777" w:rsidR="00EC58A2" w:rsidRPr="00450439" w:rsidRDefault="00EC58A2" w:rsidP="00EC58A2">
                  <w:pPr>
                    <w:spacing w:after="0" w:line="240" w:lineRule="auto"/>
                    <w:jc w:val="center"/>
                    <w:rPr>
                      <w:rFonts w:eastAsia="Times New Roman" w:cs="Times New Roman"/>
                      <w:b/>
                      <w:bCs/>
                      <w:color w:val="000000"/>
                      <w:sz w:val="16"/>
                      <w:szCs w:val="16"/>
                      <w:lang w:val="en-GB" w:eastAsia="sk-SK"/>
                    </w:rPr>
                  </w:pPr>
                  <w:r w:rsidRPr="00450439">
                    <w:rPr>
                      <w:rFonts w:eastAsia="Times New Roman" w:cs="Times New Roman"/>
                      <w:b/>
                      <w:bCs/>
                      <w:color w:val="000000"/>
                      <w:sz w:val="16"/>
                      <w:szCs w:val="16"/>
                      <w:lang w:val="en-GB" w:eastAsia="sk-SK"/>
                    </w:rPr>
                    <w:t>Estimated Contract Value (£)</w:t>
                  </w:r>
                </w:p>
              </w:tc>
            </w:tr>
            <w:tr w:rsidR="00EA7160" w:rsidRPr="005D4C17" w14:paraId="5A5BE6B3" w14:textId="77777777" w:rsidTr="00450439">
              <w:trPr>
                <w:trHeight w:val="210"/>
              </w:trPr>
              <w:tc>
                <w:tcPr>
                  <w:tcW w:w="637" w:type="dxa"/>
                  <w:tcBorders>
                    <w:top w:val="single" w:sz="4" w:space="0" w:color="FFFFFF"/>
                    <w:left w:val="nil"/>
                    <w:bottom w:val="nil"/>
                    <w:right w:val="nil"/>
                  </w:tcBorders>
                  <w:shd w:val="clear" w:color="A5BAD7" w:fill="A5BAD7"/>
                  <w:noWrap/>
                  <w:hideMark/>
                </w:tcPr>
                <w:p w14:paraId="20338C39"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Transport</w:t>
                  </w:r>
                </w:p>
              </w:tc>
              <w:tc>
                <w:tcPr>
                  <w:tcW w:w="2980" w:type="dxa"/>
                  <w:tcBorders>
                    <w:top w:val="single" w:sz="4" w:space="0" w:color="FFFFFF"/>
                    <w:left w:val="single" w:sz="4" w:space="0" w:color="FFFFFF"/>
                    <w:bottom w:val="nil"/>
                    <w:right w:val="nil"/>
                  </w:tcBorders>
                  <w:shd w:val="clear" w:color="A5BAD7" w:fill="A5BAD7"/>
                  <w:noWrap/>
                  <w:hideMark/>
                </w:tcPr>
                <w:p w14:paraId="74971E4D"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A428 Black Cat to Caxton Gibbet</w:t>
                  </w:r>
                </w:p>
              </w:tc>
              <w:tc>
                <w:tcPr>
                  <w:tcW w:w="991" w:type="dxa"/>
                  <w:tcBorders>
                    <w:top w:val="single" w:sz="4" w:space="0" w:color="FFFFFF"/>
                    <w:left w:val="single" w:sz="4" w:space="0" w:color="FFFFFF"/>
                    <w:bottom w:val="nil"/>
                    <w:right w:val="nil"/>
                  </w:tcBorders>
                  <w:shd w:val="clear" w:color="A5BAD7" w:fill="A5BAD7"/>
                  <w:noWrap/>
                  <w:hideMark/>
                </w:tcPr>
                <w:p w14:paraId="647267A2"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East of England</w:t>
                  </w:r>
                </w:p>
              </w:tc>
              <w:tc>
                <w:tcPr>
                  <w:tcW w:w="1410" w:type="dxa"/>
                  <w:tcBorders>
                    <w:top w:val="single" w:sz="4" w:space="0" w:color="FFFFFF"/>
                    <w:left w:val="single" w:sz="4" w:space="0" w:color="FFFFFF"/>
                    <w:bottom w:val="nil"/>
                    <w:right w:val="nil"/>
                  </w:tcBorders>
                  <w:shd w:val="clear" w:color="A5BAD7" w:fill="A5BAD7"/>
                  <w:noWrap/>
                  <w:hideMark/>
                </w:tcPr>
                <w:p w14:paraId="13FE8ED7"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Planning and Consents</w:t>
                  </w:r>
                </w:p>
              </w:tc>
              <w:tc>
                <w:tcPr>
                  <w:tcW w:w="932" w:type="dxa"/>
                  <w:tcBorders>
                    <w:top w:val="single" w:sz="4" w:space="0" w:color="FFFFFF"/>
                    <w:left w:val="single" w:sz="4" w:space="0" w:color="FFFFFF"/>
                    <w:bottom w:val="nil"/>
                    <w:right w:val="nil"/>
                  </w:tcBorders>
                  <w:shd w:val="clear" w:color="A5BAD7" w:fill="A5BAD7"/>
                  <w:noWrap/>
                  <w:hideMark/>
                </w:tcPr>
                <w:p w14:paraId="27BA918B"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Open Tender</w:t>
                  </w:r>
                </w:p>
              </w:tc>
              <w:tc>
                <w:tcPr>
                  <w:tcW w:w="873" w:type="dxa"/>
                  <w:tcBorders>
                    <w:top w:val="single" w:sz="4" w:space="0" w:color="FFFFFF"/>
                    <w:left w:val="single" w:sz="4" w:space="0" w:color="FFFFFF"/>
                    <w:bottom w:val="nil"/>
                    <w:right w:val="nil"/>
                  </w:tcBorders>
                  <w:shd w:val="clear" w:color="A5BAD7" w:fill="A5BAD7"/>
                  <w:noWrap/>
                  <w:hideMark/>
                </w:tcPr>
                <w:p w14:paraId="3B6E4741" w14:textId="77777777" w:rsidR="00EC58A2" w:rsidRPr="00450439" w:rsidRDefault="00EC58A2">
                  <w:pPr>
                    <w:spacing w:after="0" w:line="240" w:lineRule="auto"/>
                    <w:jc w:val="center"/>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Q1 2020/21</w:t>
                  </w:r>
                </w:p>
              </w:tc>
              <w:tc>
                <w:tcPr>
                  <w:tcW w:w="1104" w:type="dxa"/>
                  <w:tcBorders>
                    <w:top w:val="single" w:sz="4" w:space="0" w:color="FFFFFF"/>
                    <w:left w:val="single" w:sz="4" w:space="0" w:color="FFFFFF"/>
                    <w:bottom w:val="nil"/>
                    <w:right w:val="nil"/>
                  </w:tcBorders>
                  <w:shd w:val="clear" w:color="A5BAD7" w:fill="A5BAD7"/>
                  <w:noWrap/>
                  <w:hideMark/>
                </w:tcPr>
                <w:p w14:paraId="10B06694" w14:textId="12141113" w:rsidR="00EC58A2" w:rsidRPr="00450439" w:rsidRDefault="00EC58A2" w:rsidP="00450439">
                  <w:pPr>
                    <w:spacing w:after="0" w:line="240" w:lineRule="auto"/>
                    <w:jc w:val="righ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 xml:space="preserve">1 600 000 000 </w:t>
                  </w:r>
                </w:p>
              </w:tc>
            </w:tr>
            <w:tr w:rsidR="00EA7160" w:rsidRPr="005D4C17" w14:paraId="28E83577" w14:textId="77777777" w:rsidTr="00450439">
              <w:trPr>
                <w:trHeight w:val="210"/>
              </w:trPr>
              <w:tc>
                <w:tcPr>
                  <w:tcW w:w="637" w:type="dxa"/>
                  <w:tcBorders>
                    <w:top w:val="single" w:sz="4" w:space="0" w:color="FFFFFF"/>
                    <w:left w:val="nil"/>
                    <w:bottom w:val="nil"/>
                    <w:right w:val="nil"/>
                  </w:tcBorders>
                  <w:shd w:val="clear" w:color="DBE5F1" w:fill="DBE5F1"/>
                  <w:noWrap/>
                  <w:hideMark/>
                </w:tcPr>
                <w:p w14:paraId="12AE3DF1"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Transport</w:t>
                  </w:r>
                </w:p>
              </w:tc>
              <w:tc>
                <w:tcPr>
                  <w:tcW w:w="2980" w:type="dxa"/>
                  <w:tcBorders>
                    <w:top w:val="single" w:sz="4" w:space="0" w:color="FFFFFF"/>
                    <w:left w:val="single" w:sz="4" w:space="0" w:color="FFFFFF"/>
                    <w:bottom w:val="nil"/>
                    <w:right w:val="nil"/>
                  </w:tcBorders>
                  <w:shd w:val="clear" w:color="DBE5F1" w:fill="DBE5F1"/>
                  <w:noWrap/>
                  <w:hideMark/>
                </w:tcPr>
                <w:p w14:paraId="418B0305"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A303 Amesbury to Berwick Down</w:t>
                  </w:r>
                </w:p>
              </w:tc>
              <w:tc>
                <w:tcPr>
                  <w:tcW w:w="991" w:type="dxa"/>
                  <w:tcBorders>
                    <w:top w:val="single" w:sz="4" w:space="0" w:color="FFFFFF"/>
                    <w:left w:val="single" w:sz="4" w:space="0" w:color="FFFFFF"/>
                    <w:bottom w:val="nil"/>
                    <w:right w:val="nil"/>
                  </w:tcBorders>
                  <w:shd w:val="clear" w:color="DBE5F1" w:fill="DBE5F1"/>
                  <w:noWrap/>
                  <w:hideMark/>
                </w:tcPr>
                <w:p w14:paraId="0CFFA0B3"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South West</w:t>
                  </w:r>
                </w:p>
              </w:tc>
              <w:tc>
                <w:tcPr>
                  <w:tcW w:w="1410" w:type="dxa"/>
                  <w:tcBorders>
                    <w:top w:val="single" w:sz="4" w:space="0" w:color="FFFFFF"/>
                    <w:left w:val="single" w:sz="4" w:space="0" w:color="FFFFFF"/>
                    <w:bottom w:val="nil"/>
                    <w:right w:val="nil"/>
                  </w:tcBorders>
                  <w:shd w:val="clear" w:color="DBE5F1" w:fill="DBE5F1"/>
                  <w:noWrap/>
                  <w:hideMark/>
                </w:tcPr>
                <w:p w14:paraId="45C4AA40"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Active Programme</w:t>
                  </w:r>
                </w:p>
              </w:tc>
              <w:tc>
                <w:tcPr>
                  <w:tcW w:w="932" w:type="dxa"/>
                  <w:tcBorders>
                    <w:top w:val="single" w:sz="4" w:space="0" w:color="FFFFFF"/>
                    <w:left w:val="single" w:sz="4" w:space="0" w:color="FFFFFF"/>
                    <w:bottom w:val="nil"/>
                    <w:right w:val="nil"/>
                  </w:tcBorders>
                  <w:shd w:val="clear" w:color="DBE5F1" w:fill="DBE5F1"/>
                  <w:noWrap/>
                  <w:hideMark/>
                </w:tcPr>
                <w:p w14:paraId="24C42E12"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Competitive Dialogue</w:t>
                  </w:r>
                </w:p>
              </w:tc>
              <w:tc>
                <w:tcPr>
                  <w:tcW w:w="873" w:type="dxa"/>
                  <w:tcBorders>
                    <w:top w:val="single" w:sz="4" w:space="0" w:color="FFFFFF"/>
                    <w:left w:val="single" w:sz="4" w:space="0" w:color="FFFFFF"/>
                    <w:bottom w:val="nil"/>
                    <w:right w:val="nil"/>
                  </w:tcBorders>
                  <w:shd w:val="clear" w:color="DBE5F1" w:fill="DBE5F1"/>
                  <w:noWrap/>
                  <w:hideMark/>
                </w:tcPr>
                <w:p w14:paraId="152833B2" w14:textId="77777777" w:rsidR="00EC58A2" w:rsidRPr="00450439" w:rsidRDefault="00EC58A2">
                  <w:pPr>
                    <w:spacing w:after="0" w:line="240" w:lineRule="auto"/>
                    <w:jc w:val="center"/>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Q1 2020/21</w:t>
                  </w:r>
                </w:p>
              </w:tc>
              <w:tc>
                <w:tcPr>
                  <w:tcW w:w="1104" w:type="dxa"/>
                  <w:tcBorders>
                    <w:top w:val="single" w:sz="4" w:space="0" w:color="FFFFFF"/>
                    <w:left w:val="single" w:sz="4" w:space="0" w:color="FFFFFF"/>
                    <w:bottom w:val="nil"/>
                    <w:right w:val="nil"/>
                  </w:tcBorders>
                  <w:shd w:val="clear" w:color="DBE5F1" w:fill="DBE5F1"/>
                  <w:noWrap/>
                  <w:hideMark/>
                </w:tcPr>
                <w:p w14:paraId="4253EE42" w14:textId="20EAE2F8" w:rsidR="00EC58A2" w:rsidRPr="00450439" w:rsidRDefault="00EC58A2" w:rsidP="00450439">
                  <w:pPr>
                    <w:spacing w:after="0" w:line="240" w:lineRule="auto"/>
                    <w:jc w:val="righ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 xml:space="preserve">2 800 000 000 </w:t>
                  </w:r>
                </w:p>
              </w:tc>
            </w:tr>
            <w:tr w:rsidR="00EA7160" w:rsidRPr="005D4C17" w14:paraId="351D1F37" w14:textId="77777777" w:rsidTr="00450439">
              <w:trPr>
                <w:trHeight w:val="210"/>
              </w:trPr>
              <w:tc>
                <w:tcPr>
                  <w:tcW w:w="637" w:type="dxa"/>
                  <w:tcBorders>
                    <w:top w:val="single" w:sz="4" w:space="0" w:color="FFFFFF"/>
                    <w:left w:val="nil"/>
                    <w:bottom w:val="nil"/>
                    <w:right w:val="nil"/>
                  </w:tcBorders>
                  <w:shd w:val="clear" w:color="A5BAD7" w:fill="A5BAD7"/>
                  <w:noWrap/>
                  <w:hideMark/>
                </w:tcPr>
                <w:p w14:paraId="6F57E7C0"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Transport</w:t>
                  </w:r>
                </w:p>
              </w:tc>
              <w:tc>
                <w:tcPr>
                  <w:tcW w:w="2980" w:type="dxa"/>
                  <w:tcBorders>
                    <w:top w:val="single" w:sz="4" w:space="0" w:color="FFFFFF"/>
                    <w:left w:val="single" w:sz="4" w:space="0" w:color="FFFFFF"/>
                    <w:bottom w:val="nil"/>
                    <w:right w:val="nil"/>
                  </w:tcBorders>
                  <w:shd w:val="clear" w:color="A5BAD7" w:fill="A5BAD7"/>
                  <w:noWrap/>
                  <w:hideMark/>
                </w:tcPr>
                <w:p w14:paraId="1A62A292"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Lower Thames Crossing</w:t>
                  </w:r>
                </w:p>
              </w:tc>
              <w:tc>
                <w:tcPr>
                  <w:tcW w:w="991" w:type="dxa"/>
                  <w:tcBorders>
                    <w:top w:val="single" w:sz="4" w:space="0" w:color="FFFFFF"/>
                    <w:left w:val="single" w:sz="4" w:space="0" w:color="FFFFFF"/>
                    <w:bottom w:val="nil"/>
                    <w:right w:val="nil"/>
                  </w:tcBorders>
                  <w:shd w:val="clear" w:color="A5BAD7" w:fill="A5BAD7"/>
                  <w:noWrap/>
                  <w:hideMark/>
                </w:tcPr>
                <w:p w14:paraId="55036B38"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South East</w:t>
                  </w:r>
                </w:p>
              </w:tc>
              <w:tc>
                <w:tcPr>
                  <w:tcW w:w="1410" w:type="dxa"/>
                  <w:tcBorders>
                    <w:top w:val="single" w:sz="4" w:space="0" w:color="FFFFFF"/>
                    <w:left w:val="single" w:sz="4" w:space="0" w:color="FFFFFF"/>
                    <w:bottom w:val="nil"/>
                    <w:right w:val="nil"/>
                  </w:tcBorders>
                  <w:shd w:val="clear" w:color="A5BAD7" w:fill="A5BAD7"/>
                  <w:noWrap/>
                  <w:hideMark/>
                </w:tcPr>
                <w:p w14:paraId="7F351550"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Planning and Consents</w:t>
                  </w:r>
                </w:p>
              </w:tc>
              <w:tc>
                <w:tcPr>
                  <w:tcW w:w="932" w:type="dxa"/>
                  <w:tcBorders>
                    <w:top w:val="single" w:sz="4" w:space="0" w:color="FFFFFF"/>
                    <w:left w:val="single" w:sz="4" w:space="0" w:color="FFFFFF"/>
                    <w:bottom w:val="nil"/>
                    <w:right w:val="nil"/>
                  </w:tcBorders>
                  <w:shd w:val="clear" w:color="A5BAD7" w:fill="A5BAD7"/>
                  <w:noWrap/>
                  <w:hideMark/>
                </w:tcPr>
                <w:p w14:paraId="327F9354"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Open Tender</w:t>
                  </w:r>
                </w:p>
              </w:tc>
              <w:tc>
                <w:tcPr>
                  <w:tcW w:w="873" w:type="dxa"/>
                  <w:tcBorders>
                    <w:top w:val="single" w:sz="4" w:space="0" w:color="FFFFFF"/>
                    <w:left w:val="single" w:sz="4" w:space="0" w:color="FFFFFF"/>
                    <w:bottom w:val="nil"/>
                    <w:right w:val="nil"/>
                  </w:tcBorders>
                  <w:shd w:val="clear" w:color="A5BAD7" w:fill="A5BAD7"/>
                  <w:noWrap/>
                  <w:hideMark/>
                </w:tcPr>
                <w:p w14:paraId="6343BB54" w14:textId="77777777" w:rsidR="00EC58A2" w:rsidRPr="00450439" w:rsidRDefault="00EC58A2">
                  <w:pPr>
                    <w:spacing w:after="0" w:line="240" w:lineRule="auto"/>
                    <w:jc w:val="center"/>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Q2 2020/21</w:t>
                  </w:r>
                </w:p>
              </w:tc>
              <w:tc>
                <w:tcPr>
                  <w:tcW w:w="1104" w:type="dxa"/>
                  <w:tcBorders>
                    <w:top w:val="single" w:sz="4" w:space="0" w:color="FFFFFF"/>
                    <w:left w:val="single" w:sz="4" w:space="0" w:color="FFFFFF"/>
                    <w:bottom w:val="nil"/>
                    <w:right w:val="nil"/>
                  </w:tcBorders>
                  <w:shd w:val="clear" w:color="A5BAD7" w:fill="A5BAD7"/>
                  <w:noWrap/>
                  <w:hideMark/>
                </w:tcPr>
                <w:p w14:paraId="38768019" w14:textId="757AD321" w:rsidR="00EC58A2" w:rsidRPr="00450439" w:rsidRDefault="00EC58A2" w:rsidP="00450439">
                  <w:pPr>
                    <w:spacing w:after="0" w:line="240" w:lineRule="auto"/>
                    <w:jc w:val="righ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 xml:space="preserve">250 000 000 </w:t>
                  </w:r>
                </w:p>
              </w:tc>
            </w:tr>
            <w:tr w:rsidR="00EA7160" w:rsidRPr="005D4C17" w14:paraId="1EE5F7DE" w14:textId="77777777" w:rsidTr="00450439">
              <w:trPr>
                <w:trHeight w:val="210"/>
              </w:trPr>
              <w:tc>
                <w:tcPr>
                  <w:tcW w:w="637" w:type="dxa"/>
                  <w:tcBorders>
                    <w:top w:val="single" w:sz="4" w:space="0" w:color="FFFFFF"/>
                    <w:left w:val="nil"/>
                    <w:bottom w:val="nil"/>
                    <w:right w:val="nil"/>
                  </w:tcBorders>
                  <w:shd w:val="clear" w:color="DBE5F1" w:fill="DBE5F1"/>
                  <w:noWrap/>
                  <w:hideMark/>
                </w:tcPr>
                <w:p w14:paraId="39435C8B"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Transport</w:t>
                  </w:r>
                </w:p>
              </w:tc>
              <w:tc>
                <w:tcPr>
                  <w:tcW w:w="2980" w:type="dxa"/>
                  <w:tcBorders>
                    <w:top w:val="single" w:sz="4" w:space="0" w:color="FFFFFF"/>
                    <w:left w:val="single" w:sz="4" w:space="0" w:color="FFFFFF"/>
                    <w:bottom w:val="nil"/>
                    <w:right w:val="nil"/>
                  </w:tcBorders>
                  <w:shd w:val="clear" w:color="DBE5F1" w:fill="DBE5F1"/>
                  <w:noWrap/>
                  <w:hideMark/>
                </w:tcPr>
                <w:p w14:paraId="684218FC"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Free Flow Charging Dart Charge</w:t>
                  </w:r>
                </w:p>
              </w:tc>
              <w:tc>
                <w:tcPr>
                  <w:tcW w:w="991" w:type="dxa"/>
                  <w:tcBorders>
                    <w:top w:val="single" w:sz="4" w:space="0" w:color="FFFFFF"/>
                    <w:left w:val="single" w:sz="4" w:space="0" w:color="FFFFFF"/>
                    <w:bottom w:val="nil"/>
                    <w:right w:val="nil"/>
                  </w:tcBorders>
                  <w:shd w:val="clear" w:color="DBE5F1" w:fill="DBE5F1"/>
                  <w:noWrap/>
                  <w:hideMark/>
                </w:tcPr>
                <w:p w14:paraId="4AC5693E"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South East</w:t>
                  </w:r>
                </w:p>
              </w:tc>
              <w:tc>
                <w:tcPr>
                  <w:tcW w:w="1410" w:type="dxa"/>
                  <w:tcBorders>
                    <w:top w:val="single" w:sz="4" w:space="0" w:color="FFFFFF"/>
                    <w:left w:val="single" w:sz="4" w:space="0" w:color="FFFFFF"/>
                    <w:bottom w:val="nil"/>
                    <w:right w:val="nil"/>
                  </w:tcBorders>
                  <w:shd w:val="clear" w:color="DBE5F1" w:fill="DBE5F1"/>
                  <w:noWrap/>
                  <w:hideMark/>
                </w:tcPr>
                <w:p w14:paraId="1263465E"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Active Programme</w:t>
                  </w:r>
                </w:p>
              </w:tc>
              <w:tc>
                <w:tcPr>
                  <w:tcW w:w="932" w:type="dxa"/>
                  <w:tcBorders>
                    <w:top w:val="single" w:sz="4" w:space="0" w:color="FFFFFF"/>
                    <w:left w:val="single" w:sz="4" w:space="0" w:color="FFFFFF"/>
                    <w:bottom w:val="nil"/>
                    <w:right w:val="nil"/>
                  </w:tcBorders>
                  <w:shd w:val="clear" w:color="DBE5F1" w:fill="DBE5F1"/>
                  <w:noWrap/>
                  <w:hideMark/>
                </w:tcPr>
                <w:p w14:paraId="058F4BA2"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Competitive Dialogue</w:t>
                  </w:r>
                </w:p>
              </w:tc>
              <w:tc>
                <w:tcPr>
                  <w:tcW w:w="873" w:type="dxa"/>
                  <w:tcBorders>
                    <w:top w:val="single" w:sz="4" w:space="0" w:color="FFFFFF"/>
                    <w:left w:val="single" w:sz="4" w:space="0" w:color="FFFFFF"/>
                    <w:bottom w:val="nil"/>
                    <w:right w:val="nil"/>
                  </w:tcBorders>
                  <w:shd w:val="clear" w:color="DBE5F1" w:fill="DBE5F1"/>
                  <w:noWrap/>
                  <w:hideMark/>
                </w:tcPr>
                <w:p w14:paraId="65554444" w14:textId="77777777" w:rsidR="00EC58A2" w:rsidRPr="00450439" w:rsidRDefault="00EC58A2">
                  <w:pPr>
                    <w:spacing w:after="0" w:line="240" w:lineRule="auto"/>
                    <w:jc w:val="center"/>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Q1 2020/21</w:t>
                  </w:r>
                </w:p>
              </w:tc>
              <w:tc>
                <w:tcPr>
                  <w:tcW w:w="1104" w:type="dxa"/>
                  <w:tcBorders>
                    <w:top w:val="single" w:sz="4" w:space="0" w:color="FFFFFF"/>
                    <w:left w:val="single" w:sz="4" w:space="0" w:color="FFFFFF"/>
                    <w:bottom w:val="nil"/>
                    <w:right w:val="nil"/>
                  </w:tcBorders>
                  <w:shd w:val="clear" w:color="DBE5F1" w:fill="DBE5F1"/>
                  <w:noWrap/>
                  <w:hideMark/>
                </w:tcPr>
                <w:p w14:paraId="1328CA4F" w14:textId="7792856D" w:rsidR="00EC58A2" w:rsidRPr="00450439" w:rsidRDefault="00EC58A2" w:rsidP="00450439">
                  <w:pPr>
                    <w:spacing w:after="0" w:line="240" w:lineRule="auto"/>
                    <w:jc w:val="righ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 xml:space="preserve">300 000 000 </w:t>
                  </w:r>
                </w:p>
              </w:tc>
            </w:tr>
            <w:tr w:rsidR="00EA7160" w:rsidRPr="005D4C17" w14:paraId="0B919019" w14:textId="77777777" w:rsidTr="00450439">
              <w:trPr>
                <w:trHeight w:val="210"/>
              </w:trPr>
              <w:tc>
                <w:tcPr>
                  <w:tcW w:w="637" w:type="dxa"/>
                  <w:tcBorders>
                    <w:top w:val="single" w:sz="4" w:space="0" w:color="FFFFFF"/>
                    <w:left w:val="nil"/>
                    <w:bottom w:val="nil"/>
                    <w:right w:val="nil"/>
                  </w:tcBorders>
                  <w:shd w:val="clear" w:color="A5BAD7" w:fill="A5BAD7"/>
                  <w:noWrap/>
                  <w:hideMark/>
                </w:tcPr>
                <w:p w14:paraId="7762B7D7"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Transport</w:t>
                  </w:r>
                </w:p>
              </w:tc>
              <w:tc>
                <w:tcPr>
                  <w:tcW w:w="2980" w:type="dxa"/>
                  <w:tcBorders>
                    <w:top w:val="single" w:sz="4" w:space="0" w:color="FFFFFF"/>
                    <w:left w:val="single" w:sz="4" w:space="0" w:color="FFFFFF"/>
                    <w:bottom w:val="nil"/>
                    <w:right w:val="nil"/>
                  </w:tcBorders>
                  <w:shd w:val="clear" w:color="A5BAD7" w:fill="A5BAD7"/>
                  <w:noWrap/>
                  <w:hideMark/>
                </w:tcPr>
                <w:p w14:paraId="2133BC27"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Smart Motorways</w:t>
                  </w:r>
                </w:p>
              </w:tc>
              <w:tc>
                <w:tcPr>
                  <w:tcW w:w="991" w:type="dxa"/>
                  <w:tcBorders>
                    <w:top w:val="single" w:sz="4" w:space="0" w:color="FFFFFF"/>
                    <w:left w:val="single" w:sz="4" w:space="0" w:color="FFFFFF"/>
                    <w:bottom w:val="nil"/>
                    <w:right w:val="nil"/>
                  </w:tcBorders>
                  <w:shd w:val="clear" w:color="A5BAD7" w:fill="A5BAD7"/>
                  <w:noWrap/>
                  <w:hideMark/>
                </w:tcPr>
                <w:p w14:paraId="58C5E02F"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England</w:t>
                  </w:r>
                </w:p>
              </w:tc>
              <w:tc>
                <w:tcPr>
                  <w:tcW w:w="1410" w:type="dxa"/>
                  <w:tcBorders>
                    <w:top w:val="single" w:sz="4" w:space="0" w:color="FFFFFF"/>
                    <w:left w:val="single" w:sz="4" w:space="0" w:color="FFFFFF"/>
                    <w:bottom w:val="nil"/>
                    <w:right w:val="nil"/>
                  </w:tcBorders>
                  <w:shd w:val="clear" w:color="A5BAD7" w:fill="A5BAD7"/>
                  <w:noWrap/>
                  <w:hideMark/>
                </w:tcPr>
                <w:p w14:paraId="3A3657DF"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Active Programme</w:t>
                  </w:r>
                </w:p>
              </w:tc>
              <w:tc>
                <w:tcPr>
                  <w:tcW w:w="932" w:type="dxa"/>
                  <w:tcBorders>
                    <w:top w:val="single" w:sz="4" w:space="0" w:color="FFFFFF"/>
                    <w:left w:val="single" w:sz="4" w:space="0" w:color="FFFFFF"/>
                    <w:bottom w:val="nil"/>
                    <w:right w:val="nil"/>
                  </w:tcBorders>
                  <w:shd w:val="clear" w:color="A5BAD7" w:fill="A5BAD7"/>
                  <w:noWrap/>
                  <w:hideMark/>
                </w:tcPr>
                <w:p w14:paraId="51D5D5F6"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Competitive Dialogue</w:t>
                  </w:r>
                </w:p>
              </w:tc>
              <w:tc>
                <w:tcPr>
                  <w:tcW w:w="873" w:type="dxa"/>
                  <w:tcBorders>
                    <w:top w:val="single" w:sz="4" w:space="0" w:color="FFFFFF"/>
                    <w:left w:val="single" w:sz="4" w:space="0" w:color="FFFFFF"/>
                    <w:bottom w:val="nil"/>
                    <w:right w:val="nil"/>
                  </w:tcBorders>
                  <w:shd w:val="clear" w:color="A5BAD7" w:fill="A5BAD7"/>
                  <w:noWrap/>
                  <w:hideMark/>
                </w:tcPr>
                <w:p w14:paraId="137E10F1" w14:textId="77777777" w:rsidR="00EC58A2" w:rsidRPr="00450439" w:rsidRDefault="00EC58A2">
                  <w:pPr>
                    <w:spacing w:after="0" w:line="240" w:lineRule="auto"/>
                    <w:jc w:val="center"/>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Q1 2020/21</w:t>
                  </w:r>
                </w:p>
              </w:tc>
              <w:tc>
                <w:tcPr>
                  <w:tcW w:w="1104" w:type="dxa"/>
                  <w:tcBorders>
                    <w:top w:val="single" w:sz="4" w:space="0" w:color="FFFFFF"/>
                    <w:left w:val="single" w:sz="4" w:space="0" w:color="FFFFFF"/>
                    <w:bottom w:val="nil"/>
                    <w:right w:val="nil"/>
                  </w:tcBorders>
                  <w:shd w:val="clear" w:color="A5BAD7" w:fill="A5BAD7"/>
                  <w:noWrap/>
                  <w:hideMark/>
                </w:tcPr>
                <w:p w14:paraId="665CA778" w14:textId="3C01E6D1" w:rsidR="00EC58A2" w:rsidRPr="00450439" w:rsidRDefault="00EC58A2" w:rsidP="00450439">
                  <w:pPr>
                    <w:spacing w:after="0" w:line="240" w:lineRule="auto"/>
                    <w:jc w:val="righ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 xml:space="preserve">7 000 000 000 </w:t>
                  </w:r>
                </w:p>
              </w:tc>
            </w:tr>
            <w:tr w:rsidR="00EA7160" w:rsidRPr="005D4C17" w14:paraId="7458E4FB" w14:textId="77777777" w:rsidTr="00450439">
              <w:trPr>
                <w:trHeight w:val="210"/>
              </w:trPr>
              <w:tc>
                <w:tcPr>
                  <w:tcW w:w="637" w:type="dxa"/>
                  <w:tcBorders>
                    <w:top w:val="single" w:sz="4" w:space="0" w:color="FFFFFF"/>
                    <w:left w:val="nil"/>
                    <w:bottom w:val="nil"/>
                    <w:right w:val="nil"/>
                  </w:tcBorders>
                  <w:shd w:val="clear" w:color="DBE5F1" w:fill="DBE5F1"/>
                  <w:noWrap/>
                  <w:hideMark/>
                </w:tcPr>
                <w:p w14:paraId="6A51B8F7"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Transport</w:t>
                  </w:r>
                </w:p>
              </w:tc>
              <w:tc>
                <w:tcPr>
                  <w:tcW w:w="2980" w:type="dxa"/>
                  <w:tcBorders>
                    <w:top w:val="single" w:sz="4" w:space="0" w:color="FFFFFF"/>
                    <w:left w:val="single" w:sz="4" w:space="0" w:color="FFFFFF"/>
                    <w:bottom w:val="nil"/>
                    <w:right w:val="nil"/>
                  </w:tcBorders>
                  <w:shd w:val="clear" w:color="DBE5F1" w:fill="DBE5F1"/>
                  <w:noWrap/>
                  <w:hideMark/>
                </w:tcPr>
                <w:p w14:paraId="5C31CA2C"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Archaeology Framework</w:t>
                  </w:r>
                </w:p>
              </w:tc>
              <w:tc>
                <w:tcPr>
                  <w:tcW w:w="991" w:type="dxa"/>
                  <w:tcBorders>
                    <w:top w:val="single" w:sz="4" w:space="0" w:color="FFFFFF"/>
                    <w:left w:val="single" w:sz="4" w:space="0" w:color="FFFFFF"/>
                    <w:bottom w:val="nil"/>
                    <w:right w:val="nil"/>
                  </w:tcBorders>
                  <w:shd w:val="clear" w:color="DBE5F1" w:fill="DBE5F1"/>
                  <w:noWrap/>
                  <w:hideMark/>
                </w:tcPr>
                <w:p w14:paraId="7D25F025"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England</w:t>
                  </w:r>
                </w:p>
              </w:tc>
              <w:tc>
                <w:tcPr>
                  <w:tcW w:w="1410" w:type="dxa"/>
                  <w:tcBorders>
                    <w:top w:val="single" w:sz="4" w:space="0" w:color="FFFFFF"/>
                    <w:left w:val="single" w:sz="4" w:space="0" w:color="FFFFFF"/>
                    <w:bottom w:val="nil"/>
                    <w:right w:val="nil"/>
                  </w:tcBorders>
                  <w:shd w:val="clear" w:color="DBE5F1" w:fill="DBE5F1"/>
                  <w:noWrap/>
                  <w:hideMark/>
                </w:tcPr>
                <w:p w14:paraId="337AA671"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Active Programme</w:t>
                  </w:r>
                </w:p>
              </w:tc>
              <w:tc>
                <w:tcPr>
                  <w:tcW w:w="932" w:type="dxa"/>
                  <w:tcBorders>
                    <w:top w:val="single" w:sz="4" w:space="0" w:color="FFFFFF"/>
                    <w:left w:val="single" w:sz="4" w:space="0" w:color="FFFFFF"/>
                    <w:bottom w:val="nil"/>
                    <w:right w:val="nil"/>
                  </w:tcBorders>
                  <w:shd w:val="clear" w:color="DBE5F1" w:fill="DBE5F1"/>
                  <w:noWrap/>
                  <w:hideMark/>
                </w:tcPr>
                <w:p w14:paraId="034FFF37"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Open Tender</w:t>
                  </w:r>
                </w:p>
              </w:tc>
              <w:tc>
                <w:tcPr>
                  <w:tcW w:w="873" w:type="dxa"/>
                  <w:tcBorders>
                    <w:top w:val="single" w:sz="4" w:space="0" w:color="FFFFFF"/>
                    <w:left w:val="single" w:sz="4" w:space="0" w:color="FFFFFF"/>
                    <w:bottom w:val="nil"/>
                    <w:right w:val="nil"/>
                  </w:tcBorders>
                  <w:shd w:val="clear" w:color="DBE5F1" w:fill="DBE5F1"/>
                  <w:noWrap/>
                  <w:hideMark/>
                </w:tcPr>
                <w:p w14:paraId="2EFEA35E" w14:textId="77777777" w:rsidR="00EC58A2" w:rsidRPr="00450439" w:rsidRDefault="00EC58A2">
                  <w:pPr>
                    <w:spacing w:after="0" w:line="240" w:lineRule="auto"/>
                    <w:jc w:val="center"/>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2020/21</w:t>
                  </w:r>
                </w:p>
              </w:tc>
              <w:tc>
                <w:tcPr>
                  <w:tcW w:w="1104" w:type="dxa"/>
                  <w:tcBorders>
                    <w:top w:val="single" w:sz="4" w:space="0" w:color="FFFFFF"/>
                    <w:left w:val="single" w:sz="4" w:space="0" w:color="FFFFFF"/>
                    <w:bottom w:val="nil"/>
                    <w:right w:val="nil"/>
                  </w:tcBorders>
                  <w:shd w:val="clear" w:color="DBE5F1" w:fill="DBE5F1"/>
                  <w:noWrap/>
                  <w:hideMark/>
                </w:tcPr>
                <w:p w14:paraId="79CE2470" w14:textId="55BDA100" w:rsidR="00EC58A2" w:rsidRPr="00450439" w:rsidRDefault="00EC58A2" w:rsidP="00450439">
                  <w:pPr>
                    <w:spacing w:after="0" w:line="240" w:lineRule="auto"/>
                    <w:jc w:val="righ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 xml:space="preserve">200 000 000 </w:t>
                  </w:r>
                </w:p>
              </w:tc>
            </w:tr>
            <w:tr w:rsidR="00EA7160" w:rsidRPr="005D4C17" w14:paraId="08EA4EEF" w14:textId="77777777" w:rsidTr="00450439">
              <w:trPr>
                <w:trHeight w:val="210"/>
              </w:trPr>
              <w:tc>
                <w:tcPr>
                  <w:tcW w:w="637" w:type="dxa"/>
                  <w:tcBorders>
                    <w:top w:val="single" w:sz="4" w:space="0" w:color="FFFFFF"/>
                    <w:left w:val="nil"/>
                    <w:bottom w:val="nil"/>
                    <w:right w:val="nil"/>
                  </w:tcBorders>
                  <w:shd w:val="clear" w:color="A5BAD7" w:fill="A5BAD7"/>
                  <w:noWrap/>
                  <w:hideMark/>
                </w:tcPr>
                <w:p w14:paraId="11555A9C"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Transport</w:t>
                  </w:r>
                </w:p>
              </w:tc>
              <w:tc>
                <w:tcPr>
                  <w:tcW w:w="2980" w:type="dxa"/>
                  <w:tcBorders>
                    <w:top w:val="single" w:sz="4" w:space="0" w:color="FFFFFF"/>
                    <w:left w:val="single" w:sz="4" w:space="0" w:color="FFFFFF"/>
                    <w:bottom w:val="nil"/>
                    <w:right w:val="nil"/>
                  </w:tcBorders>
                  <w:shd w:val="clear" w:color="A5BAD7" w:fill="A5BAD7"/>
                  <w:noWrap/>
                  <w:hideMark/>
                </w:tcPr>
                <w:p w14:paraId="1281DC08"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Historical Railways Estate 2020 Services</w:t>
                  </w:r>
                </w:p>
              </w:tc>
              <w:tc>
                <w:tcPr>
                  <w:tcW w:w="991" w:type="dxa"/>
                  <w:tcBorders>
                    <w:top w:val="single" w:sz="4" w:space="0" w:color="FFFFFF"/>
                    <w:left w:val="single" w:sz="4" w:space="0" w:color="FFFFFF"/>
                    <w:bottom w:val="nil"/>
                    <w:right w:val="nil"/>
                  </w:tcBorders>
                  <w:shd w:val="clear" w:color="A5BAD7" w:fill="A5BAD7"/>
                  <w:noWrap/>
                  <w:hideMark/>
                </w:tcPr>
                <w:p w14:paraId="1AE2CBB7"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England</w:t>
                  </w:r>
                </w:p>
              </w:tc>
              <w:tc>
                <w:tcPr>
                  <w:tcW w:w="1410" w:type="dxa"/>
                  <w:tcBorders>
                    <w:top w:val="single" w:sz="4" w:space="0" w:color="FFFFFF"/>
                    <w:left w:val="single" w:sz="4" w:space="0" w:color="FFFFFF"/>
                    <w:bottom w:val="nil"/>
                    <w:right w:val="nil"/>
                  </w:tcBorders>
                  <w:shd w:val="clear" w:color="A5BAD7" w:fill="A5BAD7"/>
                  <w:noWrap/>
                  <w:hideMark/>
                </w:tcPr>
                <w:p w14:paraId="09ADF6C9"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Various</w:t>
                  </w:r>
                </w:p>
              </w:tc>
              <w:tc>
                <w:tcPr>
                  <w:tcW w:w="932" w:type="dxa"/>
                  <w:tcBorders>
                    <w:top w:val="single" w:sz="4" w:space="0" w:color="FFFFFF"/>
                    <w:left w:val="single" w:sz="4" w:space="0" w:color="FFFFFF"/>
                    <w:bottom w:val="nil"/>
                    <w:right w:val="nil"/>
                  </w:tcBorders>
                  <w:shd w:val="clear" w:color="A5BAD7" w:fill="A5BAD7"/>
                  <w:noWrap/>
                  <w:hideMark/>
                </w:tcPr>
                <w:p w14:paraId="71E1458C"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Open Tender</w:t>
                  </w:r>
                </w:p>
              </w:tc>
              <w:tc>
                <w:tcPr>
                  <w:tcW w:w="873" w:type="dxa"/>
                  <w:tcBorders>
                    <w:top w:val="single" w:sz="4" w:space="0" w:color="FFFFFF"/>
                    <w:left w:val="single" w:sz="4" w:space="0" w:color="FFFFFF"/>
                    <w:bottom w:val="nil"/>
                    <w:right w:val="nil"/>
                  </w:tcBorders>
                  <w:shd w:val="clear" w:color="A5BAD7" w:fill="A5BAD7"/>
                  <w:noWrap/>
                  <w:hideMark/>
                </w:tcPr>
                <w:p w14:paraId="6A360577" w14:textId="77777777" w:rsidR="00EC58A2" w:rsidRPr="00450439" w:rsidRDefault="00EC58A2">
                  <w:pPr>
                    <w:spacing w:after="0" w:line="240" w:lineRule="auto"/>
                    <w:jc w:val="center"/>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2020/21</w:t>
                  </w:r>
                </w:p>
              </w:tc>
              <w:tc>
                <w:tcPr>
                  <w:tcW w:w="1104" w:type="dxa"/>
                  <w:tcBorders>
                    <w:top w:val="single" w:sz="4" w:space="0" w:color="FFFFFF"/>
                    <w:left w:val="single" w:sz="4" w:space="0" w:color="FFFFFF"/>
                    <w:bottom w:val="nil"/>
                    <w:right w:val="nil"/>
                  </w:tcBorders>
                  <w:shd w:val="clear" w:color="A5BAD7" w:fill="A5BAD7"/>
                  <w:noWrap/>
                  <w:hideMark/>
                </w:tcPr>
                <w:p w14:paraId="357C9EF1" w14:textId="02DBBF43" w:rsidR="00EC58A2" w:rsidRPr="00450439" w:rsidRDefault="00EC58A2" w:rsidP="00450439">
                  <w:pPr>
                    <w:spacing w:after="0" w:line="240" w:lineRule="auto"/>
                    <w:jc w:val="righ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 xml:space="preserve">40 000 000 </w:t>
                  </w:r>
                </w:p>
              </w:tc>
            </w:tr>
            <w:tr w:rsidR="00EA7160" w:rsidRPr="005D4C17" w14:paraId="6C3D0B39" w14:textId="77777777" w:rsidTr="00450439">
              <w:trPr>
                <w:trHeight w:val="210"/>
              </w:trPr>
              <w:tc>
                <w:tcPr>
                  <w:tcW w:w="637" w:type="dxa"/>
                  <w:tcBorders>
                    <w:top w:val="single" w:sz="4" w:space="0" w:color="FFFFFF"/>
                    <w:left w:val="nil"/>
                    <w:bottom w:val="nil"/>
                    <w:right w:val="nil"/>
                  </w:tcBorders>
                  <w:shd w:val="clear" w:color="DBE5F1" w:fill="DBE5F1"/>
                  <w:noWrap/>
                  <w:hideMark/>
                </w:tcPr>
                <w:p w14:paraId="1FE2CFF6"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Energy</w:t>
                  </w:r>
                </w:p>
              </w:tc>
              <w:tc>
                <w:tcPr>
                  <w:tcW w:w="2980" w:type="dxa"/>
                  <w:tcBorders>
                    <w:top w:val="single" w:sz="4" w:space="0" w:color="FFFFFF"/>
                    <w:left w:val="single" w:sz="4" w:space="0" w:color="FFFFFF"/>
                    <w:bottom w:val="nil"/>
                    <w:right w:val="nil"/>
                  </w:tcBorders>
                  <w:shd w:val="clear" w:color="DBE5F1" w:fill="DBE5F1"/>
                  <w:noWrap/>
                  <w:hideMark/>
                </w:tcPr>
                <w:p w14:paraId="5B50DF7D"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 xml:space="preserve">500L Drum Handling/Export System </w:t>
                  </w:r>
                </w:p>
              </w:tc>
              <w:tc>
                <w:tcPr>
                  <w:tcW w:w="991" w:type="dxa"/>
                  <w:tcBorders>
                    <w:top w:val="single" w:sz="4" w:space="0" w:color="FFFFFF"/>
                    <w:left w:val="single" w:sz="4" w:space="0" w:color="FFFFFF"/>
                    <w:bottom w:val="nil"/>
                    <w:right w:val="nil"/>
                  </w:tcBorders>
                  <w:shd w:val="clear" w:color="DBE5F1" w:fill="DBE5F1"/>
                  <w:noWrap/>
                  <w:hideMark/>
                </w:tcPr>
                <w:p w14:paraId="489AB76B"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Scotland</w:t>
                  </w:r>
                </w:p>
              </w:tc>
              <w:tc>
                <w:tcPr>
                  <w:tcW w:w="1410" w:type="dxa"/>
                  <w:tcBorders>
                    <w:top w:val="single" w:sz="4" w:space="0" w:color="FFFFFF"/>
                    <w:left w:val="single" w:sz="4" w:space="0" w:color="FFFFFF"/>
                    <w:bottom w:val="nil"/>
                    <w:right w:val="nil"/>
                  </w:tcBorders>
                  <w:shd w:val="clear" w:color="DBE5F1" w:fill="DBE5F1"/>
                  <w:noWrap/>
                  <w:hideMark/>
                </w:tcPr>
                <w:p w14:paraId="727B6B1F"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Planning and Consents</w:t>
                  </w:r>
                </w:p>
              </w:tc>
              <w:tc>
                <w:tcPr>
                  <w:tcW w:w="932" w:type="dxa"/>
                  <w:tcBorders>
                    <w:top w:val="single" w:sz="4" w:space="0" w:color="FFFFFF"/>
                    <w:left w:val="single" w:sz="4" w:space="0" w:color="FFFFFF"/>
                    <w:bottom w:val="nil"/>
                    <w:right w:val="nil"/>
                  </w:tcBorders>
                  <w:shd w:val="clear" w:color="DBE5F1" w:fill="DBE5F1"/>
                  <w:noWrap/>
                  <w:hideMark/>
                </w:tcPr>
                <w:p w14:paraId="03C969A5"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Other</w:t>
                  </w:r>
                </w:p>
              </w:tc>
              <w:tc>
                <w:tcPr>
                  <w:tcW w:w="873" w:type="dxa"/>
                  <w:tcBorders>
                    <w:top w:val="single" w:sz="4" w:space="0" w:color="FFFFFF"/>
                    <w:left w:val="single" w:sz="4" w:space="0" w:color="FFFFFF"/>
                    <w:bottom w:val="nil"/>
                    <w:right w:val="nil"/>
                  </w:tcBorders>
                  <w:shd w:val="clear" w:color="DBE5F1" w:fill="DBE5F1"/>
                  <w:noWrap/>
                  <w:hideMark/>
                </w:tcPr>
                <w:p w14:paraId="60E68946" w14:textId="77777777" w:rsidR="00EC58A2" w:rsidRPr="00450439" w:rsidRDefault="00EC58A2">
                  <w:pPr>
                    <w:spacing w:after="0" w:line="240" w:lineRule="auto"/>
                    <w:jc w:val="center"/>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Q1 2020/21</w:t>
                  </w:r>
                </w:p>
              </w:tc>
              <w:tc>
                <w:tcPr>
                  <w:tcW w:w="1104" w:type="dxa"/>
                  <w:tcBorders>
                    <w:top w:val="single" w:sz="4" w:space="0" w:color="FFFFFF"/>
                    <w:left w:val="single" w:sz="4" w:space="0" w:color="FFFFFF"/>
                    <w:bottom w:val="nil"/>
                    <w:right w:val="nil"/>
                  </w:tcBorders>
                  <w:shd w:val="clear" w:color="DBE5F1" w:fill="DBE5F1"/>
                  <w:noWrap/>
                  <w:hideMark/>
                </w:tcPr>
                <w:p w14:paraId="072D3453" w14:textId="63FE79DA" w:rsidR="00EC58A2" w:rsidRPr="00450439" w:rsidRDefault="00EC58A2" w:rsidP="00450439">
                  <w:pPr>
                    <w:spacing w:after="0" w:line="240" w:lineRule="auto"/>
                    <w:jc w:val="righ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 xml:space="preserve">6 000 000 </w:t>
                  </w:r>
                </w:p>
              </w:tc>
            </w:tr>
            <w:tr w:rsidR="00EA7160" w:rsidRPr="005D4C17" w14:paraId="74D04230" w14:textId="77777777" w:rsidTr="00450439">
              <w:trPr>
                <w:trHeight w:val="210"/>
              </w:trPr>
              <w:tc>
                <w:tcPr>
                  <w:tcW w:w="637" w:type="dxa"/>
                  <w:tcBorders>
                    <w:top w:val="single" w:sz="4" w:space="0" w:color="FFFFFF"/>
                    <w:left w:val="nil"/>
                    <w:bottom w:val="nil"/>
                    <w:right w:val="nil"/>
                  </w:tcBorders>
                  <w:shd w:val="clear" w:color="A5BAD7" w:fill="A5BAD7"/>
                  <w:noWrap/>
                  <w:hideMark/>
                </w:tcPr>
                <w:p w14:paraId="7CE476F3"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Energy</w:t>
                  </w:r>
                </w:p>
              </w:tc>
              <w:tc>
                <w:tcPr>
                  <w:tcW w:w="2980" w:type="dxa"/>
                  <w:tcBorders>
                    <w:top w:val="single" w:sz="4" w:space="0" w:color="FFFFFF"/>
                    <w:left w:val="single" w:sz="4" w:space="0" w:color="FFFFFF"/>
                    <w:bottom w:val="nil"/>
                    <w:right w:val="nil"/>
                  </w:tcBorders>
                  <w:shd w:val="clear" w:color="A5BAD7" w:fill="A5BAD7"/>
                  <w:noWrap/>
                  <w:hideMark/>
                </w:tcPr>
                <w:p w14:paraId="63B4422F"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Permitting &amp; Consents III</w:t>
                  </w:r>
                </w:p>
              </w:tc>
              <w:tc>
                <w:tcPr>
                  <w:tcW w:w="991" w:type="dxa"/>
                  <w:tcBorders>
                    <w:top w:val="single" w:sz="4" w:space="0" w:color="FFFFFF"/>
                    <w:left w:val="single" w:sz="4" w:space="0" w:color="FFFFFF"/>
                    <w:bottom w:val="nil"/>
                    <w:right w:val="nil"/>
                  </w:tcBorders>
                  <w:shd w:val="clear" w:color="A5BAD7" w:fill="A5BAD7"/>
                  <w:noWrap/>
                  <w:hideMark/>
                </w:tcPr>
                <w:p w14:paraId="155BF34C"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England and Wales</w:t>
                  </w:r>
                </w:p>
              </w:tc>
              <w:tc>
                <w:tcPr>
                  <w:tcW w:w="1410" w:type="dxa"/>
                  <w:tcBorders>
                    <w:top w:val="single" w:sz="4" w:space="0" w:color="FFFFFF"/>
                    <w:left w:val="single" w:sz="4" w:space="0" w:color="FFFFFF"/>
                    <w:bottom w:val="nil"/>
                    <w:right w:val="nil"/>
                  </w:tcBorders>
                  <w:shd w:val="clear" w:color="A5BAD7" w:fill="A5BAD7"/>
                  <w:noWrap/>
                  <w:hideMark/>
                </w:tcPr>
                <w:p w14:paraId="03916582"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Scoping</w:t>
                  </w:r>
                </w:p>
              </w:tc>
              <w:tc>
                <w:tcPr>
                  <w:tcW w:w="932" w:type="dxa"/>
                  <w:tcBorders>
                    <w:top w:val="single" w:sz="4" w:space="0" w:color="FFFFFF"/>
                    <w:left w:val="single" w:sz="4" w:space="0" w:color="FFFFFF"/>
                    <w:bottom w:val="nil"/>
                    <w:right w:val="nil"/>
                  </w:tcBorders>
                  <w:shd w:val="clear" w:color="A5BAD7" w:fill="A5BAD7"/>
                  <w:noWrap/>
                  <w:hideMark/>
                </w:tcPr>
                <w:p w14:paraId="7BEFD6DC"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Restricted Tender</w:t>
                  </w:r>
                </w:p>
              </w:tc>
              <w:tc>
                <w:tcPr>
                  <w:tcW w:w="873" w:type="dxa"/>
                  <w:tcBorders>
                    <w:top w:val="single" w:sz="4" w:space="0" w:color="FFFFFF"/>
                    <w:left w:val="single" w:sz="4" w:space="0" w:color="FFFFFF"/>
                    <w:bottom w:val="nil"/>
                    <w:right w:val="nil"/>
                  </w:tcBorders>
                  <w:shd w:val="clear" w:color="A5BAD7" w:fill="A5BAD7"/>
                  <w:noWrap/>
                  <w:hideMark/>
                </w:tcPr>
                <w:p w14:paraId="3B129D53" w14:textId="77777777" w:rsidR="00EC58A2" w:rsidRPr="00450439" w:rsidRDefault="00EC58A2">
                  <w:pPr>
                    <w:spacing w:after="0" w:line="240" w:lineRule="auto"/>
                    <w:jc w:val="center"/>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Q4 2020/21</w:t>
                  </w:r>
                </w:p>
              </w:tc>
              <w:tc>
                <w:tcPr>
                  <w:tcW w:w="1104" w:type="dxa"/>
                  <w:tcBorders>
                    <w:top w:val="single" w:sz="4" w:space="0" w:color="FFFFFF"/>
                    <w:left w:val="single" w:sz="4" w:space="0" w:color="FFFFFF"/>
                    <w:bottom w:val="nil"/>
                    <w:right w:val="nil"/>
                  </w:tcBorders>
                  <w:shd w:val="clear" w:color="A5BAD7" w:fill="A5BAD7"/>
                  <w:noWrap/>
                  <w:hideMark/>
                </w:tcPr>
                <w:p w14:paraId="542A461A" w14:textId="10A087F1" w:rsidR="00EC58A2" w:rsidRPr="00450439" w:rsidRDefault="00EC58A2" w:rsidP="00450439">
                  <w:pPr>
                    <w:spacing w:after="0" w:line="240" w:lineRule="auto"/>
                    <w:jc w:val="righ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 xml:space="preserve">25 000 000 </w:t>
                  </w:r>
                </w:p>
              </w:tc>
            </w:tr>
            <w:tr w:rsidR="00EA7160" w:rsidRPr="005D4C17" w14:paraId="68C02ED9" w14:textId="77777777" w:rsidTr="00450439">
              <w:trPr>
                <w:trHeight w:val="210"/>
              </w:trPr>
              <w:tc>
                <w:tcPr>
                  <w:tcW w:w="637" w:type="dxa"/>
                  <w:tcBorders>
                    <w:top w:val="single" w:sz="4" w:space="0" w:color="FFFFFF"/>
                    <w:left w:val="nil"/>
                    <w:bottom w:val="nil"/>
                    <w:right w:val="nil"/>
                  </w:tcBorders>
                  <w:shd w:val="clear" w:color="A5BAD7" w:fill="A5BAD7"/>
                  <w:noWrap/>
                  <w:hideMark/>
                </w:tcPr>
                <w:p w14:paraId="573B0F09"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Energy</w:t>
                  </w:r>
                </w:p>
              </w:tc>
              <w:tc>
                <w:tcPr>
                  <w:tcW w:w="2980" w:type="dxa"/>
                  <w:tcBorders>
                    <w:top w:val="single" w:sz="4" w:space="0" w:color="FFFFFF"/>
                    <w:left w:val="single" w:sz="4" w:space="0" w:color="FFFFFF"/>
                    <w:bottom w:val="nil"/>
                    <w:right w:val="nil"/>
                  </w:tcBorders>
                  <w:shd w:val="clear" w:color="A5BAD7" w:fill="A5BAD7"/>
                  <w:noWrap/>
                  <w:hideMark/>
                </w:tcPr>
                <w:p w14:paraId="0FBCBC4A"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CNC Accommodation</w:t>
                  </w:r>
                </w:p>
              </w:tc>
              <w:tc>
                <w:tcPr>
                  <w:tcW w:w="991" w:type="dxa"/>
                  <w:tcBorders>
                    <w:top w:val="single" w:sz="4" w:space="0" w:color="FFFFFF"/>
                    <w:left w:val="single" w:sz="4" w:space="0" w:color="FFFFFF"/>
                    <w:bottom w:val="nil"/>
                    <w:right w:val="nil"/>
                  </w:tcBorders>
                  <w:shd w:val="clear" w:color="A5BAD7" w:fill="A5BAD7"/>
                  <w:noWrap/>
                  <w:hideMark/>
                </w:tcPr>
                <w:p w14:paraId="56902B90"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North West</w:t>
                  </w:r>
                </w:p>
              </w:tc>
              <w:tc>
                <w:tcPr>
                  <w:tcW w:w="1410" w:type="dxa"/>
                  <w:tcBorders>
                    <w:top w:val="single" w:sz="4" w:space="0" w:color="FFFFFF"/>
                    <w:left w:val="single" w:sz="4" w:space="0" w:color="FFFFFF"/>
                    <w:bottom w:val="nil"/>
                    <w:right w:val="nil"/>
                  </w:tcBorders>
                  <w:shd w:val="clear" w:color="A5BAD7" w:fill="A5BAD7"/>
                  <w:noWrap/>
                  <w:hideMark/>
                </w:tcPr>
                <w:p w14:paraId="73E4147E"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Consents Approved</w:t>
                  </w:r>
                </w:p>
              </w:tc>
              <w:tc>
                <w:tcPr>
                  <w:tcW w:w="932" w:type="dxa"/>
                  <w:tcBorders>
                    <w:top w:val="single" w:sz="4" w:space="0" w:color="FFFFFF"/>
                    <w:left w:val="single" w:sz="4" w:space="0" w:color="FFFFFF"/>
                    <w:bottom w:val="nil"/>
                    <w:right w:val="nil"/>
                  </w:tcBorders>
                  <w:shd w:val="clear" w:color="A5BAD7" w:fill="A5BAD7"/>
                  <w:noWrap/>
                  <w:hideMark/>
                </w:tcPr>
                <w:p w14:paraId="0FF3162B"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Other</w:t>
                  </w:r>
                </w:p>
              </w:tc>
              <w:tc>
                <w:tcPr>
                  <w:tcW w:w="873" w:type="dxa"/>
                  <w:tcBorders>
                    <w:top w:val="single" w:sz="4" w:space="0" w:color="FFFFFF"/>
                    <w:left w:val="single" w:sz="4" w:space="0" w:color="FFFFFF"/>
                    <w:bottom w:val="nil"/>
                    <w:right w:val="nil"/>
                  </w:tcBorders>
                  <w:shd w:val="clear" w:color="A5BAD7" w:fill="A5BAD7"/>
                  <w:noWrap/>
                  <w:hideMark/>
                </w:tcPr>
                <w:p w14:paraId="7BA634C7" w14:textId="77777777" w:rsidR="00EC58A2" w:rsidRPr="00450439" w:rsidRDefault="00EC58A2">
                  <w:pPr>
                    <w:spacing w:after="0" w:line="240" w:lineRule="auto"/>
                    <w:jc w:val="center"/>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2020/21</w:t>
                  </w:r>
                </w:p>
              </w:tc>
              <w:tc>
                <w:tcPr>
                  <w:tcW w:w="1104" w:type="dxa"/>
                  <w:tcBorders>
                    <w:top w:val="single" w:sz="4" w:space="0" w:color="FFFFFF"/>
                    <w:left w:val="single" w:sz="4" w:space="0" w:color="FFFFFF"/>
                    <w:bottom w:val="nil"/>
                    <w:right w:val="nil"/>
                  </w:tcBorders>
                  <w:shd w:val="clear" w:color="A5BAD7" w:fill="A5BAD7"/>
                  <w:noWrap/>
                  <w:hideMark/>
                </w:tcPr>
                <w:p w14:paraId="3243A93C" w14:textId="5E4D0428" w:rsidR="00EC58A2" w:rsidRPr="00450439" w:rsidRDefault="00EC58A2" w:rsidP="00450439">
                  <w:pPr>
                    <w:spacing w:after="0" w:line="240" w:lineRule="auto"/>
                    <w:jc w:val="righ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 xml:space="preserve">50 000 000 </w:t>
                  </w:r>
                </w:p>
              </w:tc>
            </w:tr>
            <w:tr w:rsidR="00EA7160" w:rsidRPr="005D4C17" w14:paraId="51004423" w14:textId="77777777" w:rsidTr="00450439">
              <w:trPr>
                <w:trHeight w:val="210"/>
              </w:trPr>
              <w:tc>
                <w:tcPr>
                  <w:tcW w:w="637" w:type="dxa"/>
                  <w:tcBorders>
                    <w:top w:val="single" w:sz="4" w:space="0" w:color="FFFFFF"/>
                    <w:left w:val="nil"/>
                    <w:bottom w:val="nil"/>
                    <w:right w:val="nil"/>
                  </w:tcBorders>
                  <w:shd w:val="clear" w:color="DBE5F1" w:fill="DBE5F1"/>
                  <w:noWrap/>
                  <w:hideMark/>
                </w:tcPr>
                <w:p w14:paraId="2FD222AF"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R&amp;D</w:t>
                  </w:r>
                </w:p>
              </w:tc>
              <w:tc>
                <w:tcPr>
                  <w:tcW w:w="2980" w:type="dxa"/>
                  <w:tcBorders>
                    <w:top w:val="single" w:sz="4" w:space="0" w:color="FFFFFF"/>
                    <w:left w:val="single" w:sz="4" w:space="0" w:color="FFFFFF"/>
                    <w:bottom w:val="nil"/>
                    <w:right w:val="nil"/>
                  </w:tcBorders>
                  <w:shd w:val="clear" w:color="DBE5F1" w:fill="DBE5F1"/>
                  <w:noWrap/>
                  <w:hideMark/>
                </w:tcPr>
                <w:p w14:paraId="2B8963F9"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Spaceflight Programme - Vertical Spaceport build</w:t>
                  </w:r>
                </w:p>
              </w:tc>
              <w:tc>
                <w:tcPr>
                  <w:tcW w:w="991" w:type="dxa"/>
                  <w:tcBorders>
                    <w:top w:val="single" w:sz="4" w:space="0" w:color="FFFFFF"/>
                    <w:left w:val="single" w:sz="4" w:space="0" w:color="FFFFFF"/>
                    <w:bottom w:val="nil"/>
                    <w:right w:val="nil"/>
                  </w:tcBorders>
                  <w:shd w:val="clear" w:color="DBE5F1" w:fill="DBE5F1"/>
                  <w:noWrap/>
                  <w:hideMark/>
                </w:tcPr>
                <w:p w14:paraId="50CD1D79"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Scotland</w:t>
                  </w:r>
                </w:p>
              </w:tc>
              <w:tc>
                <w:tcPr>
                  <w:tcW w:w="1410" w:type="dxa"/>
                  <w:tcBorders>
                    <w:top w:val="single" w:sz="4" w:space="0" w:color="FFFFFF"/>
                    <w:left w:val="single" w:sz="4" w:space="0" w:color="FFFFFF"/>
                    <w:bottom w:val="nil"/>
                    <w:right w:val="nil"/>
                  </w:tcBorders>
                  <w:shd w:val="clear" w:color="DBE5F1" w:fill="DBE5F1"/>
                  <w:noWrap/>
                  <w:hideMark/>
                </w:tcPr>
                <w:p w14:paraId="67F098E0"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Planning and Consents</w:t>
                  </w:r>
                </w:p>
              </w:tc>
              <w:tc>
                <w:tcPr>
                  <w:tcW w:w="932" w:type="dxa"/>
                  <w:tcBorders>
                    <w:top w:val="single" w:sz="4" w:space="0" w:color="FFFFFF"/>
                    <w:left w:val="single" w:sz="4" w:space="0" w:color="FFFFFF"/>
                    <w:bottom w:val="nil"/>
                    <w:right w:val="nil"/>
                  </w:tcBorders>
                  <w:shd w:val="clear" w:color="DBE5F1" w:fill="DBE5F1"/>
                  <w:noWrap/>
                  <w:hideMark/>
                </w:tcPr>
                <w:p w14:paraId="1425B520"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Other</w:t>
                  </w:r>
                </w:p>
              </w:tc>
              <w:tc>
                <w:tcPr>
                  <w:tcW w:w="873" w:type="dxa"/>
                  <w:tcBorders>
                    <w:top w:val="single" w:sz="4" w:space="0" w:color="FFFFFF"/>
                    <w:left w:val="single" w:sz="4" w:space="0" w:color="FFFFFF"/>
                    <w:bottom w:val="nil"/>
                    <w:right w:val="nil"/>
                  </w:tcBorders>
                  <w:shd w:val="clear" w:color="DBE5F1" w:fill="DBE5F1"/>
                  <w:noWrap/>
                  <w:hideMark/>
                </w:tcPr>
                <w:p w14:paraId="05A247BF" w14:textId="77777777" w:rsidR="00EC58A2" w:rsidRPr="00450439" w:rsidRDefault="00EC58A2">
                  <w:pPr>
                    <w:spacing w:after="0" w:line="240" w:lineRule="auto"/>
                    <w:jc w:val="center"/>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2020/21</w:t>
                  </w:r>
                </w:p>
              </w:tc>
              <w:tc>
                <w:tcPr>
                  <w:tcW w:w="1104" w:type="dxa"/>
                  <w:tcBorders>
                    <w:top w:val="single" w:sz="4" w:space="0" w:color="FFFFFF"/>
                    <w:left w:val="single" w:sz="4" w:space="0" w:color="FFFFFF"/>
                    <w:bottom w:val="nil"/>
                    <w:right w:val="nil"/>
                  </w:tcBorders>
                  <w:shd w:val="clear" w:color="DBE5F1" w:fill="DBE5F1"/>
                  <w:noWrap/>
                  <w:hideMark/>
                </w:tcPr>
                <w:p w14:paraId="3DA729ED" w14:textId="36C146B4" w:rsidR="00EC58A2" w:rsidRPr="00450439" w:rsidRDefault="00EC58A2" w:rsidP="00450439">
                  <w:pPr>
                    <w:spacing w:after="0" w:line="240" w:lineRule="auto"/>
                    <w:jc w:val="righ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 xml:space="preserve">2 250 000 </w:t>
                  </w:r>
                </w:p>
              </w:tc>
            </w:tr>
            <w:tr w:rsidR="00EA7160" w:rsidRPr="005D4C17" w14:paraId="72EDC5A0" w14:textId="77777777" w:rsidTr="00450439">
              <w:trPr>
                <w:trHeight w:val="210"/>
              </w:trPr>
              <w:tc>
                <w:tcPr>
                  <w:tcW w:w="637" w:type="dxa"/>
                  <w:tcBorders>
                    <w:top w:val="single" w:sz="4" w:space="0" w:color="FFFFFF"/>
                    <w:left w:val="nil"/>
                    <w:bottom w:val="nil"/>
                    <w:right w:val="nil"/>
                  </w:tcBorders>
                  <w:shd w:val="clear" w:color="A5BAD7" w:fill="A5BAD7"/>
                  <w:noWrap/>
                  <w:hideMark/>
                </w:tcPr>
                <w:p w14:paraId="1242C0CB"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Flood Defence</w:t>
                  </w:r>
                </w:p>
              </w:tc>
              <w:tc>
                <w:tcPr>
                  <w:tcW w:w="2980" w:type="dxa"/>
                  <w:tcBorders>
                    <w:top w:val="single" w:sz="4" w:space="0" w:color="FFFFFF"/>
                    <w:left w:val="single" w:sz="4" w:space="0" w:color="FFFFFF"/>
                    <w:bottom w:val="nil"/>
                    <w:right w:val="nil"/>
                  </w:tcBorders>
                  <w:shd w:val="clear" w:color="A5BAD7" w:fill="A5BAD7"/>
                  <w:noWrap/>
                  <w:hideMark/>
                </w:tcPr>
                <w:p w14:paraId="25EAE990"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Subsidence Pumping Stations - Build &amp; Refurbishment Programme (9# Projects)</w:t>
                  </w:r>
                </w:p>
              </w:tc>
              <w:tc>
                <w:tcPr>
                  <w:tcW w:w="991" w:type="dxa"/>
                  <w:tcBorders>
                    <w:top w:val="single" w:sz="4" w:space="0" w:color="FFFFFF"/>
                    <w:left w:val="single" w:sz="4" w:space="0" w:color="FFFFFF"/>
                    <w:bottom w:val="nil"/>
                    <w:right w:val="nil"/>
                  </w:tcBorders>
                  <w:shd w:val="clear" w:color="A5BAD7" w:fill="A5BAD7"/>
                  <w:noWrap/>
                  <w:hideMark/>
                </w:tcPr>
                <w:p w14:paraId="400F0D88"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Yorkshire and the Humber</w:t>
                  </w:r>
                </w:p>
              </w:tc>
              <w:tc>
                <w:tcPr>
                  <w:tcW w:w="1410" w:type="dxa"/>
                  <w:tcBorders>
                    <w:top w:val="single" w:sz="4" w:space="0" w:color="FFFFFF"/>
                    <w:left w:val="single" w:sz="4" w:space="0" w:color="FFFFFF"/>
                    <w:bottom w:val="nil"/>
                    <w:right w:val="nil"/>
                  </w:tcBorders>
                  <w:shd w:val="clear" w:color="A5BAD7" w:fill="A5BAD7"/>
                  <w:noWrap/>
                  <w:hideMark/>
                </w:tcPr>
                <w:p w14:paraId="1C86FA8B"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Active Programme</w:t>
                  </w:r>
                </w:p>
              </w:tc>
              <w:tc>
                <w:tcPr>
                  <w:tcW w:w="932" w:type="dxa"/>
                  <w:tcBorders>
                    <w:top w:val="single" w:sz="4" w:space="0" w:color="FFFFFF"/>
                    <w:left w:val="single" w:sz="4" w:space="0" w:color="FFFFFF"/>
                    <w:bottom w:val="nil"/>
                    <w:right w:val="nil"/>
                  </w:tcBorders>
                  <w:shd w:val="clear" w:color="A5BAD7" w:fill="A5BAD7"/>
                  <w:noWrap/>
                  <w:hideMark/>
                </w:tcPr>
                <w:p w14:paraId="01465BB3"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Restricted Tender</w:t>
                  </w:r>
                </w:p>
              </w:tc>
              <w:tc>
                <w:tcPr>
                  <w:tcW w:w="873" w:type="dxa"/>
                  <w:tcBorders>
                    <w:top w:val="single" w:sz="4" w:space="0" w:color="FFFFFF"/>
                    <w:left w:val="single" w:sz="4" w:space="0" w:color="FFFFFF"/>
                    <w:bottom w:val="nil"/>
                    <w:right w:val="nil"/>
                  </w:tcBorders>
                  <w:shd w:val="clear" w:color="A5BAD7" w:fill="A5BAD7"/>
                  <w:noWrap/>
                  <w:hideMark/>
                </w:tcPr>
                <w:p w14:paraId="03389429" w14:textId="77777777" w:rsidR="00EC58A2" w:rsidRPr="00450439" w:rsidRDefault="00EC58A2">
                  <w:pPr>
                    <w:spacing w:after="0" w:line="240" w:lineRule="auto"/>
                    <w:jc w:val="center"/>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2020/21</w:t>
                  </w:r>
                </w:p>
              </w:tc>
              <w:tc>
                <w:tcPr>
                  <w:tcW w:w="1104" w:type="dxa"/>
                  <w:tcBorders>
                    <w:top w:val="single" w:sz="4" w:space="0" w:color="FFFFFF"/>
                    <w:left w:val="single" w:sz="4" w:space="0" w:color="FFFFFF"/>
                    <w:bottom w:val="nil"/>
                    <w:right w:val="nil"/>
                  </w:tcBorders>
                  <w:shd w:val="clear" w:color="A5BAD7" w:fill="A5BAD7"/>
                  <w:noWrap/>
                  <w:hideMark/>
                </w:tcPr>
                <w:p w14:paraId="2C9889DE" w14:textId="188C8FF9" w:rsidR="00EC58A2" w:rsidRPr="00450439" w:rsidRDefault="00EC58A2" w:rsidP="00450439">
                  <w:pPr>
                    <w:spacing w:after="0" w:line="240" w:lineRule="auto"/>
                    <w:jc w:val="righ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 xml:space="preserve">1 237 691 </w:t>
                  </w:r>
                </w:p>
              </w:tc>
            </w:tr>
            <w:tr w:rsidR="00EA7160" w:rsidRPr="005D4C17" w14:paraId="4BD40C18" w14:textId="77777777" w:rsidTr="00450439">
              <w:trPr>
                <w:trHeight w:val="210"/>
              </w:trPr>
              <w:tc>
                <w:tcPr>
                  <w:tcW w:w="637" w:type="dxa"/>
                  <w:tcBorders>
                    <w:top w:val="single" w:sz="4" w:space="0" w:color="FFFFFF"/>
                    <w:left w:val="nil"/>
                    <w:bottom w:val="nil"/>
                    <w:right w:val="nil"/>
                  </w:tcBorders>
                  <w:shd w:val="clear" w:color="DBE5F1" w:fill="DBE5F1"/>
                  <w:noWrap/>
                  <w:hideMark/>
                </w:tcPr>
                <w:p w14:paraId="26C3709E"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R&amp;D</w:t>
                  </w:r>
                </w:p>
              </w:tc>
              <w:tc>
                <w:tcPr>
                  <w:tcW w:w="2980" w:type="dxa"/>
                  <w:tcBorders>
                    <w:top w:val="single" w:sz="4" w:space="0" w:color="FFFFFF"/>
                    <w:left w:val="single" w:sz="4" w:space="0" w:color="FFFFFF"/>
                    <w:bottom w:val="nil"/>
                    <w:right w:val="nil"/>
                  </w:tcBorders>
                  <w:shd w:val="clear" w:color="DBE5F1" w:fill="DBE5F1"/>
                  <w:noWrap/>
                  <w:hideMark/>
                </w:tcPr>
                <w:p w14:paraId="32C42568"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 xml:space="preserve">National Fusion Technology Platform </w:t>
                  </w:r>
                </w:p>
              </w:tc>
              <w:tc>
                <w:tcPr>
                  <w:tcW w:w="991" w:type="dxa"/>
                  <w:tcBorders>
                    <w:top w:val="single" w:sz="4" w:space="0" w:color="FFFFFF"/>
                    <w:left w:val="single" w:sz="4" w:space="0" w:color="FFFFFF"/>
                    <w:bottom w:val="nil"/>
                    <w:right w:val="nil"/>
                  </w:tcBorders>
                  <w:shd w:val="clear" w:color="DBE5F1" w:fill="DBE5F1"/>
                  <w:noWrap/>
                  <w:hideMark/>
                </w:tcPr>
                <w:p w14:paraId="29DBCF9D"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South East</w:t>
                  </w:r>
                </w:p>
              </w:tc>
              <w:tc>
                <w:tcPr>
                  <w:tcW w:w="1410" w:type="dxa"/>
                  <w:tcBorders>
                    <w:top w:val="single" w:sz="4" w:space="0" w:color="FFFFFF"/>
                    <w:left w:val="single" w:sz="4" w:space="0" w:color="FFFFFF"/>
                    <w:bottom w:val="nil"/>
                    <w:right w:val="nil"/>
                  </w:tcBorders>
                  <w:shd w:val="clear" w:color="DBE5F1" w:fill="DBE5F1"/>
                  <w:noWrap/>
                  <w:hideMark/>
                </w:tcPr>
                <w:p w14:paraId="70B882CA"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In Construction</w:t>
                  </w:r>
                </w:p>
              </w:tc>
              <w:tc>
                <w:tcPr>
                  <w:tcW w:w="932" w:type="dxa"/>
                  <w:tcBorders>
                    <w:top w:val="single" w:sz="4" w:space="0" w:color="FFFFFF"/>
                    <w:left w:val="single" w:sz="4" w:space="0" w:color="FFFFFF"/>
                    <w:bottom w:val="nil"/>
                    <w:right w:val="nil"/>
                  </w:tcBorders>
                  <w:shd w:val="clear" w:color="DBE5F1" w:fill="DBE5F1"/>
                  <w:noWrap/>
                  <w:hideMark/>
                </w:tcPr>
                <w:p w14:paraId="717E6788"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Open Tender</w:t>
                  </w:r>
                </w:p>
              </w:tc>
              <w:tc>
                <w:tcPr>
                  <w:tcW w:w="873" w:type="dxa"/>
                  <w:tcBorders>
                    <w:top w:val="single" w:sz="4" w:space="0" w:color="FFFFFF"/>
                    <w:left w:val="single" w:sz="4" w:space="0" w:color="FFFFFF"/>
                    <w:bottom w:val="nil"/>
                    <w:right w:val="nil"/>
                  </w:tcBorders>
                  <w:shd w:val="clear" w:color="DBE5F1" w:fill="DBE5F1"/>
                  <w:noWrap/>
                  <w:hideMark/>
                </w:tcPr>
                <w:p w14:paraId="1956B8D5" w14:textId="77777777" w:rsidR="00EC58A2" w:rsidRPr="00450439" w:rsidRDefault="00EC58A2">
                  <w:pPr>
                    <w:spacing w:after="0" w:line="240" w:lineRule="auto"/>
                    <w:jc w:val="center"/>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Q1 2020/21</w:t>
                  </w:r>
                </w:p>
              </w:tc>
              <w:tc>
                <w:tcPr>
                  <w:tcW w:w="1104" w:type="dxa"/>
                  <w:tcBorders>
                    <w:top w:val="single" w:sz="4" w:space="0" w:color="FFFFFF"/>
                    <w:left w:val="single" w:sz="4" w:space="0" w:color="FFFFFF"/>
                    <w:bottom w:val="nil"/>
                    <w:right w:val="nil"/>
                  </w:tcBorders>
                  <w:shd w:val="clear" w:color="DBE5F1" w:fill="DBE5F1"/>
                  <w:noWrap/>
                  <w:hideMark/>
                </w:tcPr>
                <w:p w14:paraId="2EFD7090" w14:textId="6D39C52A" w:rsidR="00EC58A2" w:rsidRPr="00450439" w:rsidRDefault="00EC58A2" w:rsidP="00450439">
                  <w:pPr>
                    <w:spacing w:after="0" w:line="240" w:lineRule="auto"/>
                    <w:jc w:val="righ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 xml:space="preserve">9 000 000 </w:t>
                  </w:r>
                </w:p>
              </w:tc>
            </w:tr>
            <w:tr w:rsidR="00EA7160" w:rsidRPr="005D4C17" w14:paraId="639E250B" w14:textId="77777777" w:rsidTr="00450439">
              <w:trPr>
                <w:trHeight w:val="210"/>
              </w:trPr>
              <w:tc>
                <w:tcPr>
                  <w:tcW w:w="637" w:type="dxa"/>
                  <w:tcBorders>
                    <w:top w:val="single" w:sz="4" w:space="0" w:color="FFFFFF"/>
                    <w:left w:val="nil"/>
                    <w:bottom w:val="nil"/>
                    <w:right w:val="nil"/>
                  </w:tcBorders>
                  <w:shd w:val="clear" w:color="A5BAD7" w:fill="A5BAD7"/>
                  <w:noWrap/>
                  <w:hideMark/>
                </w:tcPr>
                <w:p w14:paraId="20E0CF02"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Energy</w:t>
                  </w:r>
                </w:p>
              </w:tc>
              <w:tc>
                <w:tcPr>
                  <w:tcW w:w="2980" w:type="dxa"/>
                  <w:tcBorders>
                    <w:top w:val="single" w:sz="4" w:space="0" w:color="FFFFFF"/>
                    <w:left w:val="single" w:sz="4" w:space="0" w:color="FFFFFF"/>
                    <w:bottom w:val="nil"/>
                    <w:right w:val="nil"/>
                  </w:tcBorders>
                  <w:shd w:val="clear" w:color="A5BAD7" w:fill="A5BAD7"/>
                  <w:noWrap/>
                  <w:hideMark/>
                </w:tcPr>
                <w:p w14:paraId="6B7254D8"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STDC - Offshore Energy Infrastructure</w:t>
                  </w:r>
                </w:p>
              </w:tc>
              <w:tc>
                <w:tcPr>
                  <w:tcW w:w="991" w:type="dxa"/>
                  <w:tcBorders>
                    <w:top w:val="single" w:sz="4" w:space="0" w:color="FFFFFF"/>
                    <w:left w:val="single" w:sz="4" w:space="0" w:color="FFFFFF"/>
                    <w:bottom w:val="nil"/>
                    <w:right w:val="nil"/>
                  </w:tcBorders>
                  <w:shd w:val="clear" w:color="A5BAD7" w:fill="A5BAD7"/>
                  <w:noWrap/>
                  <w:hideMark/>
                </w:tcPr>
                <w:p w14:paraId="1C2DC97F"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North East</w:t>
                  </w:r>
                </w:p>
              </w:tc>
              <w:tc>
                <w:tcPr>
                  <w:tcW w:w="1410" w:type="dxa"/>
                  <w:tcBorders>
                    <w:top w:val="single" w:sz="4" w:space="0" w:color="FFFFFF"/>
                    <w:left w:val="single" w:sz="4" w:space="0" w:color="FFFFFF"/>
                    <w:bottom w:val="nil"/>
                    <w:right w:val="nil"/>
                  </w:tcBorders>
                  <w:shd w:val="clear" w:color="A5BAD7" w:fill="A5BAD7"/>
                  <w:noWrap/>
                  <w:hideMark/>
                </w:tcPr>
                <w:p w14:paraId="2397DDB0"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Planning and Consents</w:t>
                  </w:r>
                </w:p>
              </w:tc>
              <w:tc>
                <w:tcPr>
                  <w:tcW w:w="932" w:type="dxa"/>
                  <w:tcBorders>
                    <w:top w:val="single" w:sz="4" w:space="0" w:color="FFFFFF"/>
                    <w:left w:val="single" w:sz="4" w:space="0" w:color="FFFFFF"/>
                    <w:bottom w:val="nil"/>
                    <w:right w:val="nil"/>
                  </w:tcBorders>
                  <w:shd w:val="clear" w:color="A5BAD7" w:fill="A5BAD7"/>
                  <w:noWrap/>
                  <w:hideMark/>
                </w:tcPr>
                <w:p w14:paraId="14206688"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Other</w:t>
                  </w:r>
                </w:p>
              </w:tc>
              <w:tc>
                <w:tcPr>
                  <w:tcW w:w="873" w:type="dxa"/>
                  <w:tcBorders>
                    <w:top w:val="single" w:sz="4" w:space="0" w:color="FFFFFF"/>
                    <w:left w:val="single" w:sz="4" w:space="0" w:color="FFFFFF"/>
                    <w:bottom w:val="nil"/>
                    <w:right w:val="nil"/>
                  </w:tcBorders>
                  <w:shd w:val="clear" w:color="A5BAD7" w:fill="A5BAD7"/>
                  <w:noWrap/>
                  <w:hideMark/>
                </w:tcPr>
                <w:p w14:paraId="3A0A2EB9" w14:textId="77777777" w:rsidR="00EC58A2" w:rsidRPr="00450439" w:rsidRDefault="00EC58A2">
                  <w:pPr>
                    <w:spacing w:after="0" w:line="240" w:lineRule="auto"/>
                    <w:jc w:val="center"/>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Q4 2020/21</w:t>
                  </w:r>
                </w:p>
              </w:tc>
              <w:tc>
                <w:tcPr>
                  <w:tcW w:w="1104" w:type="dxa"/>
                  <w:tcBorders>
                    <w:top w:val="single" w:sz="4" w:space="0" w:color="FFFFFF"/>
                    <w:left w:val="single" w:sz="4" w:space="0" w:color="FFFFFF"/>
                    <w:bottom w:val="nil"/>
                    <w:right w:val="nil"/>
                  </w:tcBorders>
                  <w:shd w:val="clear" w:color="A5BAD7" w:fill="A5BAD7"/>
                  <w:noWrap/>
                  <w:hideMark/>
                </w:tcPr>
                <w:p w14:paraId="33AF3557" w14:textId="5BB6FA2D" w:rsidR="00EC58A2" w:rsidRPr="00450439" w:rsidRDefault="00EC58A2" w:rsidP="00450439">
                  <w:pPr>
                    <w:spacing w:after="0" w:line="240" w:lineRule="auto"/>
                    <w:jc w:val="righ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 xml:space="preserve">214 000 000 </w:t>
                  </w:r>
                </w:p>
              </w:tc>
            </w:tr>
            <w:tr w:rsidR="00EA7160" w:rsidRPr="005D4C17" w14:paraId="3FC90E81" w14:textId="77777777" w:rsidTr="00450439">
              <w:trPr>
                <w:trHeight w:val="210"/>
              </w:trPr>
              <w:tc>
                <w:tcPr>
                  <w:tcW w:w="637" w:type="dxa"/>
                  <w:tcBorders>
                    <w:top w:val="single" w:sz="4" w:space="0" w:color="FFFFFF"/>
                    <w:left w:val="nil"/>
                    <w:bottom w:val="nil"/>
                    <w:right w:val="nil"/>
                  </w:tcBorders>
                  <w:shd w:val="clear" w:color="DBE5F1" w:fill="DBE5F1"/>
                  <w:noWrap/>
                  <w:hideMark/>
                </w:tcPr>
                <w:p w14:paraId="44FFFA0D"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Education</w:t>
                  </w:r>
                </w:p>
              </w:tc>
              <w:tc>
                <w:tcPr>
                  <w:tcW w:w="2980" w:type="dxa"/>
                  <w:tcBorders>
                    <w:top w:val="single" w:sz="4" w:space="0" w:color="FFFFFF"/>
                    <w:left w:val="single" w:sz="4" w:space="0" w:color="FFFFFF"/>
                    <w:bottom w:val="nil"/>
                    <w:right w:val="nil"/>
                  </w:tcBorders>
                  <w:shd w:val="clear" w:color="DBE5F1" w:fill="DBE5F1"/>
                  <w:noWrap/>
                  <w:hideMark/>
                </w:tcPr>
                <w:p w14:paraId="2B28A382"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University of Peterborough Phase 3</w:t>
                  </w:r>
                </w:p>
              </w:tc>
              <w:tc>
                <w:tcPr>
                  <w:tcW w:w="991" w:type="dxa"/>
                  <w:tcBorders>
                    <w:top w:val="single" w:sz="4" w:space="0" w:color="FFFFFF"/>
                    <w:left w:val="single" w:sz="4" w:space="0" w:color="FFFFFF"/>
                    <w:bottom w:val="nil"/>
                    <w:right w:val="nil"/>
                  </w:tcBorders>
                  <w:shd w:val="clear" w:color="DBE5F1" w:fill="DBE5F1"/>
                  <w:noWrap/>
                  <w:hideMark/>
                </w:tcPr>
                <w:p w14:paraId="51158373"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East of England</w:t>
                  </w:r>
                </w:p>
              </w:tc>
              <w:tc>
                <w:tcPr>
                  <w:tcW w:w="1410" w:type="dxa"/>
                  <w:tcBorders>
                    <w:top w:val="single" w:sz="4" w:space="0" w:color="FFFFFF"/>
                    <w:left w:val="single" w:sz="4" w:space="0" w:color="FFFFFF"/>
                    <w:bottom w:val="nil"/>
                    <w:right w:val="nil"/>
                  </w:tcBorders>
                  <w:shd w:val="clear" w:color="DBE5F1" w:fill="DBE5F1"/>
                  <w:noWrap/>
                  <w:hideMark/>
                </w:tcPr>
                <w:p w14:paraId="4160A8B8"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Planning and Consents</w:t>
                  </w:r>
                </w:p>
              </w:tc>
              <w:tc>
                <w:tcPr>
                  <w:tcW w:w="932" w:type="dxa"/>
                  <w:tcBorders>
                    <w:top w:val="single" w:sz="4" w:space="0" w:color="FFFFFF"/>
                    <w:left w:val="single" w:sz="4" w:space="0" w:color="FFFFFF"/>
                    <w:bottom w:val="nil"/>
                    <w:right w:val="nil"/>
                  </w:tcBorders>
                  <w:shd w:val="clear" w:color="DBE5F1" w:fill="DBE5F1"/>
                  <w:noWrap/>
                  <w:hideMark/>
                </w:tcPr>
                <w:p w14:paraId="343581CC"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 xml:space="preserve">Negotiated Tender </w:t>
                  </w:r>
                </w:p>
              </w:tc>
              <w:tc>
                <w:tcPr>
                  <w:tcW w:w="873" w:type="dxa"/>
                  <w:tcBorders>
                    <w:top w:val="single" w:sz="4" w:space="0" w:color="FFFFFF"/>
                    <w:left w:val="single" w:sz="4" w:space="0" w:color="FFFFFF"/>
                    <w:bottom w:val="nil"/>
                    <w:right w:val="nil"/>
                  </w:tcBorders>
                  <w:shd w:val="clear" w:color="DBE5F1" w:fill="DBE5F1"/>
                  <w:noWrap/>
                  <w:hideMark/>
                </w:tcPr>
                <w:p w14:paraId="03C1389E" w14:textId="77777777" w:rsidR="00EC58A2" w:rsidRPr="00450439" w:rsidRDefault="00EC58A2">
                  <w:pPr>
                    <w:spacing w:after="0" w:line="240" w:lineRule="auto"/>
                    <w:jc w:val="center"/>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Q4 2020/21</w:t>
                  </w:r>
                </w:p>
              </w:tc>
              <w:tc>
                <w:tcPr>
                  <w:tcW w:w="1104" w:type="dxa"/>
                  <w:tcBorders>
                    <w:top w:val="single" w:sz="4" w:space="0" w:color="FFFFFF"/>
                    <w:left w:val="single" w:sz="4" w:space="0" w:color="FFFFFF"/>
                    <w:bottom w:val="nil"/>
                    <w:right w:val="nil"/>
                  </w:tcBorders>
                  <w:shd w:val="clear" w:color="DBE5F1" w:fill="DBE5F1"/>
                  <w:noWrap/>
                  <w:hideMark/>
                </w:tcPr>
                <w:p w14:paraId="26A5C025" w14:textId="4A192E0A" w:rsidR="00EC58A2" w:rsidRPr="00450439" w:rsidRDefault="00EC58A2" w:rsidP="00450439">
                  <w:pPr>
                    <w:spacing w:after="0" w:line="240" w:lineRule="auto"/>
                    <w:jc w:val="righ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 xml:space="preserve">100 000 000 </w:t>
                  </w:r>
                </w:p>
              </w:tc>
            </w:tr>
            <w:tr w:rsidR="00EA7160" w:rsidRPr="005D4C17" w14:paraId="02B7142B" w14:textId="77777777" w:rsidTr="00450439">
              <w:trPr>
                <w:trHeight w:val="210"/>
              </w:trPr>
              <w:tc>
                <w:tcPr>
                  <w:tcW w:w="637" w:type="dxa"/>
                  <w:tcBorders>
                    <w:top w:val="single" w:sz="4" w:space="0" w:color="FFFFFF"/>
                    <w:left w:val="nil"/>
                    <w:bottom w:val="nil"/>
                    <w:right w:val="nil"/>
                  </w:tcBorders>
                  <w:shd w:val="clear" w:color="A5BAD7" w:fill="A5BAD7"/>
                  <w:noWrap/>
                  <w:hideMark/>
                </w:tcPr>
                <w:p w14:paraId="1F3E3425"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R&amp;D</w:t>
                  </w:r>
                </w:p>
              </w:tc>
              <w:tc>
                <w:tcPr>
                  <w:tcW w:w="2980" w:type="dxa"/>
                  <w:tcBorders>
                    <w:top w:val="single" w:sz="4" w:space="0" w:color="FFFFFF"/>
                    <w:left w:val="single" w:sz="4" w:space="0" w:color="FFFFFF"/>
                    <w:bottom w:val="nil"/>
                    <w:right w:val="nil"/>
                  </w:tcBorders>
                  <w:shd w:val="clear" w:color="A5BAD7" w:fill="A5BAD7"/>
                  <w:noWrap/>
                  <w:hideMark/>
                </w:tcPr>
                <w:p w14:paraId="30633BA5"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 xml:space="preserve">Carpark </w:t>
                  </w:r>
                </w:p>
              </w:tc>
              <w:tc>
                <w:tcPr>
                  <w:tcW w:w="991" w:type="dxa"/>
                  <w:tcBorders>
                    <w:top w:val="single" w:sz="4" w:space="0" w:color="FFFFFF"/>
                    <w:left w:val="single" w:sz="4" w:space="0" w:color="FFFFFF"/>
                    <w:bottom w:val="nil"/>
                    <w:right w:val="nil"/>
                  </w:tcBorders>
                  <w:shd w:val="clear" w:color="A5BAD7" w:fill="A5BAD7"/>
                  <w:noWrap/>
                  <w:hideMark/>
                </w:tcPr>
                <w:p w14:paraId="69F3F85D"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South East</w:t>
                  </w:r>
                </w:p>
              </w:tc>
              <w:tc>
                <w:tcPr>
                  <w:tcW w:w="1410" w:type="dxa"/>
                  <w:tcBorders>
                    <w:top w:val="single" w:sz="4" w:space="0" w:color="FFFFFF"/>
                    <w:left w:val="single" w:sz="4" w:space="0" w:color="FFFFFF"/>
                    <w:bottom w:val="nil"/>
                    <w:right w:val="nil"/>
                  </w:tcBorders>
                  <w:shd w:val="clear" w:color="A5BAD7" w:fill="A5BAD7"/>
                  <w:noWrap/>
                  <w:hideMark/>
                </w:tcPr>
                <w:p w14:paraId="4F8BF64E"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In Construction</w:t>
                  </w:r>
                </w:p>
              </w:tc>
              <w:tc>
                <w:tcPr>
                  <w:tcW w:w="932" w:type="dxa"/>
                  <w:tcBorders>
                    <w:top w:val="single" w:sz="4" w:space="0" w:color="FFFFFF"/>
                    <w:left w:val="single" w:sz="4" w:space="0" w:color="FFFFFF"/>
                    <w:bottom w:val="nil"/>
                    <w:right w:val="nil"/>
                  </w:tcBorders>
                  <w:shd w:val="clear" w:color="A5BAD7" w:fill="A5BAD7"/>
                  <w:noWrap/>
                  <w:hideMark/>
                </w:tcPr>
                <w:p w14:paraId="4774E51A"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Open Tender</w:t>
                  </w:r>
                </w:p>
              </w:tc>
              <w:tc>
                <w:tcPr>
                  <w:tcW w:w="873" w:type="dxa"/>
                  <w:tcBorders>
                    <w:top w:val="single" w:sz="4" w:space="0" w:color="FFFFFF"/>
                    <w:left w:val="single" w:sz="4" w:space="0" w:color="FFFFFF"/>
                    <w:bottom w:val="nil"/>
                    <w:right w:val="nil"/>
                  </w:tcBorders>
                  <w:shd w:val="clear" w:color="A5BAD7" w:fill="A5BAD7"/>
                  <w:noWrap/>
                  <w:hideMark/>
                </w:tcPr>
                <w:p w14:paraId="6A85FD52" w14:textId="77777777" w:rsidR="00EC58A2" w:rsidRPr="00450439" w:rsidRDefault="00EC58A2">
                  <w:pPr>
                    <w:spacing w:after="0" w:line="240" w:lineRule="auto"/>
                    <w:jc w:val="center"/>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Q1 2020/21</w:t>
                  </w:r>
                </w:p>
              </w:tc>
              <w:tc>
                <w:tcPr>
                  <w:tcW w:w="1104" w:type="dxa"/>
                  <w:tcBorders>
                    <w:top w:val="single" w:sz="4" w:space="0" w:color="FFFFFF"/>
                    <w:left w:val="single" w:sz="4" w:space="0" w:color="FFFFFF"/>
                    <w:bottom w:val="nil"/>
                    <w:right w:val="nil"/>
                  </w:tcBorders>
                  <w:shd w:val="clear" w:color="A5BAD7" w:fill="A5BAD7"/>
                  <w:noWrap/>
                  <w:hideMark/>
                </w:tcPr>
                <w:p w14:paraId="31541BB1" w14:textId="161C149B" w:rsidR="00EC58A2" w:rsidRPr="00450439" w:rsidRDefault="00EC58A2" w:rsidP="00450439">
                  <w:pPr>
                    <w:spacing w:after="0" w:line="240" w:lineRule="auto"/>
                    <w:jc w:val="righ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 xml:space="preserve">4 000 000 </w:t>
                  </w:r>
                </w:p>
              </w:tc>
            </w:tr>
            <w:tr w:rsidR="00EA7160" w:rsidRPr="005D4C17" w14:paraId="770D0D5F" w14:textId="77777777" w:rsidTr="00450439">
              <w:trPr>
                <w:trHeight w:val="210"/>
              </w:trPr>
              <w:tc>
                <w:tcPr>
                  <w:tcW w:w="637" w:type="dxa"/>
                  <w:tcBorders>
                    <w:top w:val="single" w:sz="4" w:space="0" w:color="FFFFFF"/>
                    <w:left w:val="nil"/>
                    <w:bottom w:val="nil"/>
                    <w:right w:val="nil"/>
                  </w:tcBorders>
                  <w:shd w:val="clear" w:color="DBE5F1" w:fill="DBE5F1"/>
                  <w:noWrap/>
                  <w:hideMark/>
                </w:tcPr>
                <w:p w14:paraId="448D784F"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R&amp;D</w:t>
                  </w:r>
                </w:p>
              </w:tc>
              <w:tc>
                <w:tcPr>
                  <w:tcW w:w="2980" w:type="dxa"/>
                  <w:tcBorders>
                    <w:top w:val="single" w:sz="4" w:space="0" w:color="FFFFFF"/>
                    <w:left w:val="single" w:sz="4" w:space="0" w:color="FFFFFF"/>
                    <w:bottom w:val="nil"/>
                    <w:right w:val="nil"/>
                  </w:tcBorders>
                  <w:shd w:val="clear" w:color="DBE5F1" w:fill="DBE5F1"/>
                  <w:noWrap/>
                  <w:hideMark/>
                </w:tcPr>
                <w:p w14:paraId="024D3B82"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Re-roofing J1 Roof</w:t>
                  </w:r>
                </w:p>
              </w:tc>
              <w:tc>
                <w:tcPr>
                  <w:tcW w:w="991" w:type="dxa"/>
                  <w:tcBorders>
                    <w:top w:val="single" w:sz="4" w:space="0" w:color="FFFFFF"/>
                    <w:left w:val="single" w:sz="4" w:space="0" w:color="FFFFFF"/>
                    <w:bottom w:val="nil"/>
                    <w:right w:val="nil"/>
                  </w:tcBorders>
                  <w:shd w:val="clear" w:color="DBE5F1" w:fill="DBE5F1"/>
                  <w:noWrap/>
                  <w:hideMark/>
                </w:tcPr>
                <w:p w14:paraId="67F0954F"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South East</w:t>
                  </w:r>
                </w:p>
              </w:tc>
              <w:tc>
                <w:tcPr>
                  <w:tcW w:w="1410" w:type="dxa"/>
                  <w:tcBorders>
                    <w:top w:val="single" w:sz="4" w:space="0" w:color="FFFFFF"/>
                    <w:left w:val="single" w:sz="4" w:space="0" w:color="FFFFFF"/>
                    <w:bottom w:val="nil"/>
                    <w:right w:val="nil"/>
                  </w:tcBorders>
                  <w:shd w:val="clear" w:color="DBE5F1" w:fill="DBE5F1"/>
                  <w:noWrap/>
                  <w:hideMark/>
                </w:tcPr>
                <w:p w14:paraId="139CE28D"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In Construction</w:t>
                  </w:r>
                </w:p>
              </w:tc>
              <w:tc>
                <w:tcPr>
                  <w:tcW w:w="932" w:type="dxa"/>
                  <w:tcBorders>
                    <w:top w:val="single" w:sz="4" w:space="0" w:color="FFFFFF"/>
                    <w:left w:val="single" w:sz="4" w:space="0" w:color="FFFFFF"/>
                    <w:bottom w:val="nil"/>
                    <w:right w:val="nil"/>
                  </w:tcBorders>
                  <w:shd w:val="clear" w:color="DBE5F1" w:fill="DBE5F1"/>
                  <w:noWrap/>
                  <w:hideMark/>
                </w:tcPr>
                <w:p w14:paraId="04AC0674"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Open Tender</w:t>
                  </w:r>
                </w:p>
              </w:tc>
              <w:tc>
                <w:tcPr>
                  <w:tcW w:w="873" w:type="dxa"/>
                  <w:tcBorders>
                    <w:top w:val="single" w:sz="4" w:space="0" w:color="FFFFFF"/>
                    <w:left w:val="single" w:sz="4" w:space="0" w:color="FFFFFF"/>
                    <w:bottom w:val="nil"/>
                    <w:right w:val="nil"/>
                  </w:tcBorders>
                  <w:shd w:val="clear" w:color="DBE5F1" w:fill="DBE5F1"/>
                  <w:noWrap/>
                  <w:hideMark/>
                </w:tcPr>
                <w:p w14:paraId="568051B4" w14:textId="77777777" w:rsidR="00EC58A2" w:rsidRPr="00450439" w:rsidRDefault="00EC58A2">
                  <w:pPr>
                    <w:spacing w:after="0" w:line="240" w:lineRule="auto"/>
                    <w:jc w:val="center"/>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Q2 2020/21</w:t>
                  </w:r>
                </w:p>
              </w:tc>
              <w:tc>
                <w:tcPr>
                  <w:tcW w:w="1104" w:type="dxa"/>
                  <w:tcBorders>
                    <w:top w:val="single" w:sz="4" w:space="0" w:color="FFFFFF"/>
                    <w:left w:val="single" w:sz="4" w:space="0" w:color="FFFFFF"/>
                    <w:bottom w:val="nil"/>
                    <w:right w:val="nil"/>
                  </w:tcBorders>
                  <w:shd w:val="clear" w:color="DBE5F1" w:fill="DBE5F1"/>
                  <w:noWrap/>
                  <w:hideMark/>
                </w:tcPr>
                <w:p w14:paraId="13CB3DC3" w14:textId="03BA08A8" w:rsidR="00EC58A2" w:rsidRPr="00450439" w:rsidRDefault="00EC58A2" w:rsidP="00450439">
                  <w:pPr>
                    <w:spacing w:after="0" w:line="240" w:lineRule="auto"/>
                    <w:jc w:val="righ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 xml:space="preserve">1 500 000 </w:t>
                  </w:r>
                </w:p>
              </w:tc>
            </w:tr>
            <w:tr w:rsidR="00EA7160" w:rsidRPr="005D4C17" w14:paraId="78F35DCB" w14:textId="77777777" w:rsidTr="00450439">
              <w:trPr>
                <w:trHeight w:val="210"/>
              </w:trPr>
              <w:tc>
                <w:tcPr>
                  <w:tcW w:w="637" w:type="dxa"/>
                  <w:tcBorders>
                    <w:top w:val="single" w:sz="4" w:space="0" w:color="FFFFFF"/>
                    <w:left w:val="nil"/>
                    <w:bottom w:val="nil"/>
                    <w:right w:val="nil"/>
                  </w:tcBorders>
                  <w:shd w:val="clear" w:color="A5BAD7" w:fill="A5BAD7"/>
                  <w:noWrap/>
                  <w:hideMark/>
                </w:tcPr>
                <w:p w14:paraId="4AC6E3CE"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R&amp;D</w:t>
                  </w:r>
                </w:p>
              </w:tc>
              <w:tc>
                <w:tcPr>
                  <w:tcW w:w="2980" w:type="dxa"/>
                  <w:tcBorders>
                    <w:top w:val="single" w:sz="4" w:space="0" w:color="FFFFFF"/>
                    <w:left w:val="single" w:sz="4" w:space="0" w:color="FFFFFF"/>
                    <w:bottom w:val="nil"/>
                    <w:right w:val="nil"/>
                  </w:tcBorders>
                  <w:shd w:val="clear" w:color="A5BAD7" w:fill="A5BAD7"/>
                  <w:noWrap/>
                  <w:hideMark/>
                </w:tcPr>
                <w:p w14:paraId="4B1E3E10"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J1 Heating upgrade works</w:t>
                  </w:r>
                </w:p>
              </w:tc>
              <w:tc>
                <w:tcPr>
                  <w:tcW w:w="991" w:type="dxa"/>
                  <w:tcBorders>
                    <w:top w:val="single" w:sz="4" w:space="0" w:color="FFFFFF"/>
                    <w:left w:val="single" w:sz="4" w:space="0" w:color="FFFFFF"/>
                    <w:bottom w:val="nil"/>
                    <w:right w:val="nil"/>
                  </w:tcBorders>
                  <w:shd w:val="clear" w:color="A5BAD7" w:fill="A5BAD7"/>
                  <w:noWrap/>
                  <w:hideMark/>
                </w:tcPr>
                <w:p w14:paraId="623FB8B0"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South East</w:t>
                  </w:r>
                </w:p>
              </w:tc>
              <w:tc>
                <w:tcPr>
                  <w:tcW w:w="1410" w:type="dxa"/>
                  <w:tcBorders>
                    <w:top w:val="single" w:sz="4" w:space="0" w:color="FFFFFF"/>
                    <w:left w:val="single" w:sz="4" w:space="0" w:color="FFFFFF"/>
                    <w:bottom w:val="nil"/>
                    <w:right w:val="nil"/>
                  </w:tcBorders>
                  <w:shd w:val="clear" w:color="A5BAD7" w:fill="A5BAD7"/>
                  <w:noWrap/>
                  <w:hideMark/>
                </w:tcPr>
                <w:p w14:paraId="419D1FB7"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In Construction</w:t>
                  </w:r>
                </w:p>
              </w:tc>
              <w:tc>
                <w:tcPr>
                  <w:tcW w:w="932" w:type="dxa"/>
                  <w:tcBorders>
                    <w:top w:val="single" w:sz="4" w:space="0" w:color="FFFFFF"/>
                    <w:left w:val="single" w:sz="4" w:space="0" w:color="FFFFFF"/>
                    <w:bottom w:val="nil"/>
                    <w:right w:val="nil"/>
                  </w:tcBorders>
                  <w:shd w:val="clear" w:color="A5BAD7" w:fill="A5BAD7"/>
                  <w:noWrap/>
                  <w:hideMark/>
                </w:tcPr>
                <w:p w14:paraId="43D678E9"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Open Tender</w:t>
                  </w:r>
                </w:p>
              </w:tc>
              <w:tc>
                <w:tcPr>
                  <w:tcW w:w="873" w:type="dxa"/>
                  <w:tcBorders>
                    <w:top w:val="single" w:sz="4" w:space="0" w:color="FFFFFF"/>
                    <w:left w:val="single" w:sz="4" w:space="0" w:color="FFFFFF"/>
                    <w:bottom w:val="nil"/>
                    <w:right w:val="nil"/>
                  </w:tcBorders>
                  <w:shd w:val="clear" w:color="A5BAD7" w:fill="A5BAD7"/>
                  <w:noWrap/>
                  <w:hideMark/>
                </w:tcPr>
                <w:p w14:paraId="15E95CC9" w14:textId="77777777" w:rsidR="00EC58A2" w:rsidRPr="00450439" w:rsidRDefault="00EC58A2">
                  <w:pPr>
                    <w:spacing w:after="0" w:line="240" w:lineRule="auto"/>
                    <w:jc w:val="center"/>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Q3 2020/21</w:t>
                  </w:r>
                </w:p>
              </w:tc>
              <w:tc>
                <w:tcPr>
                  <w:tcW w:w="1104" w:type="dxa"/>
                  <w:tcBorders>
                    <w:top w:val="single" w:sz="4" w:space="0" w:color="FFFFFF"/>
                    <w:left w:val="single" w:sz="4" w:space="0" w:color="FFFFFF"/>
                    <w:bottom w:val="nil"/>
                    <w:right w:val="nil"/>
                  </w:tcBorders>
                  <w:shd w:val="clear" w:color="A5BAD7" w:fill="A5BAD7"/>
                  <w:noWrap/>
                  <w:hideMark/>
                </w:tcPr>
                <w:p w14:paraId="34995234" w14:textId="59F05F1F" w:rsidR="00EC58A2" w:rsidRPr="00450439" w:rsidRDefault="00EC58A2" w:rsidP="00450439">
                  <w:pPr>
                    <w:spacing w:after="0" w:line="240" w:lineRule="auto"/>
                    <w:jc w:val="righ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 xml:space="preserve">1 700 000 </w:t>
                  </w:r>
                </w:p>
              </w:tc>
            </w:tr>
            <w:tr w:rsidR="00EA7160" w:rsidRPr="005D4C17" w14:paraId="1E595AEE" w14:textId="77777777" w:rsidTr="00450439">
              <w:trPr>
                <w:trHeight w:val="210"/>
              </w:trPr>
              <w:tc>
                <w:tcPr>
                  <w:tcW w:w="637" w:type="dxa"/>
                  <w:tcBorders>
                    <w:top w:val="single" w:sz="4" w:space="0" w:color="FFFFFF"/>
                    <w:left w:val="nil"/>
                    <w:bottom w:val="nil"/>
                    <w:right w:val="nil"/>
                  </w:tcBorders>
                  <w:shd w:val="clear" w:color="DBE5F1" w:fill="DBE5F1"/>
                  <w:noWrap/>
                  <w:hideMark/>
                </w:tcPr>
                <w:p w14:paraId="06FC0FE3"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Waste</w:t>
                  </w:r>
                </w:p>
              </w:tc>
              <w:tc>
                <w:tcPr>
                  <w:tcW w:w="2980" w:type="dxa"/>
                  <w:tcBorders>
                    <w:top w:val="single" w:sz="4" w:space="0" w:color="FFFFFF"/>
                    <w:left w:val="single" w:sz="4" w:space="0" w:color="FFFFFF"/>
                    <w:bottom w:val="nil"/>
                    <w:right w:val="nil"/>
                  </w:tcBorders>
                  <w:shd w:val="clear" w:color="DBE5F1" w:fill="DBE5F1"/>
                  <w:noWrap/>
                  <w:hideMark/>
                </w:tcPr>
                <w:p w14:paraId="0EFA3343" w14:textId="3E214344" w:rsidR="00EC58A2" w:rsidRPr="00450439" w:rsidRDefault="00EA7160">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Mine Water Treatment Schemes</w:t>
                  </w:r>
                </w:p>
              </w:tc>
              <w:tc>
                <w:tcPr>
                  <w:tcW w:w="991" w:type="dxa"/>
                  <w:tcBorders>
                    <w:top w:val="single" w:sz="4" w:space="0" w:color="FFFFFF"/>
                    <w:left w:val="single" w:sz="4" w:space="0" w:color="FFFFFF"/>
                    <w:bottom w:val="nil"/>
                    <w:right w:val="nil"/>
                  </w:tcBorders>
                  <w:shd w:val="clear" w:color="DBE5F1" w:fill="DBE5F1"/>
                  <w:noWrap/>
                  <w:hideMark/>
                </w:tcPr>
                <w:p w14:paraId="2F8D42DE"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UK</w:t>
                  </w:r>
                </w:p>
              </w:tc>
              <w:tc>
                <w:tcPr>
                  <w:tcW w:w="1410" w:type="dxa"/>
                  <w:tcBorders>
                    <w:top w:val="single" w:sz="4" w:space="0" w:color="FFFFFF"/>
                    <w:left w:val="single" w:sz="4" w:space="0" w:color="FFFFFF"/>
                    <w:bottom w:val="nil"/>
                    <w:right w:val="nil"/>
                  </w:tcBorders>
                  <w:shd w:val="clear" w:color="DBE5F1" w:fill="DBE5F1"/>
                  <w:noWrap/>
                  <w:hideMark/>
                </w:tcPr>
                <w:p w14:paraId="594B1AF5"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Active Programme</w:t>
                  </w:r>
                </w:p>
              </w:tc>
              <w:tc>
                <w:tcPr>
                  <w:tcW w:w="932" w:type="dxa"/>
                  <w:tcBorders>
                    <w:top w:val="single" w:sz="4" w:space="0" w:color="FFFFFF"/>
                    <w:left w:val="single" w:sz="4" w:space="0" w:color="FFFFFF"/>
                    <w:bottom w:val="nil"/>
                    <w:right w:val="nil"/>
                  </w:tcBorders>
                  <w:shd w:val="clear" w:color="DBE5F1" w:fill="DBE5F1"/>
                  <w:noWrap/>
                  <w:hideMark/>
                </w:tcPr>
                <w:p w14:paraId="315620D1"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Restricted Tender</w:t>
                  </w:r>
                </w:p>
              </w:tc>
              <w:tc>
                <w:tcPr>
                  <w:tcW w:w="873" w:type="dxa"/>
                  <w:tcBorders>
                    <w:top w:val="single" w:sz="4" w:space="0" w:color="FFFFFF"/>
                    <w:left w:val="single" w:sz="4" w:space="0" w:color="FFFFFF"/>
                    <w:bottom w:val="nil"/>
                    <w:right w:val="nil"/>
                  </w:tcBorders>
                  <w:shd w:val="clear" w:color="DBE5F1" w:fill="DBE5F1"/>
                  <w:noWrap/>
                  <w:hideMark/>
                </w:tcPr>
                <w:p w14:paraId="5035B669" w14:textId="77777777" w:rsidR="00EC58A2" w:rsidRPr="00450439" w:rsidRDefault="00EC58A2">
                  <w:pPr>
                    <w:spacing w:after="0" w:line="240" w:lineRule="auto"/>
                    <w:jc w:val="center"/>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2020/21</w:t>
                  </w:r>
                </w:p>
              </w:tc>
              <w:tc>
                <w:tcPr>
                  <w:tcW w:w="1104" w:type="dxa"/>
                  <w:tcBorders>
                    <w:top w:val="single" w:sz="4" w:space="0" w:color="FFFFFF"/>
                    <w:left w:val="single" w:sz="4" w:space="0" w:color="FFFFFF"/>
                    <w:bottom w:val="nil"/>
                    <w:right w:val="nil"/>
                  </w:tcBorders>
                  <w:shd w:val="clear" w:color="DBE5F1" w:fill="DBE5F1"/>
                  <w:noWrap/>
                  <w:hideMark/>
                </w:tcPr>
                <w:p w14:paraId="37A3B4BC" w14:textId="050DEB12" w:rsidR="00EC58A2" w:rsidRPr="00450439" w:rsidRDefault="00EC58A2" w:rsidP="00450439">
                  <w:pPr>
                    <w:spacing w:after="0" w:line="240" w:lineRule="auto"/>
                    <w:jc w:val="righ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 xml:space="preserve">597 103 </w:t>
                  </w:r>
                </w:p>
              </w:tc>
            </w:tr>
            <w:tr w:rsidR="00EA7160" w:rsidRPr="005D4C17" w14:paraId="4754D37A" w14:textId="77777777" w:rsidTr="00450439">
              <w:trPr>
                <w:trHeight w:val="210"/>
              </w:trPr>
              <w:tc>
                <w:tcPr>
                  <w:tcW w:w="637" w:type="dxa"/>
                  <w:tcBorders>
                    <w:top w:val="single" w:sz="4" w:space="0" w:color="FFFFFF"/>
                    <w:left w:val="nil"/>
                    <w:bottom w:val="nil"/>
                    <w:right w:val="nil"/>
                  </w:tcBorders>
                  <w:shd w:val="clear" w:color="A5BAD7" w:fill="A5BAD7"/>
                  <w:noWrap/>
                  <w:hideMark/>
                </w:tcPr>
                <w:p w14:paraId="65020CA3"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Housing</w:t>
                  </w:r>
                </w:p>
              </w:tc>
              <w:tc>
                <w:tcPr>
                  <w:tcW w:w="2980" w:type="dxa"/>
                  <w:tcBorders>
                    <w:top w:val="single" w:sz="4" w:space="0" w:color="FFFFFF"/>
                    <w:left w:val="single" w:sz="4" w:space="0" w:color="FFFFFF"/>
                    <w:bottom w:val="nil"/>
                    <w:right w:val="nil"/>
                  </w:tcBorders>
                  <w:shd w:val="clear" w:color="A5BAD7" w:fill="A5BAD7"/>
                  <w:noWrap/>
                  <w:hideMark/>
                </w:tcPr>
                <w:p w14:paraId="1AABC18D"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Build to Rent</w:t>
                  </w:r>
                </w:p>
              </w:tc>
              <w:tc>
                <w:tcPr>
                  <w:tcW w:w="991" w:type="dxa"/>
                  <w:tcBorders>
                    <w:top w:val="single" w:sz="4" w:space="0" w:color="FFFFFF"/>
                    <w:left w:val="single" w:sz="4" w:space="0" w:color="FFFFFF"/>
                    <w:bottom w:val="nil"/>
                    <w:right w:val="nil"/>
                  </w:tcBorders>
                  <w:shd w:val="clear" w:color="A5BAD7" w:fill="A5BAD7"/>
                  <w:noWrap/>
                  <w:hideMark/>
                </w:tcPr>
                <w:p w14:paraId="4A2D0D1F"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England</w:t>
                  </w:r>
                </w:p>
              </w:tc>
              <w:tc>
                <w:tcPr>
                  <w:tcW w:w="1410" w:type="dxa"/>
                  <w:tcBorders>
                    <w:top w:val="single" w:sz="4" w:space="0" w:color="FFFFFF"/>
                    <w:left w:val="single" w:sz="4" w:space="0" w:color="FFFFFF"/>
                    <w:bottom w:val="nil"/>
                    <w:right w:val="nil"/>
                  </w:tcBorders>
                  <w:shd w:val="clear" w:color="A5BAD7" w:fill="A5BAD7"/>
                  <w:noWrap/>
                  <w:hideMark/>
                </w:tcPr>
                <w:p w14:paraId="3D5D425E"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Various</w:t>
                  </w:r>
                </w:p>
              </w:tc>
              <w:tc>
                <w:tcPr>
                  <w:tcW w:w="932" w:type="dxa"/>
                  <w:tcBorders>
                    <w:top w:val="single" w:sz="4" w:space="0" w:color="FFFFFF"/>
                    <w:left w:val="single" w:sz="4" w:space="0" w:color="FFFFFF"/>
                    <w:bottom w:val="nil"/>
                    <w:right w:val="nil"/>
                  </w:tcBorders>
                  <w:shd w:val="clear" w:color="A5BAD7" w:fill="A5BAD7"/>
                  <w:noWrap/>
                  <w:hideMark/>
                </w:tcPr>
                <w:p w14:paraId="3DC7DD66"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Multiple</w:t>
                  </w:r>
                </w:p>
              </w:tc>
              <w:tc>
                <w:tcPr>
                  <w:tcW w:w="873" w:type="dxa"/>
                  <w:tcBorders>
                    <w:top w:val="single" w:sz="4" w:space="0" w:color="FFFFFF"/>
                    <w:left w:val="single" w:sz="4" w:space="0" w:color="FFFFFF"/>
                    <w:bottom w:val="nil"/>
                    <w:right w:val="nil"/>
                  </w:tcBorders>
                  <w:shd w:val="clear" w:color="A5BAD7" w:fill="A5BAD7"/>
                  <w:noWrap/>
                  <w:hideMark/>
                </w:tcPr>
                <w:p w14:paraId="3785764F" w14:textId="77777777" w:rsidR="00EC58A2" w:rsidRPr="00450439" w:rsidRDefault="00EC58A2">
                  <w:pPr>
                    <w:spacing w:after="0" w:line="240" w:lineRule="auto"/>
                    <w:jc w:val="center"/>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2020/21</w:t>
                  </w:r>
                </w:p>
              </w:tc>
              <w:tc>
                <w:tcPr>
                  <w:tcW w:w="1104" w:type="dxa"/>
                  <w:tcBorders>
                    <w:top w:val="single" w:sz="4" w:space="0" w:color="FFFFFF"/>
                    <w:left w:val="single" w:sz="4" w:space="0" w:color="FFFFFF"/>
                    <w:bottom w:val="nil"/>
                    <w:right w:val="nil"/>
                  </w:tcBorders>
                  <w:shd w:val="clear" w:color="A5BAD7" w:fill="A5BAD7"/>
                  <w:noWrap/>
                  <w:hideMark/>
                </w:tcPr>
                <w:p w14:paraId="16188FE4" w14:textId="2640B5AA" w:rsidR="00EC58A2" w:rsidRPr="00450439" w:rsidRDefault="00EC58A2" w:rsidP="00450439">
                  <w:pPr>
                    <w:spacing w:after="0" w:line="240" w:lineRule="auto"/>
                    <w:jc w:val="righ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 xml:space="preserve">89 408 000 </w:t>
                  </w:r>
                </w:p>
              </w:tc>
            </w:tr>
            <w:tr w:rsidR="00EA7160" w:rsidRPr="005D4C17" w14:paraId="53A5FE5B" w14:textId="77777777" w:rsidTr="00450439">
              <w:trPr>
                <w:trHeight w:val="210"/>
              </w:trPr>
              <w:tc>
                <w:tcPr>
                  <w:tcW w:w="637" w:type="dxa"/>
                  <w:tcBorders>
                    <w:top w:val="single" w:sz="4" w:space="0" w:color="FFFFFF"/>
                    <w:left w:val="nil"/>
                    <w:bottom w:val="nil"/>
                    <w:right w:val="nil"/>
                  </w:tcBorders>
                  <w:shd w:val="clear" w:color="DBE5F1" w:fill="DBE5F1"/>
                  <w:noWrap/>
                  <w:hideMark/>
                </w:tcPr>
                <w:p w14:paraId="1C41CB43"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Housing</w:t>
                  </w:r>
                </w:p>
              </w:tc>
              <w:tc>
                <w:tcPr>
                  <w:tcW w:w="2980" w:type="dxa"/>
                  <w:tcBorders>
                    <w:top w:val="single" w:sz="4" w:space="0" w:color="FFFFFF"/>
                    <w:left w:val="single" w:sz="4" w:space="0" w:color="FFFFFF"/>
                    <w:bottom w:val="nil"/>
                    <w:right w:val="nil"/>
                  </w:tcBorders>
                  <w:shd w:val="clear" w:color="DBE5F1" w:fill="DBE5F1"/>
                  <w:noWrap/>
                  <w:hideMark/>
                </w:tcPr>
                <w:p w14:paraId="231F77F3"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Estate Regeneration</w:t>
                  </w:r>
                </w:p>
              </w:tc>
              <w:tc>
                <w:tcPr>
                  <w:tcW w:w="991" w:type="dxa"/>
                  <w:tcBorders>
                    <w:top w:val="single" w:sz="4" w:space="0" w:color="FFFFFF"/>
                    <w:left w:val="single" w:sz="4" w:space="0" w:color="FFFFFF"/>
                    <w:bottom w:val="nil"/>
                    <w:right w:val="nil"/>
                  </w:tcBorders>
                  <w:shd w:val="clear" w:color="DBE5F1" w:fill="DBE5F1"/>
                  <w:noWrap/>
                  <w:hideMark/>
                </w:tcPr>
                <w:p w14:paraId="09495802"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England</w:t>
                  </w:r>
                </w:p>
              </w:tc>
              <w:tc>
                <w:tcPr>
                  <w:tcW w:w="1410" w:type="dxa"/>
                  <w:tcBorders>
                    <w:top w:val="single" w:sz="4" w:space="0" w:color="FFFFFF"/>
                    <w:left w:val="single" w:sz="4" w:space="0" w:color="FFFFFF"/>
                    <w:bottom w:val="nil"/>
                    <w:right w:val="nil"/>
                  </w:tcBorders>
                  <w:shd w:val="clear" w:color="DBE5F1" w:fill="DBE5F1"/>
                  <w:noWrap/>
                  <w:hideMark/>
                </w:tcPr>
                <w:p w14:paraId="5DC1F714"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Various</w:t>
                  </w:r>
                </w:p>
              </w:tc>
              <w:tc>
                <w:tcPr>
                  <w:tcW w:w="932" w:type="dxa"/>
                  <w:tcBorders>
                    <w:top w:val="single" w:sz="4" w:space="0" w:color="FFFFFF"/>
                    <w:left w:val="single" w:sz="4" w:space="0" w:color="FFFFFF"/>
                    <w:bottom w:val="nil"/>
                    <w:right w:val="nil"/>
                  </w:tcBorders>
                  <w:shd w:val="clear" w:color="DBE5F1" w:fill="DBE5F1"/>
                  <w:noWrap/>
                  <w:hideMark/>
                </w:tcPr>
                <w:p w14:paraId="75309680"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Multiple</w:t>
                  </w:r>
                </w:p>
              </w:tc>
              <w:tc>
                <w:tcPr>
                  <w:tcW w:w="873" w:type="dxa"/>
                  <w:tcBorders>
                    <w:top w:val="single" w:sz="4" w:space="0" w:color="FFFFFF"/>
                    <w:left w:val="single" w:sz="4" w:space="0" w:color="FFFFFF"/>
                    <w:bottom w:val="nil"/>
                    <w:right w:val="nil"/>
                  </w:tcBorders>
                  <w:shd w:val="clear" w:color="DBE5F1" w:fill="DBE5F1"/>
                  <w:noWrap/>
                  <w:hideMark/>
                </w:tcPr>
                <w:p w14:paraId="640A9D57" w14:textId="77777777" w:rsidR="00EC58A2" w:rsidRPr="00450439" w:rsidRDefault="00EC58A2">
                  <w:pPr>
                    <w:spacing w:after="0" w:line="240" w:lineRule="auto"/>
                    <w:jc w:val="center"/>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2020/21</w:t>
                  </w:r>
                </w:p>
              </w:tc>
              <w:tc>
                <w:tcPr>
                  <w:tcW w:w="1104" w:type="dxa"/>
                  <w:tcBorders>
                    <w:top w:val="single" w:sz="4" w:space="0" w:color="FFFFFF"/>
                    <w:left w:val="single" w:sz="4" w:space="0" w:color="FFFFFF"/>
                    <w:bottom w:val="nil"/>
                    <w:right w:val="nil"/>
                  </w:tcBorders>
                  <w:shd w:val="clear" w:color="DBE5F1" w:fill="DBE5F1"/>
                  <w:noWrap/>
                  <w:hideMark/>
                </w:tcPr>
                <w:p w14:paraId="064301BA" w14:textId="09F32211" w:rsidR="00EC58A2" w:rsidRPr="00450439" w:rsidRDefault="00EC58A2" w:rsidP="00450439">
                  <w:pPr>
                    <w:spacing w:after="0" w:line="240" w:lineRule="auto"/>
                    <w:jc w:val="righ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 xml:space="preserve">19 568 000 </w:t>
                  </w:r>
                </w:p>
              </w:tc>
            </w:tr>
            <w:tr w:rsidR="00EA7160" w:rsidRPr="005D4C17" w14:paraId="2804EFC4" w14:textId="77777777" w:rsidTr="00450439">
              <w:trPr>
                <w:trHeight w:val="210"/>
              </w:trPr>
              <w:tc>
                <w:tcPr>
                  <w:tcW w:w="637" w:type="dxa"/>
                  <w:tcBorders>
                    <w:top w:val="single" w:sz="4" w:space="0" w:color="FFFFFF"/>
                    <w:left w:val="nil"/>
                    <w:bottom w:val="nil"/>
                    <w:right w:val="nil"/>
                  </w:tcBorders>
                  <w:shd w:val="clear" w:color="A5BAD7" w:fill="A5BAD7"/>
                  <w:noWrap/>
                  <w:hideMark/>
                </w:tcPr>
                <w:p w14:paraId="221BD555"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Housing</w:t>
                  </w:r>
                </w:p>
              </w:tc>
              <w:tc>
                <w:tcPr>
                  <w:tcW w:w="2980" w:type="dxa"/>
                  <w:tcBorders>
                    <w:top w:val="single" w:sz="4" w:space="0" w:color="FFFFFF"/>
                    <w:left w:val="single" w:sz="4" w:space="0" w:color="FFFFFF"/>
                    <w:bottom w:val="nil"/>
                    <w:right w:val="nil"/>
                  </w:tcBorders>
                  <w:shd w:val="clear" w:color="A5BAD7" w:fill="A5BAD7"/>
                  <w:noWrap/>
                  <w:hideMark/>
                </w:tcPr>
                <w:p w14:paraId="20D3E36A"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Long Term Fund</w:t>
                  </w:r>
                </w:p>
              </w:tc>
              <w:tc>
                <w:tcPr>
                  <w:tcW w:w="991" w:type="dxa"/>
                  <w:tcBorders>
                    <w:top w:val="single" w:sz="4" w:space="0" w:color="FFFFFF"/>
                    <w:left w:val="single" w:sz="4" w:space="0" w:color="FFFFFF"/>
                    <w:bottom w:val="nil"/>
                    <w:right w:val="nil"/>
                  </w:tcBorders>
                  <w:shd w:val="clear" w:color="A5BAD7" w:fill="A5BAD7"/>
                  <w:noWrap/>
                  <w:hideMark/>
                </w:tcPr>
                <w:p w14:paraId="7BC8228F"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England</w:t>
                  </w:r>
                </w:p>
              </w:tc>
              <w:tc>
                <w:tcPr>
                  <w:tcW w:w="1410" w:type="dxa"/>
                  <w:tcBorders>
                    <w:top w:val="single" w:sz="4" w:space="0" w:color="FFFFFF"/>
                    <w:left w:val="single" w:sz="4" w:space="0" w:color="FFFFFF"/>
                    <w:bottom w:val="nil"/>
                    <w:right w:val="nil"/>
                  </w:tcBorders>
                  <w:shd w:val="clear" w:color="A5BAD7" w:fill="A5BAD7"/>
                  <w:noWrap/>
                  <w:hideMark/>
                </w:tcPr>
                <w:p w14:paraId="47E2CBF9"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Various</w:t>
                  </w:r>
                </w:p>
              </w:tc>
              <w:tc>
                <w:tcPr>
                  <w:tcW w:w="932" w:type="dxa"/>
                  <w:tcBorders>
                    <w:top w:val="single" w:sz="4" w:space="0" w:color="FFFFFF"/>
                    <w:left w:val="single" w:sz="4" w:space="0" w:color="FFFFFF"/>
                    <w:bottom w:val="nil"/>
                    <w:right w:val="nil"/>
                  </w:tcBorders>
                  <w:shd w:val="clear" w:color="A5BAD7" w:fill="A5BAD7"/>
                  <w:noWrap/>
                  <w:hideMark/>
                </w:tcPr>
                <w:p w14:paraId="62B7EB64" w14:textId="77777777" w:rsidR="00EC58A2" w:rsidRPr="00450439" w:rsidRDefault="00EC58A2">
                  <w:pPr>
                    <w:spacing w:after="0" w:line="240" w:lineRule="auto"/>
                    <w:jc w:val="lef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Multiple</w:t>
                  </w:r>
                </w:p>
              </w:tc>
              <w:tc>
                <w:tcPr>
                  <w:tcW w:w="873" w:type="dxa"/>
                  <w:tcBorders>
                    <w:top w:val="single" w:sz="4" w:space="0" w:color="FFFFFF"/>
                    <w:left w:val="single" w:sz="4" w:space="0" w:color="FFFFFF"/>
                    <w:bottom w:val="nil"/>
                    <w:right w:val="nil"/>
                  </w:tcBorders>
                  <w:shd w:val="clear" w:color="A5BAD7" w:fill="A5BAD7"/>
                  <w:noWrap/>
                  <w:hideMark/>
                </w:tcPr>
                <w:p w14:paraId="44CE56A9" w14:textId="77777777" w:rsidR="00EC58A2" w:rsidRPr="00450439" w:rsidRDefault="00EC58A2">
                  <w:pPr>
                    <w:spacing w:after="0" w:line="240" w:lineRule="auto"/>
                    <w:jc w:val="center"/>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2020/21</w:t>
                  </w:r>
                </w:p>
              </w:tc>
              <w:tc>
                <w:tcPr>
                  <w:tcW w:w="1104" w:type="dxa"/>
                  <w:tcBorders>
                    <w:top w:val="single" w:sz="4" w:space="0" w:color="FFFFFF"/>
                    <w:left w:val="single" w:sz="4" w:space="0" w:color="FFFFFF"/>
                    <w:bottom w:val="nil"/>
                    <w:right w:val="nil"/>
                  </w:tcBorders>
                  <w:shd w:val="clear" w:color="A5BAD7" w:fill="A5BAD7"/>
                  <w:noWrap/>
                  <w:hideMark/>
                </w:tcPr>
                <w:p w14:paraId="3ADF6A7C" w14:textId="0BC26B05" w:rsidR="00EC58A2" w:rsidRPr="00450439" w:rsidRDefault="00EC58A2" w:rsidP="00450439">
                  <w:pPr>
                    <w:spacing w:after="0" w:line="240" w:lineRule="auto"/>
                    <w:jc w:val="right"/>
                    <w:rPr>
                      <w:rFonts w:eastAsia="Times New Roman" w:cs="Times New Roman"/>
                      <w:color w:val="000000"/>
                      <w:sz w:val="16"/>
                      <w:szCs w:val="16"/>
                      <w:lang w:val="en-GB" w:eastAsia="sk-SK"/>
                    </w:rPr>
                  </w:pPr>
                  <w:r w:rsidRPr="00450439">
                    <w:rPr>
                      <w:rFonts w:eastAsia="Times New Roman" w:cs="Times New Roman"/>
                      <w:color w:val="000000"/>
                      <w:sz w:val="16"/>
                      <w:szCs w:val="16"/>
                      <w:lang w:val="en-GB" w:eastAsia="sk-SK"/>
                    </w:rPr>
                    <w:t xml:space="preserve">293 316 000 </w:t>
                  </w:r>
                </w:p>
              </w:tc>
            </w:tr>
          </w:tbl>
          <w:p w14:paraId="134686C8" w14:textId="5D73E9C5" w:rsidR="001D5EB1" w:rsidRPr="00450439" w:rsidRDefault="001D5EB1" w:rsidP="00450439">
            <w:pPr>
              <w:jc w:val="right"/>
              <w:rPr>
                <w:i/>
              </w:rPr>
            </w:pPr>
            <w:r w:rsidRPr="00450439">
              <w:rPr>
                <w:i/>
                <w:sz w:val="16"/>
              </w:rPr>
              <w:t xml:space="preserve">Zdroj: </w:t>
            </w:r>
            <w:hyperlink r:id="rId62" w:history="1">
              <w:r w:rsidRPr="00450439">
                <w:rPr>
                  <w:rStyle w:val="Hypertextovprepojenie"/>
                  <w:i/>
                  <w:sz w:val="16"/>
                </w:rPr>
                <w:t>https://www.gov.uk/government/publications/national-infrastructure-and-construction-procurement-pipeline-202021</w:t>
              </w:r>
            </w:hyperlink>
          </w:p>
        </w:tc>
      </w:tr>
    </w:tbl>
    <w:p w14:paraId="65836CBA" w14:textId="64D267EC" w:rsidR="00982296" w:rsidRPr="005C2CEC" w:rsidRDefault="00982296" w:rsidP="00982296">
      <w:pPr>
        <w:pStyle w:val="Nadpis2"/>
      </w:pPr>
      <w:bookmarkStart w:id="146" w:name="_Ref45287990"/>
      <w:bookmarkStart w:id="147" w:name="_Toc83651086"/>
      <w:r w:rsidRPr="005C2CEC">
        <w:t>Príprava obstarávania</w:t>
      </w:r>
      <w:bookmarkEnd w:id="146"/>
      <w:bookmarkEnd w:id="147"/>
    </w:p>
    <w:p w14:paraId="3814B561" w14:textId="11A7E342" w:rsidR="00957772" w:rsidRPr="005C2CEC" w:rsidRDefault="009C27D6" w:rsidP="009C27D6">
      <w:r w:rsidRPr="005C2CEC">
        <w:t xml:space="preserve">Pri príprave </w:t>
      </w:r>
      <w:r w:rsidR="0004000F" w:rsidRPr="005C2CEC">
        <w:t xml:space="preserve">dokumentácie pre </w:t>
      </w:r>
      <w:r w:rsidR="000D4F98">
        <w:t xml:space="preserve">verejné </w:t>
      </w:r>
      <w:r w:rsidR="0004000F" w:rsidRPr="005C2CEC">
        <w:t xml:space="preserve">obstarávanie </w:t>
      </w:r>
      <w:r w:rsidRPr="005C2CEC">
        <w:t>Investor postupuje v súlade so zákonom č. 343/2015 Z. z. o verejnom obstarávaní</w:t>
      </w:r>
      <w:r w:rsidR="00AC5122">
        <w:t xml:space="preserve"> a o zmene a doplnení niektorých zákonov v znení neskorších predpisov</w:t>
      </w:r>
      <w:r w:rsidRPr="005C2CEC">
        <w:t xml:space="preserve"> (ďalej len „</w:t>
      </w:r>
      <w:r w:rsidR="00894E51">
        <w:t>zákon č. 343/2015 Z. z.</w:t>
      </w:r>
      <w:r w:rsidRPr="005C2CEC">
        <w:t xml:space="preserve">“) a aktuálnou verziou </w:t>
      </w:r>
      <w:hyperlink r:id="rId63" w:history="1">
        <w:r w:rsidRPr="005D4C17">
          <w:rPr>
            <w:rStyle w:val="Hypertextovprepojenie"/>
          </w:rPr>
          <w:t>Metodik</w:t>
        </w:r>
        <w:r w:rsidR="00D710CA" w:rsidRPr="005D4C17">
          <w:rPr>
            <w:rStyle w:val="Hypertextovprepojenie"/>
          </w:rPr>
          <w:t>y</w:t>
        </w:r>
        <w:r w:rsidR="00957772" w:rsidRPr="005D4C17">
          <w:rPr>
            <w:rStyle w:val="Hypertextovprepojenie"/>
          </w:rPr>
          <w:t xml:space="preserve"> zadávania zákaziek</w:t>
        </w:r>
      </w:hyperlink>
      <w:r w:rsidR="00957772" w:rsidRPr="005C2CEC">
        <w:t xml:space="preserve"> Úradu pre verejné obstarávanie (ÚVO)</w:t>
      </w:r>
      <w:r w:rsidR="00D710CA" w:rsidRPr="005C2CEC">
        <w:t>.</w:t>
      </w:r>
    </w:p>
    <w:p w14:paraId="3D443958" w14:textId="5C23B976" w:rsidR="009C47A0" w:rsidRPr="005C2CEC" w:rsidRDefault="00FE3DFD" w:rsidP="00D710CA">
      <w:r w:rsidRPr="005C2CEC">
        <w:t xml:space="preserve">Za účelom maximalizácie hodnoty za peniaze dodržiava </w:t>
      </w:r>
      <w:r w:rsidR="00DF6385" w:rsidRPr="005C2CEC">
        <w:t xml:space="preserve">Investor pri príprave </w:t>
      </w:r>
      <w:r w:rsidRPr="005C2CEC">
        <w:t>obstarávania</w:t>
      </w:r>
      <w:r w:rsidR="00D710CA" w:rsidRPr="005C2CEC">
        <w:t xml:space="preserve"> </w:t>
      </w:r>
      <w:r w:rsidRPr="005C2CEC">
        <w:t xml:space="preserve">nasledujúce </w:t>
      </w:r>
      <w:r w:rsidR="00DF6385" w:rsidRPr="005C2CEC">
        <w:t>princípy</w:t>
      </w:r>
      <w:r w:rsidRPr="005C2CEC">
        <w:t xml:space="preserve"> dobrej praxe</w:t>
      </w:r>
      <w:r w:rsidR="00957772" w:rsidRPr="005C2CEC">
        <w:t>:</w:t>
      </w:r>
    </w:p>
    <w:p w14:paraId="7140A1C4" w14:textId="1C4DADE0" w:rsidR="009C47A0" w:rsidRPr="005C2CEC" w:rsidRDefault="004C2780" w:rsidP="0087207E">
      <w:pPr>
        <w:pStyle w:val="Odsekzoznamu"/>
        <w:numPr>
          <w:ilvl w:val="0"/>
          <w:numId w:val="3"/>
        </w:numPr>
      </w:pPr>
      <w:r w:rsidRPr="005C2CEC">
        <w:t>Investor zváži rozdelenie zákazky na menšie časti</w:t>
      </w:r>
      <w:r w:rsidR="006301D4">
        <w:t xml:space="preserve"> v medziach zákona č. 343/2015 Z. z.</w:t>
      </w:r>
      <w:r w:rsidRPr="005C2CEC">
        <w:t xml:space="preserve">. Rozdeľovanie zákaziek na menšie časti vytvára možnosť väčšieho prístupu malých a stredných podnikov k verejným </w:t>
      </w:r>
      <w:r w:rsidRPr="005C2CEC">
        <w:lastRenderedPageBreak/>
        <w:t>zákazkám a posilňuje tak konkurenciu pri predkladaní návrhov medzi súťažiacimi.</w:t>
      </w:r>
      <w:r w:rsidR="00BB68E6" w:rsidRPr="005C2CEC">
        <w:t xml:space="preserve"> V prípade koncesií Investor pristupuje k deleniu zákazky </w:t>
      </w:r>
      <w:r w:rsidR="00ED6E8A">
        <w:t>iba v prípade nevyhnutných</w:t>
      </w:r>
      <w:r w:rsidR="00ED6E8A" w:rsidRPr="005C2CEC">
        <w:t xml:space="preserve"> </w:t>
      </w:r>
      <w:r w:rsidR="00BB68E6" w:rsidRPr="005C2CEC">
        <w:t>špecifických potrieb predmetného projektu.</w:t>
      </w:r>
    </w:p>
    <w:p w14:paraId="1812A8D8" w14:textId="5939158E" w:rsidR="009C47A0" w:rsidRPr="005C2CEC" w:rsidRDefault="00FE3DFD" w:rsidP="0087207E">
      <w:pPr>
        <w:pStyle w:val="Odsekzoznamu"/>
        <w:numPr>
          <w:ilvl w:val="0"/>
          <w:numId w:val="3"/>
        </w:numPr>
      </w:pPr>
      <w:r w:rsidRPr="005C2CEC">
        <w:t>Investor zváži v</w:t>
      </w:r>
      <w:r w:rsidR="009C47A0" w:rsidRPr="005C2CEC">
        <w:t>yužitie inštitútu prípravných trhových konzultácií (PTK)</w:t>
      </w:r>
      <w:r w:rsidR="00474F89">
        <w:rPr>
          <w:rStyle w:val="Odkaznapoznmkupodiarou"/>
        </w:rPr>
        <w:footnoteReference w:id="29"/>
      </w:r>
      <w:r w:rsidRPr="005C2CEC">
        <w:t>.</w:t>
      </w:r>
      <w:r w:rsidR="00F62B20" w:rsidRPr="005C2CEC">
        <w:t xml:space="preserve"> Trhová konzultácia pred začatím oficiálneho postupu </w:t>
      </w:r>
      <w:r w:rsidR="0004000F" w:rsidRPr="005C2CEC">
        <w:t>obstarávania</w:t>
      </w:r>
      <w:r w:rsidR="00F62B20" w:rsidRPr="005C2CEC">
        <w:t xml:space="preserve"> je vhodná</w:t>
      </w:r>
      <w:r w:rsidR="008B1C43" w:rsidRPr="005C2CEC">
        <w:t>,</w:t>
      </w:r>
      <w:r w:rsidR="00F62B20" w:rsidRPr="005C2CEC">
        <w:t xml:space="preserve"> </w:t>
      </w:r>
      <w:r w:rsidR="001C367A" w:rsidRPr="005C2CEC">
        <w:rPr>
          <w:lang w:eastAsia="sk-SK"/>
        </w:rPr>
        <w:t>aby si Investor overil, či predpokladaná hodnota zákazky zodpovedá aktuálnej situácii na trhu (sú zohľadnené bežne poskytované zľavy, ceny nie sú nadhodnotené</w:t>
      </w:r>
      <w:r w:rsidR="001033D9" w:rsidRPr="005C2CEC">
        <w:rPr>
          <w:lang w:eastAsia="sk-SK"/>
        </w:rPr>
        <w:t xml:space="preserve"> </w:t>
      </w:r>
      <w:r w:rsidR="001033D9" w:rsidRPr="005C2CEC">
        <w:t>a pod.</w:t>
      </w:r>
      <w:r w:rsidR="001C367A" w:rsidRPr="005C2CEC">
        <w:rPr>
          <w:lang w:eastAsia="sk-SK"/>
        </w:rPr>
        <w:t>) a či je predmet zákazky schopný dodať dostatočne široký okruh uchádzačov.</w:t>
      </w:r>
    </w:p>
    <w:p w14:paraId="4362A50F" w14:textId="2D738413" w:rsidR="00FE3DFD" w:rsidRPr="005C2CEC" w:rsidRDefault="00FE3DFD" w:rsidP="00EB5390">
      <w:pPr>
        <w:pStyle w:val="Odsekzoznamu"/>
        <w:numPr>
          <w:ilvl w:val="0"/>
          <w:numId w:val="3"/>
        </w:numPr>
      </w:pPr>
      <w:r w:rsidRPr="005C2CEC">
        <w:t xml:space="preserve">Investor dá dôraz na kvalitu </w:t>
      </w:r>
      <w:r w:rsidR="007C76CF" w:rsidRPr="005C2CEC">
        <w:t>pripravovanej dokumentácie pre obstarávanie</w:t>
      </w:r>
      <w:r w:rsidRPr="005C2CEC">
        <w:t>. Dobre pripravené obstarávanie jednoznačne a zrozumiteľne uvádza predmet obstarávania a do jedného balíka spája len nevyhnutne súvisiace tovary, služby alebo práce.</w:t>
      </w:r>
      <w:r w:rsidR="007F7511" w:rsidRPr="005C2CEC">
        <w:t xml:space="preserve"> </w:t>
      </w:r>
      <w:r w:rsidR="00EB5390" w:rsidRPr="00EB5390">
        <w:t>Ak ide o nadlimitnú zákazku alebo nadlimitnú koncesiu, úplne alebo sčasti financovanú z prostriedkov Európskej únie</w:t>
      </w:r>
      <w:r w:rsidR="00EB5390">
        <w:t>,</w:t>
      </w:r>
      <w:r w:rsidR="00EB5390" w:rsidRPr="00EB5390">
        <w:t xml:space="preserve"> </w:t>
      </w:r>
      <w:r w:rsidR="00EB5390">
        <w:t>I</w:t>
      </w:r>
      <w:r w:rsidR="00EB5390" w:rsidRPr="00EB5390">
        <w:t>nvestor zváži dobrovoľné predloženie podkladov na ex-ante kontrolu ÚVO s cieľom vopred odstrániť čo najviac potenciálnych nedostatkov a zabrániť tak negatívnym dopadom nedostatočne pripravenej súťaže na cenu a konkurenciu v rámci projektu</w:t>
      </w:r>
      <w:r w:rsidR="007F7511" w:rsidRPr="005C2CEC">
        <w:t>.</w:t>
      </w:r>
    </w:p>
    <w:p w14:paraId="79F620DC" w14:textId="5E267CAA" w:rsidR="00F8494D" w:rsidRPr="005C2CEC" w:rsidRDefault="000779FF" w:rsidP="0087207E">
      <w:pPr>
        <w:pStyle w:val="Odsekzoznamu"/>
        <w:numPr>
          <w:ilvl w:val="0"/>
          <w:numId w:val="3"/>
        </w:numPr>
      </w:pPr>
      <w:r>
        <w:rPr>
          <w:lang w:eastAsia="sk-SK"/>
        </w:rPr>
        <w:t>Zodpovednosť za stanovenie predpokladanej hodnoty zákazky (ďalej len „PHZ“</w:t>
      </w:r>
      <w:r>
        <w:rPr>
          <w:lang w:eastAsia="sk-SK"/>
        </w:rPr>
        <w:br/>
        <w:t xml:space="preserve"> má obstarávateľ (Investor). </w:t>
      </w:r>
      <w:r w:rsidR="00F8494D" w:rsidRPr="005C2CEC">
        <w:rPr>
          <w:lang w:eastAsia="sk-SK"/>
        </w:rPr>
        <w:t xml:space="preserve">Investor </w:t>
      </w:r>
      <w:r>
        <w:rPr>
          <w:lang w:eastAsia="sk-SK"/>
        </w:rPr>
        <w:t xml:space="preserve">PHZ </w:t>
      </w:r>
      <w:r w:rsidR="00F8494D" w:rsidRPr="005C2CEC">
        <w:rPr>
          <w:lang w:eastAsia="sk-SK"/>
        </w:rPr>
        <w:t>stanoví na základe detailne zostaveného rozpočtu</w:t>
      </w:r>
      <w:r w:rsidR="000E6D12">
        <w:rPr>
          <w:lang w:eastAsia="sk-SK"/>
        </w:rPr>
        <w:t xml:space="preserve"> (napr. vo forme oceneného výkazu výmer)</w:t>
      </w:r>
      <w:r w:rsidR="00F8494D" w:rsidRPr="005C2CEC">
        <w:rPr>
          <w:lang w:eastAsia="sk-SK"/>
        </w:rPr>
        <w:t xml:space="preserve"> ako najlepší možný odhad podľa aktuálnych trhových cien</w:t>
      </w:r>
      <w:r w:rsidR="000E6D12">
        <w:rPr>
          <w:lang w:eastAsia="sk-SK"/>
        </w:rPr>
        <w:t xml:space="preserve"> pre rovnaký alebo porovnateľný predmet zákazky</w:t>
      </w:r>
      <w:r w:rsidR="00F8494D" w:rsidRPr="005C2CEC">
        <w:rPr>
          <w:lang w:eastAsia="sk-SK"/>
        </w:rPr>
        <w:t>. PHZ uvádza kvalifikovaný odhad hodnoty súťažen</w:t>
      </w:r>
      <w:r w:rsidR="009C18A5">
        <w:rPr>
          <w:lang w:eastAsia="sk-SK"/>
        </w:rPr>
        <w:t>ého predmetu</w:t>
      </w:r>
      <w:r w:rsidR="00F8494D" w:rsidRPr="005C2CEC">
        <w:rPr>
          <w:lang w:eastAsia="sk-SK"/>
        </w:rPr>
        <w:t xml:space="preserve"> zákazky, nie jej vrchnú hranicu.</w:t>
      </w:r>
      <w:r w:rsidR="00BB59F9" w:rsidRPr="005C2CEC">
        <w:rPr>
          <w:lang w:eastAsia="sk-SK"/>
        </w:rPr>
        <w:t xml:space="preserve"> Použitie </w:t>
      </w:r>
      <w:r w:rsidR="00ED0EA3" w:rsidRPr="005C2CEC">
        <w:rPr>
          <w:lang w:eastAsia="sk-SK"/>
        </w:rPr>
        <w:t>spoľahlivého</w:t>
      </w:r>
      <w:r w:rsidR="00BB59F9" w:rsidRPr="005C2CEC">
        <w:rPr>
          <w:lang w:eastAsia="sk-SK"/>
        </w:rPr>
        <w:t xml:space="preserve"> odhadu</w:t>
      </w:r>
      <w:r w:rsidR="0004000F" w:rsidRPr="005C2CEC">
        <w:rPr>
          <w:lang w:eastAsia="sk-SK"/>
        </w:rPr>
        <w:t xml:space="preserve"> PHZ </w:t>
      </w:r>
      <w:r w:rsidR="00BB59F9" w:rsidRPr="005C2CEC">
        <w:rPr>
          <w:lang w:eastAsia="sk-SK"/>
        </w:rPr>
        <w:t>má potenciál znížiť</w:t>
      </w:r>
      <w:r w:rsidR="0004000F" w:rsidRPr="005C2CEC">
        <w:rPr>
          <w:lang w:eastAsia="sk-SK"/>
        </w:rPr>
        <w:t xml:space="preserve"> ceny predkladané súťažiacimi v procese obstarávania</w:t>
      </w:r>
      <w:r w:rsidR="00BB59F9" w:rsidRPr="005C2CEC">
        <w:rPr>
          <w:lang w:eastAsia="sk-SK"/>
        </w:rPr>
        <w:t xml:space="preserve"> </w:t>
      </w:r>
      <w:r w:rsidR="00ED0EA3" w:rsidRPr="005C2CEC">
        <w:rPr>
          <w:lang w:val="en-US" w:eastAsia="sk-SK"/>
        </w:rPr>
        <w:t>komplexných prác v priemere</w:t>
      </w:r>
      <w:r w:rsidR="00ED0EA3" w:rsidRPr="005C2CEC">
        <w:rPr>
          <w:lang w:eastAsia="sk-SK"/>
        </w:rPr>
        <w:t xml:space="preserve"> </w:t>
      </w:r>
      <w:r w:rsidR="00BB59F9" w:rsidRPr="005C2CEC">
        <w:rPr>
          <w:lang w:eastAsia="sk-SK"/>
        </w:rPr>
        <w:t xml:space="preserve">až o 9 </w:t>
      </w:r>
      <w:r w:rsidR="00BB59F9" w:rsidRPr="005C2CEC">
        <w:rPr>
          <w:lang w:val="en-US" w:eastAsia="sk-SK"/>
        </w:rPr>
        <w:t>%</w:t>
      </w:r>
      <w:r w:rsidR="00BB59F9" w:rsidRPr="005C2CEC">
        <w:rPr>
          <w:rStyle w:val="Odkaznapoznmkupodiarou"/>
          <w:lang w:val="en-US" w:eastAsia="sk-SK"/>
        </w:rPr>
        <w:footnoteReference w:id="30"/>
      </w:r>
      <w:r w:rsidR="0004000F" w:rsidRPr="005C2CEC">
        <w:rPr>
          <w:lang w:eastAsia="sk-SK"/>
        </w:rPr>
        <w:t>.</w:t>
      </w:r>
      <w:r w:rsidR="006301D4">
        <w:rPr>
          <w:lang w:eastAsia="sk-SK"/>
        </w:rPr>
        <w:t xml:space="preserve"> Postup pri stanovení PHZ Investor transparentne zdokumentuje tak</w:t>
      </w:r>
      <w:r w:rsidR="00FC0387">
        <w:rPr>
          <w:lang w:eastAsia="sk-SK"/>
        </w:rPr>
        <w:t>,</w:t>
      </w:r>
      <w:r w:rsidR="006301D4">
        <w:rPr>
          <w:lang w:eastAsia="sk-SK"/>
        </w:rPr>
        <w:t xml:space="preserve"> aby vedel presvedčivo a objektívne preukázať určenie výšky PHZ.</w:t>
      </w:r>
    </w:p>
    <w:p w14:paraId="0D69EB93" w14:textId="77777777" w:rsidR="00B82950" w:rsidRDefault="00B82950" w:rsidP="0087207E">
      <w:pPr>
        <w:pStyle w:val="Odsekzoznamu"/>
        <w:numPr>
          <w:ilvl w:val="0"/>
          <w:numId w:val="3"/>
        </w:numPr>
      </w:pPr>
      <w:r>
        <w:t>Investor môže na tento účel požiadať o radu alebo prijať radu od nezávislých odborníkov, nezávislých inštitúcií alebo od účastníkov trhu, ktorú možno použiť pri plánovaní alebo realizácii postupu verejného obstarávania, ak sa ňou nenaruší hospodárska súťaž, ani neporuší princíp nediskriminácie a princíp transparentnosti.</w:t>
      </w:r>
    </w:p>
    <w:p w14:paraId="594E653B" w14:textId="5D6261AE" w:rsidR="007F7511" w:rsidRPr="005C2CEC" w:rsidRDefault="007F7511" w:rsidP="0087207E">
      <w:pPr>
        <w:pStyle w:val="Odsekzoznamu"/>
        <w:numPr>
          <w:ilvl w:val="0"/>
          <w:numId w:val="3"/>
        </w:numPr>
      </w:pPr>
      <w:r w:rsidRPr="005C2CEC">
        <w:t>Investor zváži vhodné použitie kvalitatívnych kritérií (tzv. MEAT criteria). Predložené ponuky je možné hodnotiť nielen podľa ceny, ale aj podľa ďalší kritérií vrátane kvalitatívnych (napr. environmentálne kritéri</w:t>
      </w:r>
      <w:r w:rsidR="00196492" w:rsidRPr="005C2CEC">
        <w:t>á</w:t>
      </w:r>
      <w:r w:rsidRPr="005C2CEC">
        <w:t xml:space="preserve">, </w:t>
      </w:r>
      <w:r w:rsidR="009F6E5C">
        <w:t xml:space="preserve">sociálne hľadisko, </w:t>
      </w:r>
      <w:r w:rsidRPr="005C2CEC">
        <w:t>životnosť obstarávaného tovaru či služby, dĺžka praxe a skúsenosti realizačného tímu a pod.).</w:t>
      </w:r>
      <w:r w:rsidR="00196492" w:rsidRPr="005C2CEC">
        <w:t xml:space="preserve"> Pre vybrané produktové skupiny </w:t>
      </w:r>
      <w:r w:rsidR="00A47568" w:rsidRPr="005C2CEC">
        <w:t xml:space="preserve">Investor </w:t>
      </w:r>
      <w:r w:rsidR="00196492" w:rsidRPr="005C2CEC">
        <w:t xml:space="preserve">pri obstarávaní </w:t>
      </w:r>
      <w:r w:rsidR="00A47568" w:rsidRPr="005C2CEC">
        <w:t>uplat</w:t>
      </w:r>
      <w:r w:rsidR="00B82950">
        <w:t>ní</w:t>
      </w:r>
      <w:r w:rsidR="00A47568" w:rsidRPr="005C2CEC">
        <w:t xml:space="preserve"> </w:t>
      </w:r>
      <w:r w:rsidR="00196492" w:rsidRPr="005C2CEC">
        <w:t>princípy zeleného verejného obstarávania</w:t>
      </w:r>
      <w:r w:rsidR="00196492" w:rsidRPr="005C2CEC">
        <w:rPr>
          <w:rStyle w:val="Odkaznapoznmkupodiarou"/>
        </w:rPr>
        <w:footnoteReference w:id="31"/>
      </w:r>
      <w:r w:rsidR="00196492" w:rsidRPr="005C2CEC">
        <w:t>.</w:t>
      </w:r>
    </w:p>
    <w:p w14:paraId="2EC5B644" w14:textId="77777777" w:rsidR="00B82950" w:rsidRDefault="007F7511" w:rsidP="0087207E">
      <w:pPr>
        <w:pStyle w:val="Odsekzoznamu"/>
        <w:numPr>
          <w:ilvl w:val="0"/>
          <w:numId w:val="3"/>
        </w:numPr>
      </w:pPr>
      <w:r w:rsidRPr="005C2CEC">
        <w:rPr>
          <w:lang w:eastAsia="sk-SK"/>
        </w:rPr>
        <w:t>Investor vopred nastaví transparentné hodnotiace kritériá použité pri vyhodnocovaní predložených ponúk.</w:t>
      </w:r>
    </w:p>
    <w:p w14:paraId="3E880BFA" w14:textId="68277221" w:rsidR="007F7511" w:rsidRPr="005C2CEC" w:rsidRDefault="00B82950" w:rsidP="0087207E">
      <w:pPr>
        <w:pStyle w:val="Odsekzoznamu"/>
        <w:numPr>
          <w:ilvl w:val="0"/>
          <w:numId w:val="3"/>
        </w:numPr>
      </w:pPr>
      <w:r>
        <w:t>Je odporúčané, aby Investor uverejnil predbežné oznámenie najskôr 12 mesiacov a najneskôr 35 dní pred dňom odoslania oznámenia o vyhlásení verejného obstarávania. Týmto opatrením vytvorí Investor dostatočný časový priestor pre prípravu technologických a ľudských kapacít pre realizáciu investičných zámerov.</w:t>
      </w:r>
      <w:r w:rsidR="007F7511" w:rsidRPr="005C2CEC">
        <w:rPr>
          <w:lang w:eastAsia="sk-SK"/>
        </w:rPr>
        <w:t xml:space="preserve"> </w:t>
      </w:r>
    </w:p>
    <w:p w14:paraId="36E7ACBB" w14:textId="4C9CB212" w:rsidR="00A67BFD" w:rsidRPr="005C2CEC" w:rsidRDefault="00996177" w:rsidP="00396391">
      <w:pPr>
        <w:pStyle w:val="Nadpis2"/>
      </w:pPr>
      <w:bookmarkStart w:id="148" w:name="_Ref56685496"/>
      <w:bookmarkStart w:id="149" w:name="_Toc83651087"/>
      <w:bookmarkStart w:id="150" w:name="_Ref45287999"/>
      <w:r w:rsidRPr="005C2CEC">
        <w:t xml:space="preserve">Hodnotenie </w:t>
      </w:r>
      <w:r w:rsidR="00963544" w:rsidRPr="005C2CEC">
        <w:t>investičného projektu</w:t>
      </w:r>
      <w:r w:rsidRPr="005C2CEC">
        <w:t xml:space="preserve"> pod </w:t>
      </w:r>
      <w:r w:rsidR="006077A0" w:rsidRPr="006077A0">
        <w:t xml:space="preserve">ustanovenou </w:t>
      </w:r>
      <w:r w:rsidRPr="005C2CEC">
        <w:t>hranicou</w:t>
      </w:r>
      <w:bookmarkEnd w:id="148"/>
      <w:bookmarkEnd w:id="149"/>
    </w:p>
    <w:p w14:paraId="008E40C6" w14:textId="0B5800B2" w:rsidR="00C1054E" w:rsidRDefault="00F33DB1" w:rsidP="00396391">
      <w:r w:rsidRPr="005C2CEC">
        <w:t xml:space="preserve">Pre účely hodnotenia investičného projektu s hodnotou pod </w:t>
      </w:r>
      <w:r w:rsidR="006077A0" w:rsidRPr="006077A0">
        <w:t xml:space="preserve">ustanovenou </w:t>
      </w:r>
      <w:r w:rsidRPr="005C2CEC">
        <w:t xml:space="preserve">hranicou a zároveň vyššou ako 1 mil. eur Investor </w:t>
      </w:r>
      <w:r w:rsidR="00F94E76">
        <w:t xml:space="preserve">najneskôr 30 </w:t>
      </w:r>
      <w:r w:rsidR="00BD05DB">
        <w:t xml:space="preserve">kalendárnych </w:t>
      </w:r>
      <w:r w:rsidR="00F94E76">
        <w:t xml:space="preserve">dní </w:t>
      </w:r>
      <w:r w:rsidR="001D5EB1" w:rsidRPr="005C2CEC">
        <w:t xml:space="preserve">pred </w:t>
      </w:r>
      <w:r w:rsidR="00C1054E">
        <w:t>jeho realizáciou</w:t>
      </w:r>
      <w:r w:rsidR="00C1054E" w:rsidRPr="00C1054E">
        <w:t xml:space="preserve"> </w:t>
      </w:r>
      <w:r w:rsidR="00C1054E">
        <w:t>zašle MF SR na adresu</w:t>
      </w:r>
      <w:r w:rsidR="00C1054E" w:rsidRPr="005C2CEC">
        <w:t xml:space="preserve"> </w:t>
      </w:r>
      <w:hyperlink r:id="rId64" w:history="1">
        <w:r w:rsidR="00C1054E" w:rsidRPr="005C2CEC">
          <w:rPr>
            <w:rStyle w:val="Hypertextovprepojenie"/>
          </w:rPr>
          <w:t>investicie.uhp@mfsr.sk</w:t>
        </w:r>
      </w:hyperlink>
      <w:r w:rsidR="00C1054E">
        <w:rPr>
          <w:rStyle w:val="Hypertextovprepojenie"/>
        </w:rPr>
        <w:t xml:space="preserve"> </w:t>
      </w:r>
      <w:r w:rsidR="00C1054E" w:rsidRPr="005C2CEC">
        <w:t xml:space="preserve">aktualizovaný investičný zámer, na základe ktorého bol investičný projekt zaradený do zásobníka investičných zámerov (podľa kapitoly </w:t>
      </w:r>
      <w:r w:rsidR="00C1054E" w:rsidRPr="005C2CEC">
        <w:fldChar w:fldCharType="begin"/>
      </w:r>
      <w:r w:rsidR="00C1054E" w:rsidRPr="005C2CEC">
        <w:instrText xml:space="preserve"> REF _Ref54876107 \r \h </w:instrText>
      </w:r>
      <w:r w:rsidR="00C1054E">
        <w:instrText xml:space="preserve"> \* MERGEFORMAT </w:instrText>
      </w:r>
      <w:r w:rsidR="00C1054E" w:rsidRPr="005C2CEC">
        <w:fldChar w:fldCharType="separate"/>
      </w:r>
      <w:r w:rsidR="000D2AF7">
        <w:t>3.2.1</w:t>
      </w:r>
      <w:r w:rsidR="00C1054E" w:rsidRPr="005C2CEC">
        <w:fldChar w:fldCharType="end"/>
      </w:r>
      <w:r w:rsidR="00C1054E" w:rsidRPr="005C2CEC">
        <w:t>)</w:t>
      </w:r>
      <w:r w:rsidR="00C1054E">
        <w:t xml:space="preserve">. </w:t>
      </w:r>
      <w:r w:rsidR="00A727AD">
        <w:t xml:space="preserve">V prípade okamžitého ohrozenia na zdraví alebo majetku investičný projekt, ktorý </w:t>
      </w:r>
      <w:r w:rsidR="00A727AD">
        <w:lastRenderedPageBreak/>
        <w:t xml:space="preserve">je pripravovaný </w:t>
      </w:r>
      <w:r w:rsidR="002467C5">
        <w:t>na odstránenie tohto stavu nepodlieha ekonomickému hodnoteniu MF SR.</w:t>
      </w:r>
      <w:r w:rsidR="00A727AD">
        <w:t xml:space="preserve"> </w:t>
      </w:r>
      <w:r w:rsidR="00C1054E">
        <w:t xml:space="preserve">Realizáciou investičného projektu pod ustanovenou hranicou sa pritom myslí jedna z nasledujúcich skutočností </w:t>
      </w:r>
      <w:r w:rsidR="00B6585C">
        <w:t>(</w:t>
      </w:r>
      <w:r w:rsidR="00C1054E">
        <w:t>podľa toho, ktorá nastane ako prvá</w:t>
      </w:r>
      <w:r w:rsidR="00B6585C">
        <w:t>)</w:t>
      </w:r>
      <w:r w:rsidR="00C1054E">
        <w:t>:</w:t>
      </w:r>
    </w:p>
    <w:p w14:paraId="0C88B37B" w14:textId="414D9D87" w:rsidR="00C1054E" w:rsidRDefault="001D5EB1" w:rsidP="00C1054E">
      <w:pPr>
        <w:pStyle w:val="Odsekzoznamu"/>
        <w:numPr>
          <w:ilvl w:val="0"/>
          <w:numId w:val="47"/>
        </w:numPr>
      </w:pPr>
      <w:r w:rsidRPr="005C2CEC">
        <w:t>vyhlásen</w:t>
      </w:r>
      <w:r w:rsidR="00C1054E">
        <w:t>ie</w:t>
      </w:r>
      <w:r w:rsidRPr="005C2CEC">
        <w:t xml:space="preserve"> </w:t>
      </w:r>
      <w:r w:rsidR="000D4F98">
        <w:t xml:space="preserve">verejného </w:t>
      </w:r>
      <w:r w:rsidRPr="005C2CEC">
        <w:t>obstarávania</w:t>
      </w:r>
      <w:r w:rsidR="00AB5B1A" w:rsidRPr="00AB5B1A">
        <w:t xml:space="preserve"> </w:t>
      </w:r>
      <w:r w:rsidR="00AB5B1A">
        <w:t xml:space="preserve">alebo ekvivalentného postupu obstarávania </w:t>
      </w:r>
      <w:r w:rsidR="00655EBF">
        <w:t xml:space="preserve">(napr. aj prostredníctvom dynamického nákupného systému) </w:t>
      </w:r>
      <w:r w:rsidR="00AB5B1A">
        <w:t>v zmysle aktuálne platného znenia zákona č. 343/2015 Z. z.</w:t>
      </w:r>
      <w:r w:rsidR="00AB5B1A" w:rsidRPr="005C2CEC">
        <w:t>, ktorého predmetom je realizácia investičného projektu</w:t>
      </w:r>
      <w:r w:rsidR="007B6FC8">
        <w:t>,</w:t>
      </w:r>
    </w:p>
    <w:p w14:paraId="20A65C50" w14:textId="3653D7AF" w:rsidR="00B6585C" w:rsidRDefault="00B6585C" w:rsidP="00B6585C">
      <w:pPr>
        <w:pStyle w:val="Odsekzoznamu"/>
        <w:numPr>
          <w:ilvl w:val="0"/>
          <w:numId w:val="47"/>
        </w:numPr>
      </w:pPr>
      <w:r>
        <w:t>zaslanie záväznej objednávky podľa rámcovej zmluvy,</w:t>
      </w:r>
      <w:r w:rsidR="00AB5B1A">
        <w:t xml:space="preserve"> ktorej predmetom je investičný projekt,</w:t>
      </w:r>
    </w:p>
    <w:p w14:paraId="19E30E88" w14:textId="7A30F2BB" w:rsidR="00C1054E" w:rsidRDefault="00C74F6C" w:rsidP="00C1054E">
      <w:pPr>
        <w:pStyle w:val="Odsekzoznamu"/>
        <w:numPr>
          <w:ilvl w:val="0"/>
          <w:numId w:val="47"/>
        </w:numPr>
      </w:pPr>
      <w:r>
        <w:t>predloženie</w:t>
      </w:r>
      <w:r w:rsidR="00A4715A">
        <w:t xml:space="preserve"> Žiadosti</w:t>
      </w:r>
      <w:r w:rsidR="00C1054E">
        <w:t xml:space="preserve"> </w:t>
      </w:r>
      <w:r w:rsidR="00A4715A">
        <w:t>o poskytnutie</w:t>
      </w:r>
      <w:r w:rsidR="00C1054E">
        <w:t xml:space="preserve"> nenávratného finančného príspevku</w:t>
      </w:r>
      <w:r w:rsidR="00AB5B1A">
        <w:t xml:space="preserve"> na investičný projekt</w:t>
      </w:r>
      <w:r w:rsidR="00B6585C">
        <w:t xml:space="preserve"> (v prípade financovania z fondov EÚ</w:t>
      </w:r>
      <w:r w:rsidR="0002441C">
        <w:t>, Plánu obnovy a odolnosti</w:t>
      </w:r>
      <w:r w:rsidR="00B6585C">
        <w:t xml:space="preserve"> alebo iných zahraničných zdrojov)</w:t>
      </w:r>
      <w:r w:rsidR="00C1054E">
        <w:t>,</w:t>
      </w:r>
    </w:p>
    <w:p w14:paraId="4746117A" w14:textId="16DB8949" w:rsidR="00C1054E" w:rsidRDefault="00C1054E" w:rsidP="00C1054E">
      <w:pPr>
        <w:pStyle w:val="Odsekzoznamu"/>
        <w:numPr>
          <w:ilvl w:val="0"/>
          <w:numId w:val="47"/>
        </w:numPr>
      </w:pPr>
      <w:r>
        <w:t>zaslanie požiadavky o rozpočtové opatrenie,</w:t>
      </w:r>
      <w:r w:rsidR="00AB5B1A">
        <w:t xml:space="preserve"> ktorého predmetom je investičný projekt,</w:t>
      </w:r>
    </w:p>
    <w:p w14:paraId="715FEBA7" w14:textId="30ED4293" w:rsidR="00C1054E" w:rsidRDefault="00C1054E" w:rsidP="00C1054E">
      <w:pPr>
        <w:pStyle w:val="Odsekzoznamu"/>
        <w:numPr>
          <w:ilvl w:val="0"/>
          <w:numId w:val="47"/>
        </w:numPr>
      </w:pPr>
      <w:r>
        <w:t>predloženie</w:t>
      </w:r>
      <w:r w:rsidR="00AB5B1A">
        <w:t xml:space="preserve"> investičného projektu</w:t>
      </w:r>
      <w:r>
        <w:t xml:space="preserve"> na rokovanie vlády SR (ak podlieha jej schváleniu).</w:t>
      </w:r>
    </w:p>
    <w:p w14:paraId="112255BC" w14:textId="2EF877FA" w:rsidR="00396391" w:rsidRPr="005C2CEC" w:rsidRDefault="00DC7F4A" w:rsidP="00396391">
      <w:r>
        <w:t xml:space="preserve">Investor predkladá investičný projekt na ekonomické hodnotenie MF SR iba jedenkrát (pred jednou zo skutočností uvedených v bodoch vyššie, ktorá nastane ako prvá). </w:t>
      </w:r>
      <w:r w:rsidR="00346ED1">
        <w:t>P</w:t>
      </w:r>
      <w:r w:rsidR="004503FE">
        <w:t>ri použití zmiešaných foriem financovania (návratného a nenávratného) podliehajú ekonomickému hodnoteniu MF SR iba investičné projekty, ktorých nenávratná časť financovania</w:t>
      </w:r>
      <w:r w:rsidR="00C57D1C">
        <w:t xml:space="preserve"> (napr. formou grantov)</w:t>
      </w:r>
      <w:r w:rsidR="004503FE">
        <w:t xml:space="preserve"> presiahla hodnotu 1 mil. eur.</w:t>
      </w:r>
    </w:p>
    <w:p w14:paraId="164B5708" w14:textId="0594521C" w:rsidR="00396391" w:rsidRPr="005C2CEC" w:rsidRDefault="00396391" w:rsidP="00396391">
      <w:r w:rsidRPr="005C2CEC">
        <w:t xml:space="preserve">Okrem aktualizovaného investičného zámeru Investor predloží na </w:t>
      </w:r>
      <w:r w:rsidR="00B6585C">
        <w:t xml:space="preserve">ekonomické </w:t>
      </w:r>
      <w:r w:rsidRPr="005C2CEC">
        <w:t>hodnotenie MF SR nasledujúce podklady:</w:t>
      </w:r>
    </w:p>
    <w:p w14:paraId="6356843A" w14:textId="77777777" w:rsidR="00396391" w:rsidRPr="005C2CEC" w:rsidRDefault="00396391" w:rsidP="00396391">
      <w:pPr>
        <w:pStyle w:val="Odsekzoznamu"/>
        <w:numPr>
          <w:ilvl w:val="0"/>
          <w:numId w:val="28"/>
        </w:numPr>
      </w:pPr>
      <w:r w:rsidRPr="005C2CEC">
        <w:t>detailný rozpočet vrátane všetkých podkladových informácií použitých pri jeho tvorbe (najmä zdrojové údaje pre stanovenie jednotkových cien),</w:t>
      </w:r>
    </w:p>
    <w:p w14:paraId="208BCD9B" w14:textId="382FBD65" w:rsidR="00523B6E" w:rsidRDefault="00523B6E" w:rsidP="00396391">
      <w:pPr>
        <w:pStyle w:val="Odsekzoznamu"/>
        <w:numPr>
          <w:ilvl w:val="0"/>
          <w:numId w:val="28"/>
        </w:numPr>
      </w:pPr>
      <w:r>
        <w:t>podklady ku kvalitatívnym kritériám, ktoré Investor plánuje použiť v procese obstarávania (ak Investor uplatňuje kvalitatívne kritériá),</w:t>
      </w:r>
    </w:p>
    <w:p w14:paraId="13A74B44" w14:textId="44DCACB4" w:rsidR="00523B6E" w:rsidRDefault="00523B6E" w:rsidP="00396391">
      <w:pPr>
        <w:pStyle w:val="Odsekzoznamu"/>
        <w:numPr>
          <w:ilvl w:val="0"/>
          <w:numId w:val="28"/>
        </w:numPr>
      </w:pPr>
      <w:r>
        <w:t>predpokladanú hodnotu zákazky</w:t>
      </w:r>
      <w:r w:rsidR="0042696F">
        <w:t xml:space="preserve"> a spôsob jej stanovenia</w:t>
      </w:r>
      <w:r>
        <w:t>,</w:t>
      </w:r>
    </w:p>
    <w:p w14:paraId="091B995D" w14:textId="786C894B" w:rsidR="00396391" w:rsidRDefault="00523B6E" w:rsidP="00396391">
      <w:pPr>
        <w:pStyle w:val="Odsekzoznamu"/>
        <w:numPr>
          <w:ilvl w:val="0"/>
          <w:numId w:val="28"/>
        </w:numPr>
      </w:pPr>
      <w:r>
        <w:t>v prípade potreby môže MF SR za účelom vypracovania ekonomického hodnotenia</w:t>
      </w:r>
      <w:r w:rsidR="008405EA">
        <w:t xml:space="preserve"> investičného projektu</w:t>
      </w:r>
      <w:r>
        <w:t xml:space="preserve"> od Investora vyžiadať aj ďalšiu </w:t>
      </w:r>
      <w:r w:rsidR="00396391" w:rsidRPr="005C2CEC">
        <w:t>dokumentáciu pre obstarávanie</w:t>
      </w:r>
      <w:r w:rsidR="00396391" w:rsidRPr="005C2CEC">
        <w:rPr>
          <w:rStyle w:val="Odkaznapoznmkupodiarou"/>
        </w:rPr>
        <w:footnoteReference w:id="32"/>
      </w:r>
      <w:r w:rsidR="00396391" w:rsidRPr="005C2CEC">
        <w:t>.</w:t>
      </w:r>
    </w:p>
    <w:p w14:paraId="76DC0AEA" w14:textId="05714F90" w:rsidR="002C2454" w:rsidRPr="005C2CEC" w:rsidRDefault="002233B5" w:rsidP="00450439">
      <w:r>
        <w:t xml:space="preserve">Akékoľvek informácie vyplývajúce z dokumentácie pre obstarávanie použije MF SR len pre účely vypracovania ekonomického hodnotenia investičného projektu. MF SR tieto informácie nezverejní, ani neposkytne tretej strane. </w:t>
      </w:r>
      <w:r w:rsidR="002C2454">
        <w:t>V prípade, ak informácie týkajúce sa prípravy investičného projektu podliehajú osobitnému režimu, budú za účelom ekonomického hodnotenia MF SR poskytnuté na základe uzatvorenej dohody o mlčanlivosti alebo na základe účasti MF SR v relevantnej pracovnej skupine.</w:t>
      </w:r>
    </w:p>
    <w:p w14:paraId="54CD06AF" w14:textId="4763B506" w:rsidR="001D5EB1" w:rsidRPr="005C2CEC" w:rsidRDefault="001D5EB1" w:rsidP="001D5EB1">
      <w:pPr>
        <w:pStyle w:val="Popis"/>
      </w:pPr>
      <w:bookmarkStart w:id="151" w:name="_Toc83651104"/>
      <w:r w:rsidRPr="005C2CEC">
        <w:lastRenderedPageBreak/>
        <w:t xml:space="preserve">Schéma </w:t>
      </w:r>
      <w:r w:rsidR="00E516AE">
        <w:fldChar w:fldCharType="begin"/>
      </w:r>
      <w:r w:rsidR="00E516AE">
        <w:instrText xml:space="preserve"> SEQ Schéma \* ARABIC </w:instrText>
      </w:r>
      <w:r w:rsidR="00E516AE">
        <w:fldChar w:fldCharType="separate"/>
      </w:r>
      <w:r w:rsidR="000D2AF7">
        <w:rPr>
          <w:noProof/>
        </w:rPr>
        <w:t>8</w:t>
      </w:r>
      <w:r w:rsidR="00E516AE">
        <w:rPr>
          <w:noProof/>
        </w:rPr>
        <w:fldChar w:fldCharType="end"/>
      </w:r>
      <w:r w:rsidRPr="005C2CEC">
        <w:t xml:space="preserve">: Hodnotenie </w:t>
      </w:r>
      <w:r w:rsidR="00963544" w:rsidRPr="005C2CEC">
        <w:t xml:space="preserve">investičného projektu </w:t>
      </w:r>
      <w:r w:rsidRPr="005C2CEC">
        <w:t xml:space="preserve">pod </w:t>
      </w:r>
      <w:r w:rsidR="006077A0" w:rsidRPr="006077A0">
        <w:t xml:space="preserve">ustanovenou </w:t>
      </w:r>
      <w:r w:rsidRPr="005C2CEC">
        <w:t>hranicou</w:t>
      </w:r>
      <w:bookmarkEnd w:id="151"/>
    </w:p>
    <w:p w14:paraId="055E9567" w14:textId="70FF61A2" w:rsidR="001D5EB1" w:rsidRDefault="00B6585C" w:rsidP="00F33DB1">
      <w:r>
        <w:rPr>
          <w:noProof/>
          <w:lang w:eastAsia="sk-SK"/>
        </w:rPr>
        <w:drawing>
          <wp:inline distT="0" distB="0" distL="0" distR="0" wp14:anchorId="1798A860" wp14:editId="13262B31">
            <wp:extent cx="4810125" cy="2387747"/>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816997" cy="2391158"/>
                    </a:xfrm>
                    <a:prstGeom prst="rect">
                      <a:avLst/>
                    </a:prstGeom>
                    <a:noFill/>
                  </pic:spPr>
                </pic:pic>
              </a:graphicData>
            </a:graphic>
          </wp:inline>
        </w:drawing>
      </w:r>
    </w:p>
    <w:p w14:paraId="0FD7CD0A" w14:textId="77777777" w:rsidR="00F33DB1" w:rsidRPr="005C2CEC" w:rsidRDefault="00F33DB1" w:rsidP="005A3A94">
      <w:pPr>
        <w:keepNext/>
      </w:pPr>
      <w:r w:rsidRPr="005C2CEC">
        <w:t>Aktualizovaný investičný zámer obsahuje:</w:t>
      </w:r>
    </w:p>
    <w:p w14:paraId="64E1A7D6" w14:textId="48E47C42" w:rsidR="00F33DB1" w:rsidRPr="005C2CEC" w:rsidRDefault="00F33DB1" w:rsidP="00F33DB1">
      <w:pPr>
        <w:pStyle w:val="Odsekzoznamu"/>
        <w:numPr>
          <w:ilvl w:val="0"/>
          <w:numId w:val="21"/>
        </w:numPr>
      </w:pPr>
      <w:r w:rsidRPr="005C2CEC">
        <w:t>jasné preukázanie súladu so sektorovou investičnou stratégiou</w:t>
      </w:r>
      <w:r w:rsidR="000E4C38">
        <w:t xml:space="preserve"> (príp. strategickým dokumentom, ak príslušné ministerstvo nemá povinnosť vypracovať sektorovú investičnú stratégiu)</w:t>
      </w:r>
      <w:r w:rsidRPr="005C2CEC">
        <w:t>,</w:t>
      </w:r>
    </w:p>
    <w:p w14:paraId="3FF0A737" w14:textId="10517512" w:rsidR="00F33DB1" w:rsidRPr="005C2CEC" w:rsidRDefault="00F33DB1" w:rsidP="00F33DB1">
      <w:pPr>
        <w:pStyle w:val="Odsekzoznamu"/>
        <w:numPr>
          <w:ilvl w:val="0"/>
          <w:numId w:val="21"/>
        </w:numPr>
      </w:pPr>
      <w:r w:rsidRPr="005C2CEC">
        <w:t>technickú špecifikáciu s odôvodnením potreby navrhovaného riešenia vrátane podkladov preukazujúcich preferenciu navrhovaného riešenia pred alternatívnym riešením,</w:t>
      </w:r>
    </w:p>
    <w:p w14:paraId="0E4BC718" w14:textId="05EA585F" w:rsidR="00F33DB1" w:rsidRPr="005C2CEC" w:rsidRDefault="00F33DB1" w:rsidP="00F33DB1">
      <w:pPr>
        <w:pStyle w:val="Odsekzoznamu"/>
        <w:numPr>
          <w:ilvl w:val="0"/>
          <w:numId w:val="21"/>
        </w:numPr>
      </w:pPr>
      <w:r w:rsidRPr="005C2CEC">
        <w:t>analýzu dopytu po navrhovanom riešení</w:t>
      </w:r>
      <w:r w:rsidR="009F6E5C">
        <w:t xml:space="preserve"> (resp. preukázanie dopytu po investícii kvantifikovanými metódami)</w:t>
      </w:r>
      <w:r w:rsidRPr="005C2CEC">
        <w:t>,</w:t>
      </w:r>
    </w:p>
    <w:p w14:paraId="0C219C98" w14:textId="77777777" w:rsidR="00F33DB1" w:rsidRPr="005C2CEC" w:rsidRDefault="00F33DB1" w:rsidP="00F33DB1">
      <w:pPr>
        <w:pStyle w:val="Odsekzoznamu"/>
        <w:numPr>
          <w:ilvl w:val="0"/>
          <w:numId w:val="21"/>
        </w:numPr>
      </w:pPr>
      <w:r w:rsidRPr="005C2CEC">
        <w:t>rámcový opis prínosov navrhovaného riešenia.</w:t>
      </w:r>
    </w:p>
    <w:p w14:paraId="64EF257A" w14:textId="1A01D3B8" w:rsidR="00F33DB1" w:rsidRPr="005C2CEC" w:rsidRDefault="00F33DB1" w:rsidP="00A67BFD">
      <w:r w:rsidRPr="005C2CEC">
        <w:t>V detailnom rozpočte Investor uvedie rozpočet výdavkov projektu na úrovni výkazu výmer, v ktorom sú vykonané práce a použité materiály uvedené po jednotlivých položkách v merných jednotkách s uvedeným počtom jednotiek pre každú položku, jednotkovou cenou za položk</w:t>
      </w:r>
      <w:r w:rsidR="004342A0" w:rsidRPr="005C2CEC">
        <w:t>u a referenciou na zdroj údajov</w:t>
      </w:r>
      <w:r w:rsidRPr="005C2CEC">
        <w:t xml:space="preserve"> ku každej jednotkovej cene.</w:t>
      </w:r>
      <w:r w:rsidR="0001795E">
        <w:t xml:space="preserve"> V odôvodnených prípadoch, keď výkaz výmer nie je k dispozícii (napr. pri obstarávaní podľa žltej knihy FIDIC), Investor uvedie rozpočet na najpodrobnejšej dostupnej úrovni.</w:t>
      </w:r>
    </w:p>
    <w:p w14:paraId="746233BB" w14:textId="596F57F5" w:rsidR="00B6585C" w:rsidRDefault="00005B92" w:rsidP="00B6585C">
      <w:pPr>
        <w:rPr>
          <w:iCs/>
        </w:rPr>
      </w:pPr>
      <w:r w:rsidRPr="00450439">
        <w:t>Pri investíciách financovaných z prostriedkov POO môže Investor preukázať potrebu investície a súlad investície so sektorovou stratégiou v zmysle uznesenia vlády SR č. 649/2020 skutočnosťou, že investícia je zahrnutá v POO</w:t>
      </w:r>
      <w:r w:rsidRPr="00005B92">
        <w:t>.</w:t>
      </w:r>
      <w:r>
        <w:t xml:space="preserve"> </w:t>
      </w:r>
      <w:r w:rsidR="00B6585C">
        <w:rPr>
          <w:iCs/>
        </w:rPr>
        <w:t xml:space="preserve">V prípade, že Investor nemôže z objektívnych dôvodov poskytnúť MF SR požadované podklady na ekonomické hodnotenie investičného projektu, ktorý je financovaný z fondov EÚ alebo iných zahraničných zdrojov, pred </w:t>
      </w:r>
      <w:r w:rsidR="00C74F6C">
        <w:rPr>
          <w:iCs/>
        </w:rPr>
        <w:t>predložením</w:t>
      </w:r>
      <w:r w:rsidR="00A4715A">
        <w:rPr>
          <w:iCs/>
        </w:rPr>
        <w:t xml:space="preserve"> Žiadosti o poskytnutie</w:t>
      </w:r>
      <w:r w:rsidR="00B6585C">
        <w:rPr>
          <w:iCs/>
        </w:rPr>
        <w:t xml:space="preserve"> NFP (napríklad z dôvodu, že ešte neexistuje podrobný rozpočet), môže poskytovateľ NFP určiť vykonanie ekonomického hodnotenia MF SR ako podmienku poskytnutia NFP v samotnej zmluve o</w:t>
      </w:r>
      <w:r w:rsidR="00C74F6C">
        <w:rPr>
          <w:iCs/>
        </w:rPr>
        <w:t xml:space="preserve"> poskytnutí</w:t>
      </w:r>
      <w:r w:rsidR="00B6585C">
        <w:rPr>
          <w:iCs/>
        </w:rPr>
        <w:t> NFP.</w:t>
      </w:r>
    </w:p>
    <w:p w14:paraId="7A514CB8" w14:textId="2CA7A350" w:rsidR="00B519B9" w:rsidRDefault="00B519B9" w:rsidP="00B519B9">
      <w:r w:rsidRPr="006835FD">
        <w:t>Pre koncesie s celkovou predpokladanou hodnotou rovnou alebo vyššou, ako je hodnota ustanovená osobitným predpisom</w:t>
      </w:r>
      <w:r>
        <w:rPr>
          <w:rStyle w:val="Odkaznapoznmkupodiarou"/>
        </w:rPr>
        <w:footnoteReference w:id="33"/>
      </w:r>
      <w:r w:rsidRPr="006835FD">
        <w:t xml:space="preserve"> a zároveň nižšou ako je </w:t>
      </w:r>
      <w:r>
        <w:t>ustanovená hranica</w:t>
      </w:r>
      <w:r w:rsidRPr="006835FD">
        <w:t xml:space="preserve"> Investor</w:t>
      </w:r>
      <w:r>
        <w:t xml:space="preserve"> nezverejňuje aktualizovaný investičný zámer, ale</w:t>
      </w:r>
      <w:r w:rsidRPr="006835FD">
        <w:t xml:space="preserve"> </w:t>
      </w:r>
      <w:r>
        <w:t>predloží MF SR š</w:t>
      </w:r>
      <w:r w:rsidRPr="006835FD">
        <w:t>túdiu uskutočniteľnosti</w:t>
      </w:r>
      <w:r>
        <w:t xml:space="preserve"> koncesie</w:t>
      </w:r>
      <w:r w:rsidRPr="006835FD">
        <w:t xml:space="preserve"> vy</w:t>
      </w:r>
      <w:r>
        <w:t xml:space="preserve">pracovanú v súlade s kapitolou </w:t>
      </w:r>
      <w:r>
        <w:fldChar w:fldCharType="begin"/>
      </w:r>
      <w:r>
        <w:instrText xml:space="preserve"> REF _Ref45287927 \r \h </w:instrText>
      </w:r>
      <w:r>
        <w:fldChar w:fldCharType="separate"/>
      </w:r>
      <w:r w:rsidR="000D2AF7">
        <w:t>4.2.1</w:t>
      </w:r>
      <w:r>
        <w:fldChar w:fldCharType="end"/>
      </w:r>
      <w:r>
        <w:t>.</w:t>
      </w:r>
    </w:p>
    <w:p w14:paraId="3CE70AB9" w14:textId="3630F267" w:rsidR="00A67BFD" w:rsidRPr="005C2CEC" w:rsidRDefault="00A67BFD" w:rsidP="00A67BFD">
      <w:r w:rsidRPr="005C2CEC">
        <w:t>Investor </w:t>
      </w:r>
      <w:r w:rsidR="005F0EFB" w:rsidRPr="005C2CEC">
        <w:t xml:space="preserve">predloží </w:t>
      </w:r>
      <w:r w:rsidRPr="005C2CEC">
        <w:t xml:space="preserve">MF SR </w:t>
      </w:r>
      <w:r w:rsidR="002506A8" w:rsidRPr="005C2CEC">
        <w:t xml:space="preserve">aktualizovaný investičný zámer a </w:t>
      </w:r>
      <w:r w:rsidRPr="005C2CEC">
        <w:t>úplné vyššie uvedené podklady</w:t>
      </w:r>
      <w:r w:rsidR="007D0727" w:rsidRPr="005C2CEC">
        <w:t xml:space="preserve"> v spracovateľnom formáte</w:t>
      </w:r>
      <w:r w:rsidR="007D0727" w:rsidRPr="005C2CEC">
        <w:rPr>
          <w:rStyle w:val="Odkaznapoznmkupodiarou"/>
        </w:rPr>
        <w:footnoteReference w:id="34"/>
      </w:r>
      <w:r w:rsidRPr="005C2CEC">
        <w:t xml:space="preserve"> najneskôr 30 </w:t>
      </w:r>
      <w:r w:rsidR="00BD05DB">
        <w:t xml:space="preserve">kalendárnych </w:t>
      </w:r>
      <w:r w:rsidRPr="005C2CEC">
        <w:t xml:space="preserve">dní pred zaslaním požiadavky o rozpočtové opatrenie. V prípade, že Investor </w:t>
      </w:r>
      <w:r w:rsidRPr="005C2CEC">
        <w:lastRenderedPageBreak/>
        <w:t xml:space="preserve">nežiada o rozpočtové opatrenie, aktualizovaný investičný zámer a </w:t>
      </w:r>
      <w:r w:rsidR="002506A8" w:rsidRPr="005C2CEC">
        <w:t>podklady predloží</w:t>
      </w:r>
      <w:r w:rsidR="005F0EFB" w:rsidRPr="005C2CEC">
        <w:t xml:space="preserve"> </w:t>
      </w:r>
      <w:r w:rsidRPr="005C2CEC">
        <w:t xml:space="preserve">MF SR najneskôr 30 </w:t>
      </w:r>
      <w:r w:rsidR="00BD05DB">
        <w:t xml:space="preserve">kalendárnych </w:t>
      </w:r>
      <w:r w:rsidRPr="005C2CEC">
        <w:t xml:space="preserve">dní pred vyhlásením obstarávania. </w:t>
      </w:r>
      <w:r w:rsidR="002506A8" w:rsidRPr="005C2CEC">
        <w:t>A</w:t>
      </w:r>
      <w:r w:rsidRPr="005C2CEC">
        <w:t>ktualizovan</w:t>
      </w:r>
      <w:r w:rsidR="002506A8" w:rsidRPr="005C2CEC">
        <w:t>ý</w:t>
      </w:r>
      <w:r w:rsidRPr="005C2CEC">
        <w:t xml:space="preserve"> investičn</w:t>
      </w:r>
      <w:r w:rsidR="002506A8" w:rsidRPr="005C2CEC">
        <w:t>ý zámer</w:t>
      </w:r>
      <w:r w:rsidRPr="005C2CEC">
        <w:t xml:space="preserve"> a požadované podklady Investor </w:t>
      </w:r>
      <w:r w:rsidR="005F0EFB" w:rsidRPr="005C2CEC">
        <w:t xml:space="preserve">zašle </w:t>
      </w:r>
      <w:r w:rsidRPr="005C2CEC">
        <w:t xml:space="preserve">MF SR na emailovú adresu: </w:t>
      </w:r>
      <w:hyperlink r:id="rId66" w:history="1">
        <w:r w:rsidRPr="005C2CEC">
          <w:rPr>
            <w:rStyle w:val="Hypertextovprepojenie"/>
          </w:rPr>
          <w:t>investicie.uhp@mfsr.sk</w:t>
        </w:r>
      </w:hyperlink>
      <w:r w:rsidRPr="005C2CEC">
        <w:t>.</w:t>
      </w:r>
    </w:p>
    <w:p w14:paraId="1E13837D" w14:textId="2F46CE1F" w:rsidR="00A67BFD" w:rsidRDefault="00A67BFD" w:rsidP="00A67BFD">
      <w:r w:rsidRPr="005C2CEC">
        <w:t xml:space="preserve">Pri hodnotení investičných projektov posudzuje MF SR najmä súlad investičného projektu s pravidlami </w:t>
      </w:r>
      <w:r w:rsidR="00197FD1" w:rsidRPr="005C2CEC">
        <w:t>sektorovej</w:t>
      </w:r>
      <w:r w:rsidR="002874C5" w:rsidRPr="005C2CEC">
        <w:t xml:space="preserve"> i</w:t>
      </w:r>
      <w:r w:rsidRPr="005C2CEC">
        <w:t xml:space="preserve">nvestičnej stratégie. MF SR </w:t>
      </w:r>
      <w:r w:rsidR="002506A8" w:rsidRPr="005C2CEC">
        <w:t>pripraví</w:t>
      </w:r>
      <w:r w:rsidRPr="005C2CEC">
        <w:t xml:space="preserve"> hodnotenie investičného projektu do 30 </w:t>
      </w:r>
      <w:r w:rsidR="00BD05DB">
        <w:t xml:space="preserve">kalendárnych </w:t>
      </w:r>
      <w:r w:rsidRPr="005C2CEC">
        <w:t>dní od predloženia všetkých vyžiadaných podkladov, alebo do 30</w:t>
      </w:r>
      <w:r w:rsidR="00BD05DB" w:rsidRPr="00BD05DB">
        <w:t xml:space="preserve"> </w:t>
      </w:r>
      <w:r w:rsidR="00BD05DB">
        <w:t>kalendárnych</w:t>
      </w:r>
      <w:r w:rsidRPr="005C2CEC">
        <w:t xml:space="preserve"> dní od doručenia oznámenia, v ktorom Investor informuje, že vyžiadané podklady z objektívnych príčin nemôže dodať (napr. ak podklady neboli pre daný investičný projekt vypracované). V prípade, že MF SR </w:t>
      </w:r>
      <w:r w:rsidR="002506A8" w:rsidRPr="005C2CEC">
        <w:t>nepripraví a nepošle Investorovi</w:t>
      </w:r>
      <w:r w:rsidRPr="005C2CEC">
        <w:t xml:space="preserve"> hodnotenie v uvedenej lehote 30 </w:t>
      </w:r>
      <w:r w:rsidR="00BD05DB">
        <w:t xml:space="preserve">kalendárnych </w:t>
      </w:r>
      <w:r w:rsidRPr="005C2CEC">
        <w:t xml:space="preserve">dní, </w:t>
      </w:r>
      <w:r w:rsidR="000A7190">
        <w:t xml:space="preserve">alebo ho nevyzve na doplnenie podkladov, </w:t>
      </w:r>
      <w:r w:rsidR="00FC3416">
        <w:t>považuje sa projekt za hodnotený</w:t>
      </w:r>
      <w:r w:rsidR="00FF24BB">
        <w:t xml:space="preserve"> a Investor môže pokračovať v príprave alebo realizácii investičného projektu</w:t>
      </w:r>
      <w:r w:rsidRPr="005C2CEC">
        <w:t>.</w:t>
      </w:r>
    </w:p>
    <w:p w14:paraId="4DE6A67B" w14:textId="6503345F" w:rsidR="003C709A" w:rsidRPr="005C2CEC" w:rsidRDefault="009D6460" w:rsidP="00A67BFD">
      <w:r>
        <w:t xml:space="preserve">V prípade, že výsledkom obstarávania je vysúťažená cena nad ustanovenou hranicou, predkladá Investor investičných projekt na hodnotenie podľa kapitoly </w:t>
      </w:r>
      <w:r>
        <w:fldChar w:fldCharType="begin"/>
      </w:r>
      <w:r>
        <w:instrText xml:space="preserve"> REF _Ref69751178 \r \h </w:instrText>
      </w:r>
      <w:r>
        <w:fldChar w:fldCharType="separate"/>
      </w:r>
      <w:r w:rsidR="000D2AF7">
        <w:t>5.3.2</w:t>
      </w:r>
      <w:r>
        <w:fldChar w:fldCharType="end"/>
      </w:r>
      <w:r>
        <w:t xml:space="preserve">. </w:t>
      </w:r>
      <w:r w:rsidR="003C709A">
        <w:t>Investičný projekt, ktorý podlieha schváleniu zo strany vlády, predloží Investor na ekonomické hodnotenie pred rokovaním vlády, na ktorom sa má investičný projekt schvaľovať.</w:t>
      </w:r>
    </w:p>
    <w:p w14:paraId="4EB118FE" w14:textId="35B19764" w:rsidR="00982296" w:rsidRPr="005C2CEC" w:rsidRDefault="00A67BFD" w:rsidP="00396391">
      <w:pPr>
        <w:pStyle w:val="Nadpis2"/>
      </w:pPr>
      <w:bookmarkStart w:id="152" w:name="_Ref55402643"/>
      <w:bookmarkStart w:id="153" w:name="_Toc83651088"/>
      <w:r w:rsidRPr="005C2CEC">
        <w:t>H</w:t>
      </w:r>
      <w:r w:rsidR="00982296" w:rsidRPr="005C2CEC">
        <w:t xml:space="preserve">odnotenie </w:t>
      </w:r>
      <w:bookmarkEnd w:id="150"/>
      <w:r w:rsidR="00963544" w:rsidRPr="005C2CEC">
        <w:t xml:space="preserve">investičného projektu </w:t>
      </w:r>
      <w:r w:rsidRPr="005C2CEC">
        <w:t xml:space="preserve">nad </w:t>
      </w:r>
      <w:r w:rsidR="006077A0" w:rsidRPr="006077A0">
        <w:t xml:space="preserve">ustanovenou </w:t>
      </w:r>
      <w:r w:rsidRPr="005C2CEC">
        <w:t>hranicou</w:t>
      </w:r>
      <w:bookmarkEnd w:id="152"/>
      <w:bookmarkEnd w:id="153"/>
    </w:p>
    <w:p w14:paraId="064B4DA9" w14:textId="0E79A7F3" w:rsidR="00396391" w:rsidRPr="005C2CEC" w:rsidRDefault="00396391" w:rsidP="00396391">
      <w:r w:rsidRPr="005C2CEC">
        <w:t xml:space="preserve">Investičné projekty s hodnotou nad </w:t>
      </w:r>
      <w:r w:rsidR="006077A0" w:rsidRPr="006077A0">
        <w:t xml:space="preserve">ustanovenou </w:t>
      </w:r>
      <w:r w:rsidRPr="005C2CEC">
        <w:t>hranicou</w:t>
      </w:r>
      <w:r w:rsidRPr="005C2CEC">
        <w:rPr>
          <w:rStyle w:val="Odkaznapoznmkupodiarou"/>
        </w:rPr>
        <w:footnoteReference w:id="35"/>
      </w:r>
      <w:r w:rsidRPr="005C2CEC">
        <w:t xml:space="preserve"> Investor pre účely hodnotenia zo strany MF SR zverejní pred vyhlásením </w:t>
      </w:r>
      <w:r w:rsidR="000D4F98">
        <w:t xml:space="preserve">verejného </w:t>
      </w:r>
      <w:r w:rsidRPr="005C2CEC">
        <w:t>obstarávania a pred rozhodnutím vytvárajúcim záväzok</w:t>
      </w:r>
      <w:r w:rsidRPr="005C2CEC">
        <w:rPr>
          <w:rStyle w:val="Odkaznapoznmkupodiarou"/>
        </w:rPr>
        <w:footnoteReference w:id="36"/>
      </w:r>
      <w:r w:rsidRPr="005C2CEC">
        <w:t>.</w:t>
      </w:r>
    </w:p>
    <w:p w14:paraId="4251EDDE" w14:textId="2C2C9B32" w:rsidR="00396391" w:rsidRPr="005C2CEC" w:rsidRDefault="00396391" w:rsidP="00396391">
      <w:pPr>
        <w:pStyle w:val="Popis"/>
      </w:pPr>
      <w:bookmarkStart w:id="154" w:name="_Toc83651105"/>
      <w:r w:rsidRPr="005C2CEC">
        <w:t xml:space="preserve">Schéma </w:t>
      </w:r>
      <w:r w:rsidR="00E516AE">
        <w:fldChar w:fldCharType="begin"/>
      </w:r>
      <w:r w:rsidR="00E516AE">
        <w:instrText xml:space="preserve"> SEQ Schéma \* ARABIC </w:instrText>
      </w:r>
      <w:r w:rsidR="00E516AE">
        <w:fldChar w:fldCharType="separate"/>
      </w:r>
      <w:r w:rsidR="000D2AF7">
        <w:rPr>
          <w:noProof/>
        </w:rPr>
        <w:t>9</w:t>
      </w:r>
      <w:r w:rsidR="00E516AE">
        <w:rPr>
          <w:noProof/>
        </w:rPr>
        <w:fldChar w:fldCharType="end"/>
      </w:r>
      <w:r w:rsidRPr="005C2CEC">
        <w:t xml:space="preserve">: Hodnotenie </w:t>
      </w:r>
      <w:r w:rsidR="00963544" w:rsidRPr="005C2CEC">
        <w:t xml:space="preserve">investičného projektu </w:t>
      </w:r>
      <w:r w:rsidRPr="005C2CEC">
        <w:t xml:space="preserve">nad </w:t>
      </w:r>
      <w:r w:rsidR="006077A0" w:rsidRPr="006077A0">
        <w:t xml:space="preserve">ustanovenou </w:t>
      </w:r>
      <w:r w:rsidRPr="005C2CEC">
        <w:t>hranicou</w:t>
      </w:r>
      <w:bookmarkEnd w:id="154"/>
    </w:p>
    <w:p w14:paraId="5C1F426D" w14:textId="77777777" w:rsidR="00396391" w:rsidRPr="005C2CEC" w:rsidRDefault="00396391" w:rsidP="00396391">
      <w:pPr>
        <w:spacing w:after="0"/>
      </w:pPr>
      <w:r w:rsidRPr="005C2CEC">
        <w:rPr>
          <w:noProof/>
          <w:lang w:eastAsia="sk-SK"/>
        </w:rPr>
        <w:drawing>
          <wp:inline distT="0" distB="0" distL="0" distR="0" wp14:anchorId="36443534" wp14:editId="71B9CB0D">
            <wp:extent cx="5724525" cy="2527645"/>
            <wp:effectExtent l="0" t="0" r="0" b="6350"/>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751708" cy="2539648"/>
                    </a:xfrm>
                    <a:prstGeom prst="rect">
                      <a:avLst/>
                    </a:prstGeom>
                    <a:noFill/>
                  </pic:spPr>
                </pic:pic>
              </a:graphicData>
            </a:graphic>
          </wp:inline>
        </w:drawing>
      </w:r>
    </w:p>
    <w:p w14:paraId="7FB09A88" w14:textId="65472B26" w:rsidR="00396391" w:rsidRPr="005C2CEC" w:rsidRDefault="00396391" w:rsidP="00396391">
      <w:pPr>
        <w:pStyle w:val="Nadpis3"/>
      </w:pPr>
      <w:bookmarkStart w:id="155" w:name="_Ref56686999"/>
      <w:r w:rsidRPr="005C2CEC">
        <w:t xml:space="preserve">Hodnotenie </w:t>
      </w:r>
      <w:r w:rsidR="00963544" w:rsidRPr="005C2CEC">
        <w:t xml:space="preserve">investičného projektu </w:t>
      </w:r>
      <w:r w:rsidRPr="005C2CEC">
        <w:t xml:space="preserve">nad </w:t>
      </w:r>
      <w:r w:rsidR="006077A0" w:rsidRPr="006077A0">
        <w:t xml:space="preserve">ustanovenou </w:t>
      </w:r>
      <w:r w:rsidRPr="005C2CEC">
        <w:t xml:space="preserve">hranicou pred vyhlásením </w:t>
      </w:r>
      <w:r w:rsidR="00DF4D6D">
        <w:t xml:space="preserve">verejného </w:t>
      </w:r>
      <w:r w:rsidRPr="005C2CEC">
        <w:t>obstarávania</w:t>
      </w:r>
      <w:bookmarkEnd w:id="155"/>
    </w:p>
    <w:p w14:paraId="33CEF9B9" w14:textId="77777777" w:rsidR="00393650" w:rsidRDefault="00934849" w:rsidP="00D710CA">
      <w:r w:rsidRPr="005C2CEC">
        <w:t xml:space="preserve">Najneskôr 30 </w:t>
      </w:r>
      <w:r w:rsidR="00BD05DB">
        <w:t xml:space="preserve">kalendárnych </w:t>
      </w:r>
      <w:r w:rsidRPr="005C2CEC">
        <w:t>dní p</w:t>
      </w:r>
      <w:r w:rsidR="00796BA1" w:rsidRPr="005C2CEC">
        <w:t xml:space="preserve">red vyhlásením </w:t>
      </w:r>
      <w:r w:rsidR="00ED0EA3" w:rsidRPr="005C2CEC">
        <w:t>verejného obstarávania</w:t>
      </w:r>
      <w:r w:rsidR="005127DE">
        <w:t xml:space="preserve"> alebo ekvivalentného postupu obstarávania v zmysle aktuálne platného znenia zákona č. 343/2015 Z. z.</w:t>
      </w:r>
      <w:r w:rsidRPr="005C2CEC">
        <w:t>, ktorého predmetom je realizácia investičného projektu</w:t>
      </w:r>
      <w:r w:rsidR="00796BA1" w:rsidRPr="005C2CEC">
        <w:t xml:space="preserve"> </w:t>
      </w:r>
      <w:r w:rsidR="005053ED" w:rsidRPr="005C2CEC">
        <w:t xml:space="preserve">s hodnotou nad </w:t>
      </w:r>
      <w:r w:rsidR="006077A0" w:rsidRPr="006077A0">
        <w:t xml:space="preserve">ustanovenou </w:t>
      </w:r>
      <w:r w:rsidR="005053ED" w:rsidRPr="005C2CEC">
        <w:t xml:space="preserve">hranicou </w:t>
      </w:r>
      <w:r w:rsidR="00796BA1" w:rsidRPr="005C2CEC">
        <w:t xml:space="preserve">Investor </w:t>
      </w:r>
      <w:r w:rsidR="002F16B4" w:rsidRPr="005C2CEC">
        <w:t>zverej</w:t>
      </w:r>
      <w:r w:rsidRPr="005C2CEC">
        <w:t>n</w:t>
      </w:r>
      <w:r w:rsidR="005F0EFB" w:rsidRPr="005C2CEC">
        <w:t>í</w:t>
      </w:r>
      <w:r w:rsidR="002F16B4" w:rsidRPr="005C2CEC">
        <w:t xml:space="preserve"> aktualizovanú štúdiu uskutočniteľnosti</w:t>
      </w:r>
      <w:r w:rsidR="0019150A" w:rsidRPr="005C2CEC">
        <w:t xml:space="preserve"> </w:t>
      </w:r>
      <w:r w:rsidR="002F16B4" w:rsidRPr="005C2CEC">
        <w:t>a</w:t>
      </w:r>
      <w:r w:rsidRPr="005C2CEC">
        <w:t> oznámi túto skutočnosť MF SR.</w:t>
      </w:r>
      <w:r w:rsidR="00ED0EA3" w:rsidRPr="005C2CEC">
        <w:t xml:space="preserve"> </w:t>
      </w:r>
      <w:r w:rsidR="007967E0">
        <w:t xml:space="preserve">Aktualizáciu štúdie uskutočniteľnosti môže Investor </w:t>
      </w:r>
      <w:r w:rsidR="008F3287">
        <w:t>realizovať</w:t>
      </w:r>
      <w:r w:rsidR="007967E0">
        <w:t xml:space="preserve"> aj vo forme </w:t>
      </w:r>
      <w:r w:rsidR="008F3287">
        <w:t xml:space="preserve">zverejnenia </w:t>
      </w:r>
      <w:r w:rsidR="007967E0">
        <w:t xml:space="preserve">samostatného dokumentu, v ktorom opíše relevantné zmeny, ktoré nastali od predošlej </w:t>
      </w:r>
      <w:r w:rsidR="007967E0">
        <w:lastRenderedPageBreak/>
        <w:t>zverejnenej verzie (napr. zmeny v prínosoch a nákladoch projektu)</w:t>
      </w:r>
      <w:r w:rsidR="00453A12">
        <w:t xml:space="preserve"> podľa prílohy 6</w:t>
      </w:r>
      <w:r w:rsidR="007967E0">
        <w:t>.</w:t>
      </w:r>
      <w:r w:rsidRPr="005C2CEC">
        <w:t xml:space="preserve"> </w:t>
      </w:r>
      <w:r w:rsidR="00393650">
        <w:t xml:space="preserve">Rozsah aktualizácie štúdie uskutočniteľnosti závisí od zmien, ktoré nastali od zverejnenia pôvodnej verzie. </w:t>
      </w:r>
      <w:r w:rsidR="00393650" w:rsidRPr="005C2CEC">
        <w:t>V rámci aktualizácie štúdie uskutočniteľnosti Investor pre zvolenú alternatívu skontroluje a v prípade potreby prehodnotí</w:t>
      </w:r>
      <w:r w:rsidR="00393650">
        <w:t xml:space="preserve"> vstupné predpoklady,</w:t>
      </w:r>
      <w:r w:rsidR="00393650" w:rsidRPr="005C2CEC">
        <w:t xml:space="preserve"> kalkulované prínosy, riziká a použité prognózy </w:t>
      </w:r>
      <w:r w:rsidR="00393650">
        <w:t xml:space="preserve">pre vybranú alternatívu </w:t>
      </w:r>
      <w:r w:rsidR="00393650" w:rsidRPr="005C2CEC">
        <w:t>tak, aby zodpovedali aktuálnym okolnostiam.</w:t>
      </w:r>
    </w:p>
    <w:p w14:paraId="4B3DD603" w14:textId="35F4F09F" w:rsidR="00ED0EA3" w:rsidRPr="005C2CEC" w:rsidRDefault="00393650" w:rsidP="00D710CA">
      <w:r>
        <w:t>V prípade zásadných zmien, ako je výrazné navýšenie nákladov, zmeny technického riešenia alebo neaktuálnosti štúdie uskutočniteľnosti pristúpi investor ku komplexnej aktualizácii štúdie uskutočniteľnosti. V prípade potreby vypracovania komplexnej aktualizácie štúdie posiela Investor z</w:t>
      </w:r>
      <w:r w:rsidRPr="005C2CEC">
        <w:t xml:space="preserve">a účelom zrýchlenia procesu hodnotenia </w:t>
      </w:r>
      <w:r w:rsidR="007D0727" w:rsidRPr="005C2CEC">
        <w:t>aktualizovanú štúdiu uskutočniteľnosti vrátane všetkých jej príloh v spracovateľnom formáte</w:t>
      </w:r>
      <w:r w:rsidR="007F5147" w:rsidRPr="005C2CEC">
        <w:rPr>
          <w:rStyle w:val="Odkaznapoznmkupodiarou"/>
        </w:rPr>
        <w:footnoteReference w:id="37"/>
      </w:r>
      <w:r w:rsidR="007D0727" w:rsidRPr="005C2CEC">
        <w:t>.</w:t>
      </w:r>
      <w:r w:rsidR="002C2454">
        <w:t xml:space="preserve"> </w:t>
      </w:r>
      <w:r>
        <w:t>Pre tieto prípady</w:t>
      </w:r>
      <w:r w:rsidRPr="005C2CEC">
        <w:t xml:space="preserve"> </w:t>
      </w:r>
      <w:r>
        <w:t xml:space="preserve">je nevyhnutné aby investor preventívne zabezpečil možnosť prípadných úprav štúdie (interne alebo externe) v návrhu </w:t>
      </w:r>
      <w:r w:rsidR="002C2454">
        <w:t>zmluvného vzťahu s dodávateľom (napr. požadovať od dodávateľa predloženie štúdie a jej príloh aj v spracovateľnom formáte za účelom úpravy vybraných vstupných parametrov alebo korekcie použitých vzorcov)</w:t>
      </w:r>
      <w:r w:rsidR="002C2454" w:rsidRPr="005C2CEC">
        <w:t>.</w:t>
      </w:r>
    </w:p>
    <w:p w14:paraId="2B732B4F" w14:textId="19C31AE2" w:rsidR="00C80606" w:rsidRDefault="00873BB5" w:rsidP="00D710CA">
      <w:r>
        <w:t>V prípade, že od pôvodnej verzie štúdie uskutočniteľnosti nenastali zmeny s dopadom na spoločensko-ekonomické parametre investičného projektu, Investor informuje MF SR o aktuálnosti pôvodnej verzie.</w:t>
      </w:r>
      <w:r w:rsidR="00C80606">
        <w:t xml:space="preserve"> Pri stanovení potreby a rozsahu aktualizácie štúdie uskutočniteľnosti sa Investor môže koordinovať s MF SR.</w:t>
      </w:r>
    </w:p>
    <w:p w14:paraId="4F77B09A" w14:textId="77824C4A" w:rsidR="0042696F" w:rsidRPr="002B5DC4" w:rsidRDefault="00934849" w:rsidP="00D710CA">
      <w:r w:rsidRPr="002B5DC4">
        <w:t xml:space="preserve">Investor zároveň </w:t>
      </w:r>
      <w:r w:rsidR="00A47568" w:rsidRPr="002B5DC4">
        <w:t>zašle</w:t>
      </w:r>
      <w:r w:rsidR="00523B6E" w:rsidRPr="002B5DC4">
        <w:t xml:space="preserve"> MF SR </w:t>
      </w:r>
      <w:r w:rsidR="0042696F" w:rsidRPr="002B5DC4">
        <w:t xml:space="preserve">predpokladanú hodnotu zákazky a spôsob jej stanovenia, a </w:t>
      </w:r>
      <w:r w:rsidR="00523B6E" w:rsidRPr="002B5DC4">
        <w:t xml:space="preserve">kvalitatívne kritériá, ak boli použité pri obstarávaní, </w:t>
      </w:r>
      <w:r w:rsidR="0042696F" w:rsidRPr="002B5DC4">
        <w:t>za účelom vyhodnoteni</w:t>
      </w:r>
      <w:r w:rsidR="000D4F98">
        <w:t>a ich ekonomickej efektívnosti.</w:t>
      </w:r>
      <w:r w:rsidR="00DD63F8">
        <w:t xml:space="preserve"> </w:t>
      </w:r>
      <w:r w:rsidR="0042696F" w:rsidRPr="002B5DC4">
        <w:t>V prípade potreby môže MF SR</w:t>
      </w:r>
      <w:r w:rsidR="007C6FA0" w:rsidRPr="002B5DC4">
        <w:t>,</w:t>
      </w:r>
      <w:r w:rsidR="0042696F" w:rsidRPr="002B5DC4">
        <w:t xml:space="preserve"> za účelom vypracovania ekonomického hodnotenia pre investičný projekt</w:t>
      </w:r>
      <w:r w:rsidR="007C6FA0" w:rsidRPr="002B5DC4">
        <w:t>,</w:t>
      </w:r>
      <w:r w:rsidR="0042696F" w:rsidRPr="002B5DC4">
        <w:t xml:space="preserve"> od Investora vyžiadať aj ďalšiu dokumentáciu pre obstarávanie.</w:t>
      </w:r>
    </w:p>
    <w:p w14:paraId="6859881A" w14:textId="6CCB7F31" w:rsidR="00E6346D" w:rsidRPr="005C2CEC" w:rsidRDefault="00523B6E" w:rsidP="00D710CA">
      <w:r>
        <w:t xml:space="preserve">Predmetom aktualizácie ekonomického hodnotenia </w:t>
      </w:r>
      <w:r w:rsidR="00376F78" w:rsidRPr="005C2CEC">
        <w:t>MF SR</w:t>
      </w:r>
      <w:r>
        <w:t xml:space="preserve"> je najmä kontrola </w:t>
      </w:r>
      <w:r w:rsidR="00D710CA" w:rsidRPr="005C2CEC">
        <w:t>stanoven</w:t>
      </w:r>
      <w:r>
        <w:t>ej</w:t>
      </w:r>
      <w:r w:rsidR="00D710CA" w:rsidRPr="005C2CEC">
        <w:t xml:space="preserve"> </w:t>
      </w:r>
      <w:r w:rsidR="002E1F3A" w:rsidRPr="005C2CEC">
        <w:t>PHZ</w:t>
      </w:r>
      <w:r w:rsidR="002C44EC" w:rsidRPr="005C2CEC">
        <w:t xml:space="preserve">, </w:t>
      </w:r>
      <w:r>
        <w:t>zmluvných podmienok</w:t>
      </w:r>
      <w:r w:rsidR="002C44EC" w:rsidRPr="005C2CEC">
        <w:t>, zmluvn</w:t>
      </w:r>
      <w:r w:rsidR="002B5DC4">
        <w:t>e</w:t>
      </w:r>
      <w:r>
        <w:t>j</w:t>
      </w:r>
      <w:r w:rsidR="002C44EC" w:rsidRPr="005C2CEC">
        <w:t xml:space="preserve"> úprav</w:t>
      </w:r>
      <w:r>
        <w:t>y</w:t>
      </w:r>
      <w:r w:rsidR="002C44EC" w:rsidRPr="005C2CEC">
        <w:t xml:space="preserve"> prenosu rizík vyplývajúcich z plnenia predmetu zmluvy</w:t>
      </w:r>
      <w:r w:rsidR="00D710CA" w:rsidRPr="005C2CEC">
        <w:t xml:space="preserve"> a zapracovanie</w:t>
      </w:r>
      <w:r w:rsidR="00982296" w:rsidRPr="005C2CEC">
        <w:t xml:space="preserve"> odporúčaní </w:t>
      </w:r>
      <w:r w:rsidR="00D710CA" w:rsidRPr="005C2CEC">
        <w:t>MF SR vyplývajúcich z</w:t>
      </w:r>
      <w:r>
        <w:t xml:space="preserve"> predošlého </w:t>
      </w:r>
      <w:r w:rsidR="00982296" w:rsidRPr="005C2CEC">
        <w:t>ekonomického hodnotenia projektu</w:t>
      </w:r>
      <w:r w:rsidR="00D710CA" w:rsidRPr="005C2CEC">
        <w:t>.</w:t>
      </w:r>
      <w:r w:rsidR="002E1F3A" w:rsidRPr="005C2CEC">
        <w:t xml:space="preserve"> </w:t>
      </w:r>
      <w:r w:rsidR="00E018C9" w:rsidRPr="005C2CEC">
        <w:t>Zapracovanie</w:t>
      </w:r>
      <w:r w:rsidR="002E1F3A" w:rsidRPr="005C2CEC">
        <w:t xml:space="preserve"> odporúčaní z ekonomického hodnotenia </w:t>
      </w:r>
      <w:r w:rsidR="00E018C9" w:rsidRPr="005C2CEC">
        <w:t>MF SR Investor preukáže prostredníctvom odpočtu jednotlivých odporúčaní s uvedením formy a stavu ich zapracovania.</w:t>
      </w:r>
    </w:p>
    <w:p w14:paraId="0F5B8F54" w14:textId="1950C738" w:rsidR="008A4E12" w:rsidRPr="005C2CEC" w:rsidRDefault="00E6346D" w:rsidP="00D710CA">
      <w:r w:rsidRPr="005C2CEC">
        <w:t xml:space="preserve">MF SR do 30 </w:t>
      </w:r>
      <w:r w:rsidR="00BD05DB">
        <w:t xml:space="preserve">kalendárnych </w:t>
      </w:r>
      <w:r w:rsidRPr="005C2CEC">
        <w:t xml:space="preserve">dní </w:t>
      </w:r>
      <w:r w:rsidR="006F20E4" w:rsidRPr="005C2CEC">
        <w:t xml:space="preserve">od predloženia </w:t>
      </w:r>
      <w:r w:rsidR="00376F78" w:rsidRPr="005C2CEC">
        <w:t>všetkých vyžiadaných podkladov</w:t>
      </w:r>
      <w:r w:rsidR="006F20E4" w:rsidRPr="005C2CEC">
        <w:t xml:space="preserve"> </w:t>
      </w:r>
      <w:r w:rsidRPr="005C2CEC">
        <w:t>aktualiz</w:t>
      </w:r>
      <w:r w:rsidR="0092546B" w:rsidRPr="005C2CEC">
        <w:t>uje</w:t>
      </w:r>
      <w:r w:rsidRPr="005C2CEC">
        <w:t xml:space="preserve"> </w:t>
      </w:r>
      <w:r w:rsidR="00B7407C" w:rsidRPr="005C2CEC">
        <w:t>ekonomické hodnotenie</w:t>
      </w:r>
      <w:r w:rsidRPr="005C2CEC">
        <w:t xml:space="preserve">. </w:t>
      </w:r>
      <w:r w:rsidR="00D710CA" w:rsidRPr="005C2CEC">
        <w:t xml:space="preserve">V prípade </w:t>
      </w:r>
      <w:r w:rsidR="00E018C9" w:rsidRPr="005C2CEC">
        <w:t>zisteného nepomeru medzi PHZ a súčasnou situáciou na trhu</w:t>
      </w:r>
      <w:r w:rsidR="002F749C">
        <w:t xml:space="preserve"> v zmysle § 6 zákona č. 343/2015 Z. z.</w:t>
      </w:r>
      <w:r w:rsidR="00E018C9" w:rsidRPr="005C2CEC">
        <w:t xml:space="preserve"> môže</w:t>
      </w:r>
      <w:r w:rsidR="00D710CA" w:rsidRPr="005C2CEC">
        <w:t xml:space="preserve"> MF SR</w:t>
      </w:r>
      <w:r w:rsidR="00E018C9" w:rsidRPr="005C2CEC">
        <w:t xml:space="preserve"> </w:t>
      </w:r>
      <w:r w:rsidR="002F749C">
        <w:t>upozorniť</w:t>
      </w:r>
      <w:r w:rsidR="002F749C" w:rsidRPr="005C2CEC">
        <w:t xml:space="preserve"> </w:t>
      </w:r>
      <w:r w:rsidR="00E018C9" w:rsidRPr="005C2CEC">
        <w:t>Investora</w:t>
      </w:r>
      <w:r w:rsidR="00D710CA" w:rsidRPr="005C2CEC">
        <w:t xml:space="preserve"> </w:t>
      </w:r>
      <w:r w:rsidR="00E018C9" w:rsidRPr="005C2CEC">
        <w:t xml:space="preserve">na </w:t>
      </w:r>
      <w:r w:rsidR="002F749C">
        <w:t xml:space="preserve">túto skutočnosť a potrebu </w:t>
      </w:r>
      <w:r w:rsidR="00E018C9" w:rsidRPr="005C2CEC">
        <w:t>aktualizáci</w:t>
      </w:r>
      <w:r w:rsidR="002F749C">
        <w:t>e</w:t>
      </w:r>
      <w:r w:rsidR="00E018C9" w:rsidRPr="005C2CEC">
        <w:t xml:space="preserve"> </w:t>
      </w:r>
      <w:r w:rsidR="008A4E12" w:rsidRPr="005C2CEC">
        <w:rPr>
          <w:lang w:eastAsia="sk-SK"/>
        </w:rPr>
        <w:t>PHZ</w:t>
      </w:r>
      <w:r w:rsidR="00E018C9" w:rsidRPr="005C2CEC">
        <w:rPr>
          <w:lang w:eastAsia="sk-SK"/>
        </w:rPr>
        <w:t xml:space="preserve">. </w:t>
      </w:r>
      <w:r w:rsidR="002F749C">
        <w:rPr>
          <w:lang w:eastAsia="sk-SK"/>
        </w:rPr>
        <w:t xml:space="preserve">V </w:t>
      </w:r>
      <w:r w:rsidR="00E018C9" w:rsidRPr="005C2CEC">
        <w:rPr>
          <w:lang w:eastAsia="sk-SK"/>
        </w:rPr>
        <w:t>prípade prehodnot</w:t>
      </w:r>
      <w:r w:rsidR="002F749C">
        <w:rPr>
          <w:lang w:eastAsia="sk-SK"/>
        </w:rPr>
        <w:t>enia</w:t>
      </w:r>
      <w:r w:rsidR="00E018C9" w:rsidRPr="005C2CEC">
        <w:rPr>
          <w:lang w:eastAsia="sk-SK"/>
        </w:rPr>
        <w:t xml:space="preserve"> PHZ</w:t>
      </w:r>
      <w:r w:rsidR="008A4E12" w:rsidRPr="005C2CEC">
        <w:rPr>
          <w:lang w:eastAsia="sk-SK"/>
        </w:rPr>
        <w:t xml:space="preserve"> po</w:t>
      </w:r>
      <w:r w:rsidR="00D710CA" w:rsidRPr="005C2CEC">
        <w:rPr>
          <w:lang w:eastAsia="sk-SK"/>
        </w:rPr>
        <w:t xml:space="preserve">dľa aktuálnej situácie na trhu </w:t>
      </w:r>
      <w:r w:rsidR="00C150D6">
        <w:rPr>
          <w:lang w:eastAsia="sk-SK"/>
        </w:rPr>
        <w:t>Investor</w:t>
      </w:r>
      <w:r w:rsidR="00C150D6" w:rsidRPr="005C2CEC">
        <w:rPr>
          <w:lang w:eastAsia="sk-SK"/>
        </w:rPr>
        <w:t xml:space="preserve"> </w:t>
      </w:r>
      <w:r w:rsidR="00D710CA" w:rsidRPr="005C2CEC">
        <w:rPr>
          <w:lang w:eastAsia="sk-SK"/>
        </w:rPr>
        <w:t>uvedie</w:t>
      </w:r>
      <w:r w:rsidR="008A4E12" w:rsidRPr="005C2CEC">
        <w:rPr>
          <w:lang w:eastAsia="sk-SK"/>
        </w:rPr>
        <w:t xml:space="preserve"> odkaz na zdroje, podľa ktorých bola PHZ prehodnocovaná</w:t>
      </w:r>
      <w:r w:rsidR="00D710CA" w:rsidRPr="005C2CEC">
        <w:rPr>
          <w:lang w:eastAsia="sk-SK"/>
        </w:rPr>
        <w:t>.</w:t>
      </w:r>
      <w:r w:rsidR="00C150D6">
        <w:rPr>
          <w:lang w:eastAsia="sk-SK"/>
        </w:rPr>
        <w:t xml:space="preserve"> Ak Investor PHZ</w:t>
      </w:r>
      <w:r w:rsidR="00C150D6" w:rsidRPr="00C150D6">
        <w:rPr>
          <w:lang w:eastAsia="sk-SK"/>
        </w:rPr>
        <w:t xml:space="preserve"> </w:t>
      </w:r>
      <w:r w:rsidR="00C150D6">
        <w:rPr>
          <w:lang w:eastAsia="sk-SK"/>
        </w:rPr>
        <w:t>nezverejňuje</w:t>
      </w:r>
      <w:r w:rsidR="007C6FA0">
        <w:rPr>
          <w:rStyle w:val="Odkaznapoznmkupodiarou"/>
          <w:lang w:eastAsia="sk-SK"/>
        </w:rPr>
        <w:footnoteReference w:id="38"/>
      </w:r>
      <w:r w:rsidR="00C150D6">
        <w:rPr>
          <w:lang w:eastAsia="sk-SK"/>
        </w:rPr>
        <w:t xml:space="preserve"> zašle uvedené informácie MF SR.</w:t>
      </w:r>
    </w:p>
    <w:p w14:paraId="2B775D87" w14:textId="329B4FC0" w:rsidR="00982296" w:rsidRPr="005C2CEC" w:rsidRDefault="00396391" w:rsidP="00396391">
      <w:pPr>
        <w:pStyle w:val="Nadpis3"/>
      </w:pPr>
      <w:bookmarkStart w:id="156" w:name="_Ref45288008"/>
      <w:bookmarkStart w:id="157" w:name="_Toc46415578"/>
      <w:bookmarkStart w:id="158" w:name="_Ref69751178"/>
      <w:r w:rsidRPr="005C2CEC">
        <w:t>H</w:t>
      </w:r>
      <w:r w:rsidR="008A0F03" w:rsidRPr="005C2CEC">
        <w:t xml:space="preserve">odnotenie </w:t>
      </w:r>
      <w:r w:rsidR="00963544" w:rsidRPr="005C2CEC">
        <w:t xml:space="preserve">investičného projektu </w:t>
      </w:r>
      <w:r w:rsidRPr="005C2CEC">
        <w:t xml:space="preserve">nad </w:t>
      </w:r>
      <w:r w:rsidR="006077A0" w:rsidRPr="006077A0">
        <w:t xml:space="preserve">ustanovenou </w:t>
      </w:r>
      <w:r w:rsidRPr="005C2CEC">
        <w:t xml:space="preserve">hranicou </w:t>
      </w:r>
      <w:r w:rsidR="00406479" w:rsidRPr="005C2CEC">
        <w:t xml:space="preserve">pred </w:t>
      </w:r>
      <w:bookmarkEnd w:id="156"/>
      <w:bookmarkEnd w:id="157"/>
      <w:r w:rsidR="006F20E4" w:rsidRPr="005C2CEC">
        <w:t>vznikom záväzku</w:t>
      </w:r>
      <w:bookmarkEnd w:id="158"/>
    </w:p>
    <w:p w14:paraId="6C7EA4F6" w14:textId="4A72BAEC" w:rsidR="0045482F" w:rsidRDefault="00A47568" w:rsidP="00D710CA">
      <w:r w:rsidRPr="005C2CEC">
        <w:t>Pred prijatím rozhodnutia vytvárajúceho záväzok</w:t>
      </w:r>
      <w:r w:rsidRPr="005C2CEC">
        <w:rPr>
          <w:rStyle w:val="Odkaznapoznmkupodiarou"/>
        </w:rPr>
        <w:footnoteReference w:id="39"/>
      </w:r>
      <w:r w:rsidRPr="005C2CEC">
        <w:t>, na základe ktorého je realizácia investičného projektu</w:t>
      </w:r>
      <w:r w:rsidR="00396391" w:rsidRPr="005C2CEC">
        <w:t xml:space="preserve"> s hodnotou nad </w:t>
      </w:r>
      <w:r w:rsidR="006077A0" w:rsidRPr="006077A0">
        <w:t xml:space="preserve">ustanovenou </w:t>
      </w:r>
      <w:r w:rsidR="00396391" w:rsidRPr="005C2CEC">
        <w:t>hranicou</w:t>
      </w:r>
      <w:r w:rsidRPr="005C2CEC">
        <w:t xml:space="preserve"> nezvratná (najmä pred podpisom zmluvy) </w:t>
      </w:r>
      <w:r w:rsidR="00D710CA" w:rsidRPr="005C2CEC">
        <w:t xml:space="preserve">Investor </w:t>
      </w:r>
      <w:r w:rsidR="00E6346D" w:rsidRPr="005C2CEC">
        <w:t>zverej</w:t>
      </w:r>
      <w:r w:rsidRPr="005C2CEC">
        <w:t>ní</w:t>
      </w:r>
      <w:r w:rsidR="00E6346D" w:rsidRPr="005C2CEC">
        <w:t xml:space="preserve"> aktualizovanú štúdiu uskutočniteľnosti</w:t>
      </w:r>
      <w:r w:rsidR="00994AC9" w:rsidRPr="005C2CEC">
        <w:t xml:space="preserve"> investičného projektu </w:t>
      </w:r>
      <w:r w:rsidR="00E6346D" w:rsidRPr="005C2CEC">
        <w:t xml:space="preserve">a </w:t>
      </w:r>
      <w:r w:rsidR="00D710CA" w:rsidRPr="005C2CEC">
        <w:t>po</w:t>
      </w:r>
      <w:r w:rsidRPr="005C2CEC">
        <w:t>šle</w:t>
      </w:r>
      <w:r w:rsidR="00D710CA" w:rsidRPr="005C2CEC">
        <w:t xml:space="preserve"> projekt na </w:t>
      </w:r>
      <w:r w:rsidRPr="005C2CEC">
        <w:t>záverečn</w:t>
      </w:r>
      <w:r w:rsidR="0042696F">
        <w:t>ú aktualizáciu</w:t>
      </w:r>
      <w:r w:rsidRPr="005C2CEC">
        <w:t xml:space="preserve"> </w:t>
      </w:r>
      <w:r w:rsidR="0042696F">
        <w:t xml:space="preserve">ekonomického </w:t>
      </w:r>
      <w:r w:rsidR="00D710CA" w:rsidRPr="005C2CEC">
        <w:t>hodnoteni</w:t>
      </w:r>
      <w:r w:rsidR="0042696F">
        <w:t>a</w:t>
      </w:r>
      <w:r w:rsidR="00D710CA" w:rsidRPr="005C2CEC">
        <w:t xml:space="preserve"> MF SR</w:t>
      </w:r>
      <w:r w:rsidRPr="005C2CEC">
        <w:t>.</w:t>
      </w:r>
      <w:r w:rsidR="007967E0">
        <w:t xml:space="preserve"> Aktualizáciu štúdie uskutočniteľnosti môže Investor </w:t>
      </w:r>
      <w:r w:rsidR="008F3287">
        <w:t>realizovať</w:t>
      </w:r>
      <w:r w:rsidR="007967E0">
        <w:t xml:space="preserve"> aj vo forme </w:t>
      </w:r>
      <w:r w:rsidR="008F3287">
        <w:t xml:space="preserve">zverejnenia </w:t>
      </w:r>
      <w:r w:rsidR="007967E0">
        <w:t>samostatného dokumentu, v ktorom opíše relevantné zmeny, ktoré nastali od predošlej zverejnenej verzie (napr. zmeny v prínosoch a nákladoch projektu)</w:t>
      </w:r>
      <w:r w:rsidR="00393650">
        <w:t xml:space="preserve"> podľa prílohy 7</w:t>
      </w:r>
      <w:r w:rsidR="007967E0">
        <w:t>.</w:t>
      </w:r>
      <w:r w:rsidR="0045482F">
        <w:t xml:space="preserve"> V prípade, že od </w:t>
      </w:r>
      <w:r w:rsidR="00873BB5">
        <w:t>predchádzajúcej</w:t>
      </w:r>
      <w:r w:rsidR="0045482F">
        <w:t xml:space="preserve"> aktualizácie štúdie uskutočniteľnosti nenastali zmeny</w:t>
      </w:r>
      <w:r w:rsidR="00873BB5">
        <w:t xml:space="preserve"> s dopadom na spoločensko-ekonomické parametre investičného projektu</w:t>
      </w:r>
      <w:r w:rsidR="0045482F">
        <w:t xml:space="preserve">, </w:t>
      </w:r>
      <w:r w:rsidR="00873BB5">
        <w:t>Investor informuje MF SR o aktuálnosti predchádzajúcej verzie.</w:t>
      </w:r>
      <w:r w:rsidR="002C2454">
        <w:t xml:space="preserve"> </w:t>
      </w:r>
    </w:p>
    <w:p w14:paraId="1C3EC705" w14:textId="4AE3CDD4" w:rsidR="00796BA1" w:rsidRPr="005C2CEC" w:rsidRDefault="00D710CA" w:rsidP="00D710CA">
      <w:r w:rsidRPr="005C2CEC">
        <w:lastRenderedPageBreak/>
        <w:t xml:space="preserve">Predmetom </w:t>
      </w:r>
      <w:r w:rsidR="008A0F03" w:rsidRPr="005C2CEC">
        <w:t>aktualizácie</w:t>
      </w:r>
      <w:r w:rsidR="00AA5FDC">
        <w:t xml:space="preserve"> štúdie a</w:t>
      </w:r>
      <w:r w:rsidR="008A0F03" w:rsidRPr="005C2CEC">
        <w:t xml:space="preserve"> </w:t>
      </w:r>
      <w:r w:rsidRPr="005C2CEC">
        <w:t xml:space="preserve">hodnotenia je najmä </w:t>
      </w:r>
      <w:r w:rsidR="005A27B6" w:rsidRPr="005C2CEC">
        <w:t>zapracovani</w:t>
      </w:r>
      <w:r w:rsidR="00AA5FDC">
        <w:t>e</w:t>
      </w:r>
      <w:r w:rsidR="005A27B6" w:rsidRPr="005C2CEC">
        <w:t xml:space="preserve"> odporúčaní z</w:t>
      </w:r>
      <w:r w:rsidR="00261252" w:rsidRPr="005C2CEC">
        <w:t xml:space="preserve"> predošlého </w:t>
      </w:r>
      <w:r w:rsidR="00376F78" w:rsidRPr="005C2CEC">
        <w:t xml:space="preserve">aktualizovaného </w:t>
      </w:r>
      <w:r w:rsidR="005A27B6" w:rsidRPr="005C2CEC">
        <w:t>hodnotenia MF SR</w:t>
      </w:r>
      <w:r w:rsidR="00261252" w:rsidRPr="005C2CEC">
        <w:t xml:space="preserve"> a</w:t>
      </w:r>
      <w:r w:rsidRPr="005C2CEC">
        <w:t xml:space="preserve"> </w:t>
      </w:r>
      <w:r w:rsidR="008405EA">
        <w:t>porovnanie</w:t>
      </w:r>
      <w:r w:rsidR="008405EA" w:rsidRPr="005C2CEC">
        <w:t xml:space="preserve"> </w:t>
      </w:r>
      <w:r w:rsidRPr="005C2CEC">
        <w:t>vysúťažen</w:t>
      </w:r>
      <w:r w:rsidR="00633C47" w:rsidRPr="005C2CEC">
        <w:t>ej</w:t>
      </w:r>
      <w:r w:rsidRPr="005C2CEC">
        <w:t xml:space="preserve"> cen</w:t>
      </w:r>
      <w:r w:rsidR="00633C47" w:rsidRPr="005C2CEC">
        <w:t>y</w:t>
      </w:r>
      <w:r w:rsidRPr="005C2CEC">
        <w:t xml:space="preserve"> </w:t>
      </w:r>
      <w:r w:rsidR="00633C47" w:rsidRPr="005C2CEC">
        <w:t xml:space="preserve">v súvislosti s </w:t>
      </w:r>
      <w:r w:rsidRPr="005C2CEC">
        <w:t>pôvodným odhadom a PHZ.</w:t>
      </w:r>
      <w:r w:rsidR="00E6346D" w:rsidRPr="005C2CEC">
        <w:t xml:space="preserve"> MF SR </w:t>
      </w:r>
      <w:r w:rsidR="0042696F" w:rsidRPr="005C2CEC">
        <w:t xml:space="preserve">aktualizuje ekonomické hodnotenie </w:t>
      </w:r>
      <w:r w:rsidR="00E6346D" w:rsidRPr="005C2CEC">
        <w:t xml:space="preserve">do 30 </w:t>
      </w:r>
      <w:r w:rsidR="00BD05DB">
        <w:t xml:space="preserve">kalendárnych </w:t>
      </w:r>
      <w:r w:rsidR="00E6346D" w:rsidRPr="005C2CEC">
        <w:t xml:space="preserve">dní </w:t>
      </w:r>
      <w:r w:rsidR="00376F78" w:rsidRPr="005C2CEC">
        <w:t>od predloženia všetkých vyžiadaných podkladov</w:t>
      </w:r>
      <w:r w:rsidR="00E6346D" w:rsidRPr="005C2CEC">
        <w:t>.</w:t>
      </w:r>
    </w:p>
    <w:p w14:paraId="3CCFE957" w14:textId="77777777" w:rsidR="00594E44" w:rsidRPr="005C2CEC" w:rsidRDefault="00594E44" w:rsidP="00594E44">
      <w:pPr>
        <w:pStyle w:val="Nadpis1"/>
      </w:pPr>
      <w:bookmarkStart w:id="159" w:name="_Ref46412562"/>
      <w:bookmarkStart w:id="160" w:name="_Toc46415574"/>
      <w:bookmarkStart w:id="161" w:name="_Ref47967456"/>
      <w:bookmarkStart w:id="162" w:name="_Ref47967458"/>
      <w:bookmarkStart w:id="163" w:name="_Toc83651089"/>
      <w:r>
        <w:t>Rozpočtovanie</w:t>
      </w:r>
      <w:r w:rsidRPr="005C2CEC">
        <w:t xml:space="preserve"> kapitálových </w:t>
      </w:r>
      <w:bookmarkEnd w:id="159"/>
      <w:bookmarkEnd w:id="160"/>
      <w:r w:rsidRPr="005C2CEC">
        <w:t>výdavkov</w:t>
      </w:r>
      <w:bookmarkEnd w:id="161"/>
      <w:bookmarkEnd w:id="162"/>
      <w:bookmarkEnd w:id="163"/>
    </w:p>
    <w:p w14:paraId="0F377079" w14:textId="6FEA6221" w:rsidR="00594E44" w:rsidRDefault="00594E44" w:rsidP="00594E44">
      <w:r>
        <w:t xml:space="preserve">Pri spracovaní návrhu rozpočtu kapitálových výdavkov sa správca kapitoly riadi zákonom č. 523/2004 Z. z. a aktuálne platnou Príručkou na zostavenie návrhu rozpočtu verejnej správy, ktorú kapitolám každoročne zasiela MF SR. </w:t>
      </w:r>
    </w:p>
    <w:p w14:paraId="5CE27878" w14:textId="54B62F69" w:rsidR="00594E44" w:rsidRDefault="00594E44" w:rsidP="00594E44">
      <w:pPr>
        <w:rPr>
          <w:rFonts w:ascii="Calibri" w:hAnsi="Calibri"/>
        </w:rPr>
      </w:pPr>
      <w:r>
        <w:t xml:space="preserve">V čase schvaľovania tohto materiálu platí Príručka na zostavenie návrhu rozpočtu verejnej správy, podľa ktorej správcovia jednotlivých kapitol </w:t>
      </w:r>
      <w:r w:rsidR="00C97925">
        <w:t xml:space="preserve">štátneho rozpočtu </w:t>
      </w:r>
      <w:r>
        <w:t>pred zostavením rozpočtu kapitálových výdavkov:</w:t>
      </w:r>
    </w:p>
    <w:p w14:paraId="77347B5E" w14:textId="77777777" w:rsidR="00594E44" w:rsidRDefault="00594E44" w:rsidP="00594E44">
      <w:pPr>
        <w:pStyle w:val="Odsekzoznamu"/>
        <w:numPr>
          <w:ilvl w:val="0"/>
          <w:numId w:val="18"/>
        </w:numPr>
      </w:pPr>
      <w:r>
        <w:t xml:space="preserve">Predložia MF SR požiadavky na kapitálové výdavky rozdelené na jednotlivé investičné akcie ako samostatnú výdavkovú prioritu; </w:t>
      </w:r>
    </w:p>
    <w:p w14:paraId="336DB4F1" w14:textId="77777777" w:rsidR="00594E44" w:rsidRDefault="00594E44" w:rsidP="00594E44">
      <w:pPr>
        <w:pStyle w:val="Odsekzoznamu"/>
        <w:numPr>
          <w:ilvl w:val="0"/>
          <w:numId w:val="18"/>
        </w:numPr>
      </w:pPr>
      <w:r>
        <w:t>Zverejňujú alebo zasielajú investičný plán s harmonogramom prípravy a realizácie investičných projektov;</w:t>
      </w:r>
    </w:p>
    <w:p w14:paraId="12C35BB1" w14:textId="47699A4F" w:rsidR="00594E44" w:rsidRDefault="00594E44" w:rsidP="00594E44">
      <w:pPr>
        <w:pStyle w:val="Odsekzoznamu"/>
        <w:numPr>
          <w:ilvl w:val="0"/>
          <w:numId w:val="18"/>
        </w:numPr>
      </w:pPr>
      <w:r>
        <w:t>Informujú MF SR o investíciách, ktorých realizácia je v čase zaslania podkladov záväzne objednaná, resp. už prebieha;</w:t>
      </w:r>
    </w:p>
    <w:p w14:paraId="6BA15C7B" w14:textId="140ADA47" w:rsidR="00594E44" w:rsidRPr="00DF0CF2" w:rsidRDefault="007E7933" w:rsidP="00594E44">
      <w:pPr>
        <w:pStyle w:val="Odsekzoznamu"/>
        <w:numPr>
          <w:ilvl w:val="0"/>
          <w:numId w:val="18"/>
        </w:numPr>
      </w:pPr>
      <w:r>
        <w:t>Z</w:t>
      </w:r>
      <w:r w:rsidR="00594E44">
        <w:t xml:space="preserve">asielajú podklady na </w:t>
      </w:r>
      <w:r w:rsidR="001B461A">
        <w:t xml:space="preserve">ekonomické </w:t>
      </w:r>
      <w:r w:rsidR="00594E44">
        <w:t>hodnotenie investičných projektov s hodnotou nad 1 mil. eur</w:t>
      </w:r>
      <w:r w:rsidR="00FB651A">
        <w:t xml:space="preserve"> (podľa kapitoly </w:t>
      </w:r>
      <w:r w:rsidR="00FB651A">
        <w:fldChar w:fldCharType="begin"/>
      </w:r>
      <w:r w:rsidR="00FB651A">
        <w:instrText xml:space="preserve"> REF _Ref83631333 \r \h </w:instrText>
      </w:r>
      <w:r w:rsidR="00FB651A">
        <w:fldChar w:fldCharType="separate"/>
      </w:r>
      <w:r w:rsidR="00FB651A">
        <w:t>4.1</w:t>
      </w:r>
      <w:r w:rsidR="00FB651A">
        <w:fldChar w:fldCharType="end"/>
      </w:r>
      <w:r w:rsidR="00FB651A">
        <w:t xml:space="preserve"> a </w:t>
      </w:r>
      <w:r w:rsidR="00FB651A">
        <w:fldChar w:fldCharType="begin"/>
      </w:r>
      <w:r w:rsidR="00FB651A">
        <w:instrText xml:space="preserve"> REF _Ref45024676 \r \h </w:instrText>
      </w:r>
      <w:r w:rsidR="00FB651A">
        <w:fldChar w:fldCharType="separate"/>
      </w:r>
      <w:r w:rsidR="00FB651A">
        <w:t>4.2</w:t>
      </w:r>
      <w:r w:rsidR="00FB651A">
        <w:fldChar w:fldCharType="end"/>
      </w:r>
      <w:r w:rsidR="00FB651A">
        <w:t>)</w:t>
      </w:r>
      <w:r w:rsidR="00594E44">
        <w:t>, ktoré sú medzi prioritnými investičnými akciami, ak ešte neboli hodnotené.</w:t>
      </w:r>
    </w:p>
    <w:p w14:paraId="2865C9F4" w14:textId="2D0C1426" w:rsidR="00594E44" w:rsidRDefault="00594E44" w:rsidP="00594E44">
      <w:r>
        <w:t xml:space="preserve">MF SR pri zostavovaní návrhu rozpočtu kapitálových výdavkov jednotlivých kapitol prihliada na </w:t>
      </w:r>
      <w:r w:rsidR="00FB651A">
        <w:t xml:space="preserve">informácie uvedené </w:t>
      </w:r>
      <w:r>
        <w:t>v bodoch</w:t>
      </w:r>
      <w:r w:rsidR="00FB651A" w:rsidRPr="00FB651A">
        <w:t xml:space="preserve"> </w:t>
      </w:r>
      <w:r w:rsidR="00FB651A">
        <w:t>vyššie</w:t>
      </w:r>
      <w:r>
        <w:t>, na fiškálne ciele a na možnosti rozpočtu verejnej správy.</w:t>
      </w:r>
    </w:p>
    <w:p w14:paraId="2D65E21C" w14:textId="520BEEC1" w:rsidR="00FB651A" w:rsidRDefault="00FB651A" w:rsidP="000129F7">
      <w:pPr>
        <w:keepNext/>
        <w:rPr>
          <w:b/>
        </w:rPr>
      </w:pPr>
      <w:r w:rsidRPr="00F16979">
        <w:rPr>
          <w:b/>
        </w:rPr>
        <w:t xml:space="preserve">Predpoklady uvoľnenia prostriedkov na </w:t>
      </w:r>
      <w:r>
        <w:rPr>
          <w:b/>
        </w:rPr>
        <w:t>pokračujúci investičný</w:t>
      </w:r>
      <w:r w:rsidRPr="00F16979">
        <w:rPr>
          <w:b/>
        </w:rPr>
        <w:t xml:space="preserve"> projekt</w:t>
      </w:r>
    </w:p>
    <w:p w14:paraId="2984767B" w14:textId="26A31CFB" w:rsidR="00FB651A" w:rsidRDefault="00FB651A" w:rsidP="00594E44">
      <w:r w:rsidRPr="000129F7">
        <w:t xml:space="preserve">V rámci návrhu rozpočtu kapitoly informujú MF SR o pokračujúcich projektoch, pri ktorých </w:t>
      </w:r>
      <w:r w:rsidR="00E64BCB">
        <w:t>je</w:t>
      </w:r>
      <w:r w:rsidRPr="000129F7">
        <w:t xml:space="preserve"> </w:t>
      </w:r>
      <w:r w:rsidR="00E64BCB" w:rsidRPr="000129F7">
        <w:t>podpísaná zmluva</w:t>
      </w:r>
      <w:r w:rsidR="00E64BCB">
        <w:t xml:space="preserve"> na realizáciu. </w:t>
      </w:r>
      <w:r w:rsidR="00E64BCB" w:rsidRPr="000129F7">
        <w:t>Cieľom je uvoľniť prostriedky na tieto investície v rozpočtovom procese priamo do rozpočtových limitov kapitol</w:t>
      </w:r>
      <w:r w:rsidR="00E64BCB">
        <w:t xml:space="preserve"> pri zohľadnení aktuálnych možnosti rozpočtu verejnej správy. Do limitov kapitol môžu byť uvoľnené aj výdavky na už zazmluvnenú projektovú dokumentáciu</w:t>
      </w:r>
      <w:r w:rsidR="00E64BCB" w:rsidRPr="00F16979">
        <w:t>.</w:t>
      </w:r>
    </w:p>
    <w:p w14:paraId="1079DD5D" w14:textId="6A610D85" w:rsidR="001B461A" w:rsidRPr="000129F7" w:rsidRDefault="001B461A" w:rsidP="000129F7">
      <w:pPr>
        <w:keepNext/>
        <w:rPr>
          <w:b/>
        </w:rPr>
      </w:pPr>
      <w:r w:rsidRPr="000129F7">
        <w:rPr>
          <w:b/>
        </w:rPr>
        <w:t xml:space="preserve">Predpoklady uvoľnenia prostriedkov na prípravu </w:t>
      </w:r>
      <w:r w:rsidR="00E64BCB">
        <w:rPr>
          <w:b/>
        </w:rPr>
        <w:t xml:space="preserve">nového </w:t>
      </w:r>
      <w:r w:rsidRPr="000129F7">
        <w:rPr>
          <w:b/>
        </w:rPr>
        <w:t>investičného projektu</w:t>
      </w:r>
    </w:p>
    <w:p w14:paraId="199EBE8A" w14:textId="24CCFB95" w:rsidR="001B461A" w:rsidRDefault="00594E44" w:rsidP="00594E44">
      <w:r w:rsidRPr="005C2CEC">
        <w:t xml:space="preserve">Na prípravu budú </w:t>
      </w:r>
      <w:r>
        <w:t>do</w:t>
      </w:r>
      <w:r w:rsidRPr="005C2CEC">
        <w:t> rozpočt</w:t>
      </w:r>
      <w:r>
        <w:t>u</w:t>
      </w:r>
      <w:r w:rsidRPr="005C2CEC">
        <w:t xml:space="preserve"> </w:t>
      </w:r>
      <w:r>
        <w:t>verejnej správy</w:t>
      </w:r>
      <w:r w:rsidRPr="005C2CEC">
        <w:t xml:space="preserve"> </w:t>
      </w:r>
      <w:r>
        <w:t>zaradené</w:t>
      </w:r>
      <w:r w:rsidRPr="005C2CEC">
        <w:t xml:space="preserve"> len investičné projekty </w:t>
      </w:r>
      <w:r>
        <w:t>uvedené</w:t>
      </w:r>
      <w:r w:rsidRPr="005C2CEC">
        <w:t xml:space="preserve"> v </w:t>
      </w:r>
      <w:r>
        <w:t>zverejnenom</w:t>
      </w:r>
      <w:r w:rsidRPr="005C2CEC">
        <w:t xml:space="preserve"> investičnom pláne</w:t>
      </w:r>
      <w:r>
        <w:t xml:space="preserve"> príslušného ministerstva</w:t>
      </w:r>
      <w:r w:rsidR="000123E2">
        <w:t xml:space="preserve"> (bez ohľadu na hodnotu investičného projektu)</w:t>
      </w:r>
      <w:r>
        <w:t>.</w:t>
      </w:r>
      <w:r w:rsidR="001B461A">
        <w:t xml:space="preserve"> V prípade, že príslušn</w:t>
      </w:r>
      <w:r w:rsidR="000123E2">
        <w:t>é</w:t>
      </w:r>
      <w:r w:rsidR="001B461A">
        <w:t xml:space="preserve"> </w:t>
      </w:r>
      <w:r w:rsidR="000123E2">
        <w:t xml:space="preserve">ministerstvo </w:t>
      </w:r>
      <w:r w:rsidR="001B461A">
        <w:t xml:space="preserve">nemá povinnosť vypracovať investičný plán, </w:t>
      </w:r>
      <w:r w:rsidR="000123E2">
        <w:t>správca kapitoly</w:t>
      </w:r>
      <w:r w:rsidR="001B461A">
        <w:t xml:space="preserve"> </w:t>
      </w:r>
      <w:r w:rsidR="000123E2">
        <w:t xml:space="preserve">preukáže </w:t>
      </w:r>
      <w:r w:rsidR="00885212">
        <w:t>opodstatnenosť investičného projektu (najmä odôvodnenie potreby - dopyt) a súlad</w:t>
      </w:r>
      <w:r w:rsidR="001B461A">
        <w:t xml:space="preserve"> </w:t>
      </w:r>
      <w:r w:rsidR="00885212">
        <w:t xml:space="preserve">projektu so </w:t>
      </w:r>
      <w:r w:rsidR="001B461A">
        <w:t>sektorov</w:t>
      </w:r>
      <w:r w:rsidR="00885212">
        <w:t>ou</w:t>
      </w:r>
      <w:r w:rsidR="001B461A">
        <w:t xml:space="preserve"> strat</w:t>
      </w:r>
      <w:r w:rsidR="00885212">
        <w:t>égiou</w:t>
      </w:r>
      <w:r w:rsidR="001B461A">
        <w:t xml:space="preserve"> a strategick</w:t>
      </w:r>
      <w:r w:rsidR="00885212">
        <w:t>ými cieľmi</w:t>
      </w:r>
      <w:r w:rsidR="001B461A">
        <w:t>.</w:t>
      </w:r>
    </w:p>
    <w:p w14:paraId="17F9F8A7" w14:textId="146AE38E" w:rsidR="000123E2" w:rsidRDefault="00594E44" w:rsidP="00594E44">
      <w:r>
        <w:t xml:space="preserve">Pri príprave investičných projektov nad ustanovenou hranicou môže </w:t>
      </w:r>
      <w:r w:rsidR="000123E2">
        <w:t xml:space="preserve">správca kapitoly </w:t>
      </w:r>
      <w:r>
        <w:t xml:space="preserve">požiadať o prostriedky na </w:t>
      </w:r>
      <w:r w:rsidR="001B461A">
        <w:t xml:space="preserve">vypracovanie, resp. </w:t>
      </w:r>
      <w:r w:rsidR="000123E2">
        <w:t xml:space="preserve">externé </w:t>
      </w:r>
      <w:r w:rsidR="001B461A">
        <w:t xml:space="preserve">zabezpečenie </w:t>
      </w:r>
      <w:r>
        <w:t xml:space="preserve">štúdie uskutočniteľnosti. </w:t>
      </w:r>
      <w:r w:rsidR="000123E2">
        <w:t xml:space="preserve">Prostriedky na </w:t>
      </w:r>
      <w:r>
        <w:t>ďalši</w:t>
      </w:r>
      <w:r w:rsidR="001B461A">
        <w:t>e fázy</w:t>
      </w:r>
      <w:r>
        <w:t xml:space="preserve"> príprav</w:t>
      </w:r>
      <w:r w:rsidR="001B461A">
        <w:t xml:space="preserve">y </w:t>
      </w:r>
      <w:r w:rsidR="000123E2">
        <w:t xml:space="preserve">investičného </w:t>
      </w:r>
      <w:r w:rsidR="001B461A">
        <w:t>projektu</w:t>
      </w:r>
      <w:r>
        <w:t xml:space="preserve"> </w:t>
      </w:r>
      <w:r w:rsidR="000123E2" w:rsidRPr="005C2CEC">
        <w:t xml:space="preserve">nad </w:t>
      </w:r>
      <w:r w:rsidR="000123E2" w:rsidRPr="006077A0">
        <w:t xml:space="preserve">ustanovenou </w:t>
      </w:r>
      <w:r w:rsidR="000123E2" w:rsidRPr="005C2CEC">
        <w:t>hranicou</w:t>
      </w:r>
      <w:r w:rsidR="000123E2">
        <w:t xml:space="preserve"> </w:t>
      </w:r>
      <w:r>
        <w:t>(podľa kapitoly</w:t>
      </w:r>
      <w:r w:rsidR="007E7933">
        <w:t xml:space="preserve"> </w:t>
      </w:r>
      <w:r w:rsidR="007E7933">
        <w:fldChar w:fldCharType="begin"/>
      </w:r>
      <w:r w:rsidR="007E7933">
        <w:instrText xml:space="preserve"> REF _Ref74842186 \r \h </w:instrText>
      </w:r>
      <w:r w:rsidR="007E7933">
        <w:fldChar w:fldCharType="separate"/>
      </w:r>
      <w:r w:rsidR="000D2AF7">
        <w:t>4.4</w:t>
      </w:r>
      <w:r w:rsidR="007E7933">
        <w:fldChar w:fldCharType="end"/>
      </w:r>
      <w:r>
        <w:t xml:space="preserve">) </w:t>
      </w:r>
      <w:r w:rsidR="000123E2">
        <w:t xml:space="preserve">budú </w:t>
      </w:r>
      <w:r>
        <w:t xml:space="preserve">do rozpočtu </w:t>
      </w:r>
      <w:r w:rsidR="000123E2">
        <w:t>kapitoly uvoľnené iba po splnení všetkých nasledujúcich podmienok:</w:t>
      </w:r>
    </w:p>
    <w:p w14:paraId="66985619" w14:textId="77777777" w:rsidR="000123E2" w:rsidRDefault="000123E2" w:rsidP="000129F7">
      <w:pPr>
        <w:pStyle w:val="Odsekzoznamu"/>
        <w:numPr>
          <w:ilvl w:val="0"/>
          <w:numId w:val="61"/>
        </w:numPr>
      </w:pPr>
      <w:r>
        <w:t>k investičnému projektu bola zverejnená štúdia uskutočniteľnosti,</w:t>
      </w:r>
    </w:p>
    <w:p w14:paraId="3F59CBEA" w14:textId="4F048ECE" w:rsidR="000123E2" w:rsidRDefault="000123E2" w:rsidP="000129F7">
      <w:pPr>
        <w:pStyle w:val="Odsekzoznamu"/>
        <w:numPr>
          <w:ilvl w:val="0"/>
          <w:numId w:val="61"/>
        </w:numPr>
      </w:pPr>
      <w:r>
        <w:t>investičný projekt je</w:t>
      </w:r>
      <w:r w:rsidR="00594E44">
        <w:t xml:space="preserve"> </w:t>
      </w:r>
      <w:r>
        <w:t xml:space="preserve">podľa štúdie uskutočniteľnosti </w:t>
      </w:r>
      <w:r w:rsidR="00594E44">
        <w:t>spoločensky návratn</w:t>
      </w:r>
      <w:r>
        <w:t>ý</w:t>
      </w:r>
      <w:r w:rsidR="00594E44">
        <w:t>,</w:t>
      </w:r>
    </w:p>
    <w:p w14:paraId="5F6B7756" w14:textId="5F5715F7" w:rsidR="00FB651A" w:rsidRPr="000129F7" w:rsidRDefault="000123E2" w:rsidP="000129F7">
      <w:pPr>
        <w:pStyle w:val="Odsekzoznamu"/>
        <w:numPr>
          <w:ilvl w:val="0"/>
          <w:numId w:val="61"/>
        </w:numPr>
        <w:rPr>
          <w:b/>
        </w:rPr>
      </w:pPr>
      <w:r>
        <w:t xml:space="preserve">pre investičný projekt bolo vypracované </w:t>
      </w:r>
      <w:r w:rsidR="00594E44" w:rsidRPr="005C2CEC">
        <w:t>ekonomick</w:t>
      </w:r>
      <w:r>
        <w:t>é</w:t>
      </w:r>
      <w:r w:rsidR="00594E44" w:rsidRPr="005C2CEC">
        <w:t xml:space="preserve"> hodnoten</w:t>
      </w:r>
      <w:r>
        <w:t>ie</w:t>
      </w:r>
      <w:r w:rsidR="00594E44" w:rsidRPr="005C2CEC">
        <w:t xml:space="preserve"> MF SR.</w:t>
      </w:r>
    </w:p>
    <w:p w14:paraId="5095E34C" w14:textId="49A7263B" w:rsidR="001B461A" w:rsidRPr="000129F7" w:rsidRDefault="001B461A" w:rsidP="001B461A">
      <w:pPr>
        <w:rPr>
          <w:b/>
        </w:rPr>
      </w:pPr>
      <w:r w:rsidRPr="000129F7">
        <w:rPr>
          <w:b/>
        </w:rPr>
        <w:t>Predpoklady uvoľnenia prostriedkov na realizáciu</w:t>
      </w:r>
      <w:r w:rsidR="00FB651A">
        <w:rPr>
          <w:b/>
        </w:rPr>
        <w:t xml:space="preserve"> nového</w:t>
      </w:r>
      <w:r w:rsidRPr="000129F7">
        <w:rPr>
          <w:b/>
        </w:rPr>
        <w:t xml:space="preserve"> investičného projektu</w:t>
      </w:r>
    </w:p>
    <w:p w14:paraId="14467156" w14:textId="3D72F82C" w:rsidR="002C26CF" w:rsidRDefault="002C26CF" w:rsidP="00594E44">
      <w:r>
        <w:lastRenderedPageBreak/>
        <w:t>Na realizáciu in</w:t>
      </w:r>
      <w:r w:rsidR="00594E44" w:rsidRPr="005C2CEC">
        <w:t>vestičn</w:t>
      </w:r>
      <w:r>
        <w:t>ého</w:t>
      </w:r>
      <w:r w:rsidR="00594E44" w:rsidRPr="005C2CEC">
        <w:t xml:space="preserve"> projekt</w:t>
      </w:r>
      <w:r>
        <w:t>u</w:t>
      </w:r>
      <w:r w:rsidR="00594E44" w:rsidRPr="005C2CEC">
        <w:t xml:space="preserve"> pod </w:t>
      </w:r>
      <w:r w:rsidR="00594E44" w:rsidRPr="006077A0">
        <w:t xml:space="preserve">ustanovenou </w:t>
      </w:r>
      <w:r w:rsidR="00594E44" w:rsidRPr="005C2CEC">
        <w:t>hranicou</w:t>
      </w:r>
      <w:r>
        <w:t xml:space="preserve"> budú do limitov kapitoly uvoľnené prostriedky za predpokladu, že je investičný projekt zaradený v zverejnenom investičnom pláne ministerstva a pre projekt </w:t>
      </w:r>
      <w:r w:rsidR="001B461A">
        <w:t>bolo vypracované</w:t>
      </w:r>
      <w:r w:rsidR="001B461A" w:rsidRPr="005C2CEC">
        <w:t xml:space="preserve"> </w:t>
      </w:r>
      <w:r w:rsidR="00594E44" w:rsidRPr="005C2CEC">
        <w:t>ekonomick</w:t>
      </w:r>
      <w:r w:rsidR="001B461A">
        <w:t>é</w:t>
      </w:r>
      <w:r w:rsidR="00594E44" w:rsidRPr="005C2CEC">
        <w:t xml:space="preserve"> hodnoten</w:t>
      </w:r>
      <w:r w:rsidR="001B461A">
        <w:t>ie</w:t>
      </w:r>
      <w:r w:rsidR="00594E44" w:rsidRPr="005C2CEC">
        <w:t xml:space="preserve"> MF SR pred vyhlásením obstarávania</w:t>
      </w:r>
      <w:r w:rsidR="00594E44">
        <w:t xml:space="preserve"> (podľa kapitoly </w:t>
      </w:r>
      <w:r w:rsidR="00594E44">
        <w:fldChar w:fldCharType="begin"/>
      </w:r>
      <w:r w:rsidR="00594E44">
        <w:instrText xml:space="preserve"> REF _Ref56685496 \r \h </w:instrText>
      </w:r>
      <w:r w:rsidR="00594E44">
        <w:fldChar w:fldCharType="separate"/>
      </w:r>
      <w:r w:rsidR="000D2AF7">
        <w:t>5.2</w:t>
      </w:r>
      <w:r w:rsidR="00594E44">
        <w:fldChar w:fldCharType="end"/>
      </w:r>
      <w:r w:rsidR="00594E44">
        <w:t>)</w:t>
      </w:r>
      <w:r w:rsidR="00594E44" w:rsidRPr="005C2CEC">
        <w:t>.</w:t>
      </w:r>
      <w:r>
        <w:t xml:space="preserve"> V prípade, že príslušné ministerstvo nemá povinnosť vypracovať investičný plán, správca kapitoly preukáže nadväznosť investičného projektu na sektorovú stratégiu a strategické ciele.</w:t>
      </w:r>
    </w:p>
    <w:p w14:paraId="393A825A" w14:textId="77777777" w:rsidR="002C26CF" w:rsidRDefault="002C26CF" w:rsidP="00594E44">
      <w:r>
        <w:t>Na realizáciu in</w:t>
      </w:r>
      <w:r w:rsidRPr="005C2CEC">
        <w:t>vestičn</w:t>
      </w:r>
      <w:r>
        <w:t>ého</w:t>
      </w:r>
      <w:r w:rsidRPr="005C2CEC">
        <w:t xml:space="preserve"> projekt</w:t>
      </w:r>
      <w:r>
        <w:t>u</w:t>
      </w:r>
      <w:r w:rsidRPr="005C2CEC">
        <w:t xml:space="preserve"> </w:t>
      </w:r>
      <w:r>
        <w:t>nad</w:t>
      </w:r>
      <w:r w:rsidRPr="005C2CEC">
        <w:t xml:space="preserve"> </w:t>
      </w:r>
      <w:r w:rsidRPr="006077A0">
        <w:t xml:space="preserve">ustanovenou </w:t>
      </w:r>
      <w:r w:rsidRPr="005C2CEC">
        <w:t>hranicou</w:t>
      </w:r>
      <w:r>
        <w:t xml:space="preserve"> budú do limitov kapitoly uvoľnené prostriedky po splnení všetkých nasledujúcich podmienok:</w:t>
      </w:r>
    </w:p>
    <w:p w14:paraId="4E2478F2" w14:textId="35E0A1D6" w:rsidR="002C26CF" w:rsidRDefault="002C26CF" w:rsidP="000129F7">
      <w:pPr>
        <w:pStyle w:val="Odsekzoznamu"/>
        <w:numPr>
          <w:ilvl w:val="0"/>
          <w:numId w:val="60"/>
        </w:numPr>
      </w:pPr>
      <w:r>
        <w:t>projekt je pripravený na vyhlásenie verejného obstarávania realizácie</w:t>
      </w:r>
      <w:r w:rsidR="00885212">
        <w:t xml:space="preserve"> počas nasledujúceho rozpočtového obdobia</w:t>
      </w:r>
      <w:r>
        <w:t>,</w:t>
      </w:r>
    </w:p>
    <w:p w14:paraId="322B5E33" w14:textId="77777777" w:rsidR="002C26CF" w:rsidRDefault="002C26CF" w:rsidP="000129F7">
      <w:pPr>
        <w:pStyle w:val="Odsekzoznamu"/>
        <w:numPr>
          <w:ilvl w:val="0"/>
          <w:numId w:val="60"/>
        </w:numPr>
      </w:pPr>
      <w:r>
        <w:t>pre projekt bola zverejnená aktualizovaná štúdia uskutočniteľnosti,</w:t>
      </w:r>
    </w:p>
    <w:p w14:paraId="5A6301ED" w14:textId="0906DB68" w:rsidR="002C26CF" w:rsidRDefault="002C26CF" w:rsidP="000129F7">
      <w:pPr>
        <w:pStyle w:val="Odsekzoznamu"/>
        <w:numPr>
          <w:ilvl w:val="0"/>
          <w:numId w:val="60"/>
        </w:numPr>
      </w:pPr>
      <w:r>
        <w:t>aktualizovanou štúdiou uskutočniteľnosti bola preukázaná spoločenská návratnosť projektu,</w:t>
      </w:r>
    </w:p>
    <w:p w14:paraId="57B09FB9" w14:textId="77777777" w:rsidR="00B945B4" w:rsidRDefault="002C26CF" w:rsidP="000129F7">
      <w:pPr>
        <w:pStyle w:val="Odsekzoznamu"/>
      </w:pPr>
      <w:r>
        <w:t xml:space="preserve">pre investičný projekt bolo vypracované aktualizované ekonomické hodnotenie MF SR pred vyhlásením verejného obstarávania (podľa kapitoly </w:t>
      </w:r>
      <w:r>
        <w:fldChar w:fldCharType="begin"/>
      </w:r>
      <w:r>
        <w:instrText xml:space="preserve"> REF _Ref56686999 \r \h </w:instrText>
      </w:r>
      <w:r>
        <w:fldChar w:fldCharType="separate"/>
      </w:r>
      <w:r w:rsidR="000D2AF7">
        <w:t>5.3.1</w:t>
      </w:r>
      <w:r>
        <w:fldChar w:fldCharType="end"/>
      </w:r>
      <w:r>
        <w:t>).</w:t>
      </w:r>
    </w:p>
    <w:p w14:paraId="452C7619" w14:textId="47D7E931" w:rsidR="00594E44" w:rsidRDefault="00B945B4">
      <w:r>
        <w:t>Pri zostavovaní návrhu rozpočtu kapitálových výdavkov na nové investičné projekty sa prihliada na súlad s investičným plánom, odporúčania z ekonomického hodnotenia MF SR a aktuálne možnosti rozpočtu verejnej správy.</w:t>
      </w:r>
    </w:p>
    <w:p w14:paraId="55BB85D5" w14:textId="02F203FB" w:rsidR="00594E44" w:rsidRPr="005C2CEC" w:rsidRDefault="00594E44" w:rsidP="00594E44">
      <w:pPr>
        <w:pStyle w:val="Popis"/>
      </w:pPr>
      <w:bookmarkStart w:id="164" w:name="_Toc83651114"/>
      <w:r w:rsidRPr="005C2CEC">
        <w:t xml:space="preserve">Tabuľka </w:t>
      </w:r>
      <w:r w:rsidRPr="005C2CEC">
        <w:rPr>
          <w:noProof/>
        </w:rPr>
        <w:fldChar w:fldCharType="begin"/>
      </w:r>
      <w:r w:rsidRPr="005C2CEC">
        <w:rPr>
          <w:noProof/>
        </w:rPr>
        <w:instrText xml:space="preserve"> SEQ Tabuľka \* ARABIC </w:instrText>
      </w:r>
      <w:r w:rsidRPr="005C2CEC">
        <w:rPr>
          <w:noProof/>
        </w:rPr>
        <w:fldChar w:fldCharType="separate"/>
      </w:r>
      <w:r w:rsidR="003B5091">
        <w:rPr>
          <w:noProof/>
        </w:rPr>
        <w:t>10</w:t>
      </w:r>
      <w:r w:rsidRPr="005C2CEC">
        <w:rPr>
          <w:noProof/>
        </w:rPr>
        <w:fldChar w:fldCharType="end"/>
      </w:r>
      <w:r w:rsidRPr="005C2CEC">
        <w:t xml:space="preserve">: </w:t>
      </w:r>
      <w:r w:rsidR="00C97925">
        <w:t>Prehľad podmienok</w:t>
      </w:r>
      <w:r w:rsidR="00C97925" w:rsidRPr="005C2CEC">
        <w:t xml:space="preserve"> </w:t>
      </w:r>
      <w:r w:rsidR="00C97925">
        <w:t>uvoľnenia prostriedkov</w:t>
      </w:r>
      <w:r w:rsidRPr="005C2CEC">
        <w:t xml:space="preserve"> </w:t>
      </w:r>
      <w:r>
        <w:t>do </w:t>
      </w:r>
      <w:r w:rsidR="00C97925">
        <w:t>rozpočtových limitov kapitol štátneho rozpočtu</w:t>
      </w:r>
      <w:bookmarkEnd w:id="164"/>
    </w:p>
    <w:tbl>
      <w:tblPr>
        <w:tblStyle w:val="Mriekatabuky"/>
        <w:tblW w:w="0" w:type="auto"/>
        <w:tblBorders>
          <w:left w:val="none" w:sz="0" w:space="0" w:color="auto"/>
          <w:right w:val="none" w:sz="0" w:space="0" w:color="auto"/>
        </w:tblBorders>
        <w:tblLook w:val="04A0" w:firstRow="1" w:lastRow="0" w:firstColumn="1" w:lastColumn="0" w:noHBand="0" w:noVBand="1"/>
      </w:tblPr>
      <w:tblGrid>
        <w:gridCol w:w="2268"/>
        <w:gridCol w:w="3119"/>
        <w:gridCol w:w="3675"/>
      </w:tblGrid>
      <w:tr w:rsidR="00594E44" w:rsidRPr="005C2CEC" w14:paraId="1C954690" w14:textId="77777777" w:rsidTr="00577F95">
        <w:trPr>
          <w:trHeight w:val="478"/>
          <w:tblHeader/>
        </w:trPr>
        <w:tc>
          <w:tcPr>
            <w:tcW w:w="2268" w:type="dxa"/>
            <w:tcBorders>
              <w:bottom w:val="nil"/>
            </w:tcBorders>
          </w:tcPr>
          <w:p w14:paraId="160A13AC" w14:textId="77777777" w:rsidR="00594E44" w:rsidRPr="005C2CEC" w:rsidRDefault="00594E44" w:rsidP="00594E44">
            <w:pPr>
              <w:spacing w:after="0"/>
            </w:pPr>
          </w:p>
        </w:tc>
        <w:tc>
          <w:tcPr>
            <w:tcW w:w="6794" w:type="dxa"/>
            <w:gridSpan w:val="2"/>
            <w:tcBorders>
              <w:bottom w:val="nil"/>
            </w:tcBorders>
          </w:tcPr>
          <w:p w14:paraId="1BA1786A" w14:textId="77777777" w:rsidR="00594E44" w:rsidRPr="005C2CEC" w:rsidRDefault="00594E44" w:rsidP="00594E44">
            <w:pPr>
              <w:spacing w:after="0"/>
              <w:jc w:val="center"/>
              <w:rPr>
                <w:b/>
              </w:rPr>
            </w:pPr>
            <w:r w:rsidRPr="005C2CEC">
              <w:rPr>
                <w:b/>
              </w:rPr>
              <w:t>Hodnota investičného projektu</w:t>
            </w:r>
          </w:p>
        </w:tc>
      </w:tr>
      <w:tr w:rsidR="00594E44" w:rsidRPr="005C2CEC" w14:paraId="57332E76" w14:textId="77777777" w:rsidTr="00577F95">
        <w:trPr>
          <w:tblHeader/>
        </w:trPr>
        <w:tc>
          <w:tcPr>
            <w:tcW w:w="2268" w:type="dxa"/>
            <w:tcBorders>
              <w:top w:val="nil"/>
              <w:bottom w:val="single" w:sz="4" w:space="0" w:color="auto"/>
            </w:tcBorders>
          </w:tcPr>
          <w:p w14:paraId="25C0C3CD" w14:textId="77777777" w:rsidR="00594E44" w:rsidRPr="005C2CEC" w:rsidRDefault="00594E44" w:rsidP="00594E44">
            <w:pPr>
              <w:spacing w:after="0"/>
              <w:rPr>
                <w:b/>
              </w:rPr>
            </w:pPr>
            <w:r w:rsidRPr="005C2CEC">
              <w:rPr>
                <w:b/>
              </w:rPr>
              <w:t>Fáza</w:t>
            </w:r>
          </w:p>
        </w:tc>
        <w:tc>
          <w:tcPr>
            <w:tcW w:w="3119" w:type="dxa"/>
            <w:tcBorders>
              <w:top w:val="nil"/>
              <w:bottom w:val="single" w:sz="4" w:space="0" w:color="auto"/>
              <w:right w:val="nil"/>
            </w:tcBorders>
          </w:tcPr>
          <w:p w14:paraId="3BD5323D" w14:textId="77777777" w:rsidR="00B7508E" w:rsidRDefault="00594E44" w:rsidP="00594E44">
            <w:pPr>
              <w:spacing w:after="0"/>
              <w:jc w:val="center"/>
              <w:rPr>
                <w:b/>
              </w:rPr>
            </w:pPr>
            <w:r>
              <w:rPr>
                <w:b/>
              </w:rPr>
              <w:t xml:space="preserve">pod </w:t>
            </w:r>
            <w:r w:rsidRPr="006077A0">
              <w:rPr>
                <w:b/>
              </w:rPr>
              <w:t xml:space="preserve">ustanovenou </w:t>
            </w:r>
            <w:r w:rsidR="00B7508E">
              <w:rPr>
                <w:b/>
              </w:rPr>
              <w:t>hranicou</w:t>
            </w:r>
          </w:p>
          <w:p w14:paraId="6F245FDE" w14:textId="3AADE273" w:rsidR="00594E44" w:rsidRPr="005C2CEC" w:rsidRDefault="00594E44" w:rsidP="00594E44">
            <w:pPr>
              <w:spacing w:after="0"/>
              <w:jc w:val="center"/>
              <w:rPr>
                <w:b/>
              </w:rPr>
            </w:pPr>
            <w:r>
              <w:rPr>
                <w:b/>
              </w:rPr>
              <w:t>(</w:t>
            </w:r>
            <w:r w:rsidRPr="005C2CEC">
              <w:rPr>
                <w:b/>
              </w:rPr>
              <w:t>nad 1 mil. eur</w:t>
            </w:r>
            <w:r>
              <w:rPr>
                <w:b/>
              </w:rPr>
              <w:t>)</w:t>
            </w:r>
          </w:p>
        </w:tc>
        <w:tc>
          <w:tcPr>
            <w:tcW w:w="3675" w:type="dxa"/>
            <w:tcBorders>
              <w:top w:val="nil"/>
              <w:left w:val="nil"/>
              <w:bottom w:val="single" w:sz="4" w:space="0" w:color="auto"/>
            </w:tcBorders>
          </w:tcPr>
          <w:p w14:paraId="0B8D1080" w14:textId="77777777" w:rsidR="00B7508E" w:rsidRDefault="00594E44" w:rsidP="00594E44">
            <w:pPr>
              <w:spacing w:after="0"/>
              <w:jc w:val="center"/>
              <w:rPr>
                <w:b/>
              </w:rPr>
            </w:pPr>
            <w:r w:rsidRPr="005C2CEC">
              <w:rPr>
                <w:b/>
              </w:rPr>
              <w:t xml:space="preserve">nad </w:t>
            </w:r>
            <w:r w:rsidRPr="006077A0">
              <w:rPr>
                <w:b/>
              </w:rPr>
              <w:t xml:space="preserve">ustanovenou </w:t>
            </w:r>
            <w:r w:rsidRPr="005C2CEC">
              <w:rPr>
                <w:b/>
              </w:rPr>
              <w:t>hranicou</w:t>
            </w:r>
          </w:p>
          <w:p w14:paraId="617EC407" w14:textId="7D5A481A" w:rsidR="00594E44" w:rsidRPr="005C2CEC" w:rsidRDefault="00B7508E" w:rsidP="00594E44">
            <w:pPr>
              <w:spacing w:after="0"/>
              <w:jc w:val="center"/>
              <w:rPr>
                <w:b/>
              </w:rPr>
            </w:pPr>
            <w:r>
              <w:rPr>
                <w:b/>
              </w:rPr>
              <w:t>(nad 40/10 mil. eur)</w:t>
            </w:r>
          </w:p>
        </w:tc>
      </w:tr>
      <w:tr w:rsidR="00594E44" w:rsidRPr="005C2CEC" w14:paraId="5BE3655C" w14:textId="77777777" w:rsidTr="00594E44">
        <w:tc>
          <w:tcPr>
            <w:tcW w:w="2268" w:type="dxa"/>
            <w:tcBorders>
              <w:top w:val="single" w:sz="4" w:space="0" w:color="auto"/>
              <w:bottom w:val="dashed" w:sz="4" w:space="0" w:color="7F7F7F" w:themeColor="text1" w:themeTint="80"/>
            </w:tcBorders>
          </w:tcPr>
          <w:p w14:paraId="618A509D" w14:textId="77777777" w:rsidR="00594E44" w:rsidRPr="005C2CEC" w:rsidRDefault="00594E44" w:rsidP="00594E44">
            <w:pPr>
              <w:spacing w:after="0"/>
              <w:jc w:val="left"/>
              <w:rPr>
                <w:b/>
              </w:rPr>
            </w:pPr>
            <w:r w:rsidRPr="005C2CEC">
              <w:rPr>
                <w:b/>
              </w:rPr>
              <w:t xml:space="preserve">Príprava investičného projektu </w:t>
            </w:r>
          </w:p>
        </w:tc>
        <w:tc>
          <w:tcPr>
            <w:tcW w:w="3119" w:type="dxa"/>
            <w:tcBorders>
              <w:top w:val="single" w:sz="4" w:space="0" w:color="auto"/>
              <w:bottom w:val="dashed" w:sz="4" w:space="0" w:color="7F7F7F" w:themeColor="text1" w:themeTint="80"/>
              <w:right w:val="nil"/>
            </w:tcBorders>
          </w:tcPr>
          <w:p w14:paraId="12437885" w14:textId="77777777" w:rsidR="00594E44" w:rsidRPr="005C2CEC" w:rsidRDefault="00594E44" w:rsidP="00594E44">
            <w:pPr>
              <w:pStyle w:val="Odsekzoznamu"/>
              <w:numPr>
                <w:ilvl w:val="0"/>
                <w:numId w:val="34"/>
              </w:numPr>
              <w:spacing w:after="0"/>
              <w:ind w:left="170" w:hanging="170"/>
              <w:jc w:val="left"/>
            </w:pPr>
            <w:r w:rsidRPr="005C2CEC">
              <w:t>zaradený v platnom investičnom pláne</w:t>
            </w:r>
            <w:r>
              <w:t xml:space="preserve"> / investičných prioritách</w:t>
            </w:r>
          </w:p>
        </w:tc>
        <w:tc>
          <w:tcPr>
            <w:tcW w:w="3675" w:type="dxa"/>
            <w:tcBorders>
              <w:top w:val="single" w:sz="4" w:space="0" w:color="auto"/>
              <w:left w:val="nil"/>
              <w:bottom w:val="dashed" w:sz="4" w:space="0" w:color="7F7F7F" w:themeColor="text1" w:themeTint="80"/>
            </w:tcBorders>
          </w:tcPr>
          <w:p w14:paraId="417345DB" w14:textId="77777777" w:rsidR="00594E44" w:rsidRPr="005C2CEC" w:rsidRDefault="00594E44" w:rsidP="00594E44">
            <w:pPr>
              <w:pStyle w:val="Odsekzoznamu"/>
              <w:numPr>
                <w:ilvl w:val="0"/>
                <w:numId w:val="33"/>
              </w:numPr>
              <w:spacing w:after="0"/>
              <w:ind w:left="170" w:hanging="170"/>
              <w:jc w:val="left"/>
            </w:pPr>
            <w:r w:rsidRPr="005C2CEC">
              <w:t>zaradený v platnom investičnom pláne</w:t>
            </w:r>
            <w:r>
              <w:t xml:space="preserve"> / investičných prioritách</w:t>
            </w:r>
          </w:p>
          <w:p w14:paraId="7E4BBD98" w14:textId="77777777" w:rsidR="00594E44" w:rsidRPr="005C2CEC" w:rsidRDefault="00594E44" w:rsidP="00594E44">
            <w:pPr>
              <w:pStyle w:val="Odsekzoznamu"/>
              <w:numPr>
                <w:ilvl w:val="0"/>
                <w:numId w:val="33"/>
              </w:numPr>
              <w:spacing w:after="0"/>
              <w:ind w:left="170" w:hanging="170"/>
              <w:jc w:val="left"/>
            </w:pPr>
            <w:r w:rsidRPr="005C2CEC">
              <w:t>zverejnená štúdia uskutočniteľnosti</w:t>
            </w:r>
          </w:p>
          <w:p w14:paraId="3AB564A8" w14:textId="77777777" w:rsidR="00594E44" w:rsidRPr="005C2CEC" w:rsidRDefault="00594E44" w:rsidP="00594E44">
            <w:pPr>
              <w:pStyle w:val="Odsekzoznamu"/>
              <w:numPr>
                <w:ilvl w:val="0"/>
                <w:numId w:val="33"/>
              </w:numPr>
              <w:spacing w:after="0"/>
              <w:ind w:left="170" w:hanging="170"/>
              <w:jc w:val="left"/>
            </w:pPr>
            <w:r w:rsidRPr="005C2CEC">
              <w:t>zverejnené ekonomické hodnotenie MF SR</w:t>
            </w:r>
          </w:p>
        </w:tc>
      </w:tr>
      <w:tr w:rsidR="00594E44" w:rsidRPr="005C2CEC" w14:paraId="3FB9C3AD" w14:textId="77777777" w:rsidTr="00594E44">
        <w:tc>
          <w:tcPr>
            <w:tcW w:w="2268" w:type="dxa"/>
            <w:tcBorders>
              <w:top w:val="dashed" w:sz="4" w:space="0" w:color="7F7F7F" w:themeColor="text1" w:themeTint="80"/>
            </w:tcBorders>
          </w:tcPr>
          <w:p w14:paraId="3DB45C94" w14:textId="77777777" w:rsidR="00594E44" w:rsidRPr="005C2CEC" w:rsidRDefault="00594E44" w:rsidP="00594E44">
            <w:pPr>
              <w:spacing w:after="0"/>
              <w:jc w:val="left"/>
              <w:rPr>
                <w:b/>
              </w:rPr>
            </w:pPr>
            <w:r w:rsidRPr="005C2CEC">
              <w:rPr>
                <w:b/>
              </w:rPr>
              <w:t>Realizácia investičného projektu</w:t>
            </w:r>
          </w:p>
        </w:tc>
        <w:tc>
          <w:tcPr>
            <w:tcW w:w="3119" w:type="dxa"/>
            <w:tcBorders>
              <w:top w:val="dashed" w:sz="4" w:space="0" w:color="7F7F7F" w:themeColor="text1" w:themeTint="80"/>
              <w:right w:val="nil"/>
            </w:tcBorders>
          </w:tcPr>
          <w:p w14:paraId="4B5071A8" w14:textId="77777777" w:rsidR="00594E44" w:rsidRDefault="00594E44" w:rsidP="00594E44">
            <w:pPr>
              <w:pStyle w:val="Odsekzoznamu"/>
              <w:numPr>
                <w:ilvl w:val="0"/>
                <w:numId w:val="34"/>
              </w:numPr>
              <w:spacing w:after="0"/>
              <w:ind w:left="170" w:hanging="170"/>
              <w:jc w:val="left"/>
            </w:pPr>
            <w:r w:rsidRPr="005C2CEC">
              <w:t>zaradený v platnom investičnom pláne</w:t>
            </w:r>
            <w:r>
              <w:t xml:space="preserve"> / investičných prioritách</w:t>
            </w:r>
          </w:p>
          <w:p w14:paraId="68251657" w14:textId="77777777" w:rsidR="00594E44" w:rsidRPr="005C2CEC" w:rsidRDefault="00594E44" w:rsidP="00594E44">
            <w:pPr>
              <w:pStyle w:val="Odsekzoznamu"/>
              <w:numPr>
                <w:ilvl w:val="0"/>
                <w:numId w:val="34"/>
              </w:numPr>
              <w:spacing w:after="0"/>
              <w:ind w:left="170" w:hanging="170"/>
              <w:jc w:val="left"/>
            </w:pPr>
            <w:r w:rsidRPr="005C2CEC">
              <w:t>po ekonomickom hodnotení MF SR pred vyhlásením obstarávania</w:t>
            </w:r>
          </w:p>
        </w:tc>
        <w:tc>
          <w:tcPr>
            <w:tcW w:w="3675" w:type="dxa"/>
            <w:tcBorders>
              <w:top w:val="dashed" w:sz="4" w:space="0" w:color="7F7F7F" w:themeColor="text1" w:themeTint="80"/>
              <w:left w:val="nil"/>
            </w:tcBorders>
          </w:tcPr>
          <w:p w14:paraId="71D6FF6A" w14:textId="77777777" w:rsidR="00594E44" w:rsidRDefault="00594E44" w:rsidP="00594E44">
            <w:pPr>
              <w:pStyle w:val="Odsekzoznamu"/>
              <w:numPr>
                <w:ilvl w:val="0"/>
                <w:numId w:val="33"/>
              </w:numPr>
              <w:spacing w:after="0"/>
              <w:ind w:left="170" w:hanging="170"/>
              <w:jc w:val="left"/>
            </w:pPr>
            <w:r w:rsidRPr="005C2CEC">
              <w:t>zaradený v platnom investičnom pláne</w:t>
            </w:r>
            <w:r>
              <w:t xml:space="preserve"> / investičných prioritách</w:t>
            </w:r>
          </w:p>
          <w:p w14:paraId="6011705B" w14:textId="42ABE6DF" w:rsidR="00594E44" w:rsidRPr="005C2CEC" w:rsidRDefault="00594E44" w:rsidP="00594E44">
            <w:pPr>
              <w:pStyle w:val="Odsekzoznamu"/>
              <w:numPr>
                <w:ilvl w:val="0"/>
                <w:numId w:val="33"/>
              </w:numPr>
              <w:spacing w:after="0"/>
              <w:ind w:left="170" w:hanging="170"/>
              <w:jc w:val="left"/>
            </w:pPr>
            <w:r w:rsidRPr="005C2CEC">
              <w:t>zverejnená aktualizovaná štúdia uskutočniteľnosti pred vyhlásením VO</w:t>
            </w:r>
          </w:p>
          <w:p w14:paraId="18102DCD" w14:textId="57C4C703" w:rsidR="00594E44" w:rsidRPr="005C2CEC" w:rsidRDefault="00594E44" w:rsidP="00594E44">
            <w:pPr>
              <w:pStyle w:val="Odsekzoznamu"/>
              <w:numPr>
                <w:ilvl w:val="0"/>
                <w:numId w:val="33"/>
              </w:numPr>
              <w:spacing w:after="0"/>
              <w:ind w:left="170" w:hanging="170"/>
              <w:jc w:val="left"/>
            </w:pPr>
            <w:r w:rsidRPr="005C2CEC">
              <w:t>zverejnené aktualizované ekonomické hodnotenie pred vyhlásením VO</w:t>
            </w:r>
          </w:p>
        </w:tc>
      </w:tr>
    </w:tbl>
    <w:p w14:paraId="421E04C2" w14:textId="49F327A4" w:rsidR="002553C0" w:rsidRDefault="002553C0" w:rsidP="000129F7">
      <w:pPr>
        <w:spacing w:before="200"/>
        <w:rPr>
          <w:b/>
        </w:rPr>
      </w:pPr>
      <w:r w:rsidRPr="00F93665">
        <w:rPr>
          <w:b/>
        </w:rPr>
        <w:t xml:space="preserve">Na investičné projekty, ktoré neboli predložené na ekonomické hodnotenie MF SR, nebudú uvoľnené prostriedky do limitov kapitol. </w:t>
      </w:r>
      <w:r>
        <w:rPr>
          <w:b/>
        </w:rPr>
        <w:t xml:space="preserve">V tomto prípade môžu byť </w:t>
      </w:r>
      <w:r w:rsidR="00E64BCB">
        <w:rPr>
          <w:b/>
        </w:rPr>
        <w:t xml:space="preserve">prostriedky </w:t>
      </w:r>
      <w:r>
        <w:rPr>
          <w:b/>
        </w:rPr>
        <w:t xml:space="preserve">uvoľnené </w:t>
      </w:r>
      <w:r w:rsidR="00E64BCB">
        <w:rPr>
          <w:b/>
        </w:rPr>
        <w:t xml:space="preserve">príslušnej kapitole </w:t>
      </w:r>
      <w:r>
        <w:rPr>
          <w:b/>
        </w:rPr>
        <w:t>prostredníctvom rozpočtového opatrenia</w:t>
      </w:r>
      <w:r w:rsidR="00B945B4" w:rsidRPr="00B945B4">
        <w:rPr>
          <w:b/>
        </w:rPr>
        <w:t xml:space="preserve"> </w:t>
      </w:r>
      <w:r w:rsidR="00B945B4">
        <w:rPr>
          <w:b/>
        </w:rPr>
        <w:t>z kapitoly Všeobecná pokladničná správa</w:t>
      </w:r>
      <w:r>
        <w:rPr>
          <w:b/>
        </w:rPr>
        <w:t xml:space="preserve"> až po ekonomickom hodnotení investičného projektu zo strany MF SR.</w:t>
      </w:r>
    </w:p>
    <w:p w14:paraId="14A96F74" w14:textId="4269C1F9" w:rsidR="002553C0" w:rsidRPr="00F93665" w:rsidRDefault="005068F0" w:rsidP="002553C0">
      <w:pPr>
        <w:rPr>
          <w:b/>
        </w:rPr>
      </w:pPr>
      <w:r>
        <w:t>K žiadosti o povolené prekročenie limitu</w:t>
      </w:r>
      <w:r w:rsidR="002553C0" w:rsidRPr="00D25CFA">
        <w:t xml:space="preserve"> výdavkov na investičný projekt </w:t>
      </w:r>
      <w:r>
        <w:t>priloží</w:t>
      </w:r>
      <w:r w:rsidR="002553C0">
        <w:t xml:space="preserve"> </w:t>
      </w:r>
      <w:r>
        <w:t>správca kapitoly ako povinnú prílohu stanovisko MF SR s ekonomickým hodnotením</w:t>
      </w:r>
      <w:r w:rsidR="002553C0" w:rsidRPr="00D25CFA">
        <w:t xml:space="preserve"> </w:t>
      </w:r>
      <w:r>
        <w:t>investičného</w:t>
      </w:r>
      <w:r w:rsidR="002553C0" w:rsidRPr="00D25CFA">
        <w:t xml:space="preserve"> </w:t>
      </w:r>
      <w:r w:rsidR="002553C0" w:rsidRPr="00D8633F">
        <w:t>projektu. Poslaním žiadosti ani z</w:t>
      </w:r>
      <w:r w:rsidR="002553C0">
        <w:t>ískaním ekonomického hodnotenia k investičnému projektu</w:t>
      </w:r>
      <w:r w:rsidR="002553C0" w:rsidRPr="00D8633F">
        <w:t xml:space="preserve"> nevzniká nárok na povolenie prekročenia limitov zo strany MF SR. Pri schvaľovaní rozpočtových opatrení sa prihliada </w:t>
      </w:r>
      <w:r w:rsidR="002553C0" w:rsidRPr="005C2CEC">
        <w:t xml:space="preserve">na </w:t>
      </w:r>
      <w:r>
        <w:t xml:space="preserve">závery </w:t>
      </w:r>
      <w:r w:rsidR="002553C0">
        <w:t>ekonomické</w:t>
      </w:r>
      <w:r>
        <w:t>ho hodnotenia</w:t>
      </w:r>
      <w:r w:rsidR="002553C0">
        <w:t xml:space="preserve"> investičného projektu a </w:t>
      </w:r>
      <w:r w:rsidR="002553C0" w:rsidRPr="005C2CEC">
        <w:t>aktuálne rozpočtové možnosti.</w:t>
      </w:r>
    </w:p>
    <w:p w14:paraId="43257AF9" w14:textId="50A322E7" w:rsidR="002553C0" w:rsidRDefault="002553C0" w:rsidP="002553C0">
      <w:r w:rsidRPr="005C2CEC">
        <w:lastRenderedPageBreak/>
        <w:t>V opodstatnených prípadoch</w:t>
      </w:r>
      <w:r w:rsidR="005068F0">
        <w:t>, keď správca kapitoly</w:t>
      </w:r>
      <w:r w:rsidRPr="005C2CEC">
        <w:t xml:space="preserve"> </w:t>
      </w:r>
      <w:r w:rsidR="005068F0">
        <w:t>preukáže a odôvodní akútnu potrebu realizovať investičný projekt</w:t>
      </w:r>
      <w:r w:rsidRPr="005C2CEC">
        <w:t xml:space="preserve"> </w:t>
      </w:r>
      <w:r w:rsidR="005068F0">
        <w:t>v dôsledku nepredvídateľnej situácie</w:t>
      </w:r>
      <w:r w:rsidRPr="005C2CEC">
        <w:t xml:space="preserve"> (napr. investície vyvolané zmenou legislatívy počas roka, havárie, prírodné katastrofy a pod.)</w:t>
      </w:r>
      <w:r w:rsidR="005068F0">
        <w:t>,</w:t>
      </w:r>
      <w:r w:rsidRPr="005C2CEC">
        <w:t xml:space="preserve"> je možné </w:t>
      </w:r>
      <w:r>
        <w:t xml:space="preserve">rozpočtovým opatrením </w:t>
      </w:r>
      <w:r w:rsidRPr="005C2CEC">
        <w:t xml:space="preserve">do </w:t>
      </w:r>
      <w:r>
        <w:t>príslušnej kapitoly</w:t>
      </w:r>
      <w:r w:rsidRPr="005C2CEC">
        <w:t xml:space="preserve"> </w:t>
      </w:r>
      <w:r>
        <w:t>štátneho</w:t>
      </w:r>
      <w:r w:rsidRPr="005C2CEC">
        <w:t xml:space="preserve"> rozpočtu</w:t>
      </w:r>
      <w:r>
        <w:t xml:space="preserve"> </w:t>
      </w:r>
      <w:r w:rsidRPr="005C2CEC">
        <w:t xml:space="preserve">zaradiť aj </w:t>
      </w:r>
      <w:r w:rsidR="005068F0">
        <w:t>investičný projekt, ktorý</w:t>
      </w:r>
      <w:r w:rsidRPr="005C2CEC">
        <w:t xml:space="preserve"> nie </w:t>
      </w:r>
      <w:r w:rsidR="005068F0">
        <w:t>je</w:t>
      </w:r>
      <w:r w:rsidRPr="005C2CEC">
        <w:t xml:space="preserve"> </w:t>
      </w:r>
      <w:r w:rsidR="005068F0">
        <w:t>uvedený</w:t>
      </w:r>
      <w:r>
        <w:t xml:space="preserve"> </w:t>
      </w:r>
      <w:r w:rsidRPr="005C2CEC">
        <w:t>v investičnom pláne</w:t>
      </w:r>
      <w:r w:rsidR="005068F0">
        <w:t>, resp. investičných prioritách kapitoly</w:t>
      </w:r>
      <w:r w:rsidRPr="005C2CEC">
        <w:t>.</w:t>
      </w:r>
    </w:p>
    <w:p w14:paraId="54949226" w14:textId="795758F4" w:rsidR="00594E44" w:rsidRPr="005C2CEC" w:rsidRDefault="002553C0" w:rsidP="002553C0">
      <w:pPr>
        <w:spacing w:before="120"/>
      </w:pPr>
      <w:r>
        <w:t>Investičné projekty s hodnotou nižšou ako 1 mil. eur uvedie správca kapitoly v investičnom pláne sumárne v rámci jednej položky, prípadne v rámci skupín položiek (napr. rozdelené na stavebné práce, IT, ostatné, a pod). V prípade, že počas spracovania návrhu rozpočtu kapitola nemá schválený investičný plán alebo nemá povinnosť ho vypracovať, predkladá správca kapitoly investičné priority v rámci prioritných výdavkových titulov podľa aktuálne platnej Príručky na zostavenie návrhu rozpočtu verejnej správy.</w:t>
      </w:r>
    </w:p>
    <w:p w14:paraId="62B78E86" w14:textId="511720AD" w:rsidR="00594E44" w:rsidRPr="005C2CEC" w:rsidRDefault="00594E44" w:rsidP="00594E44">
      <w:pPr>
        <w:pStyle w:val="Popis"/>
      </w:pPr>
      <w:r w:rsidRPr="005C2CEC">
        <w:t xml:space="preserve">Box </w:t>
      </w:r>
      <w:r w:rsidRPr="005C2CEC">
        <w:rPr>
          <w:noProof/>
        </w:rPr>
        <w:fldChar w:fldCharType="begin"/>
      </w:r>
      <w:r w:rsidRPr="005C2CEC">
        <w:rPr>
          <w:noProof/>
        </w:rPr>
        <w:instrText xml:space="preserve"> SEQ Box \* ARABIC </w:instrText>
      </w:r>
      <w:r w:rsidRPr="005C2CEC">
        <w:rPr>
          <w:noProof/>
        </w:rPr>
        <w:fldChar w:fldCharType="separate"/>
      </w:r>
      <w:r w:rsidR="000D2AF7">
        <w:rPr>
          <w:noProof/>
        </w:rPr>
        <w:t>13</w:t>
      </w:r>
      <w:r w:rsidRPr="005C2CEC">
        <w:rPr>
          <w:noProof/>
        </w:rPr>
        <w:fldChar w:fldCharType="end"/>
      </w:r>
      <w:r w:rsidRPr="005C2CEC">
        <w:t xml:space="preserve">: </w:t>
      </w:r>
      <w:r>
        <w:t>Princípy</w:t>
      </w:r>
      <w:r w:rsidRPr="005C2CEC">
        <w:t xml:space="preserve"> tvorb</w:t>
      </w:r>
      <w:r>
        <w:t>y</w:t>
      </w:r>
      <w:r w:rsidRPr="005C2CEC">
        <w:t xml:space="preserve"> investičných akcií </w:t>
      </w:r>
      <w:r>
        <w:t>v</w:t>
      </w:r>
      <w:r w:rsidRPr="005C2CEC">
        <w:t xml:space="preserve"> RIS</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Look w:val="04A0" w:firstRow="1" w:lastRow="0" w:firstColumn="1" w:lastColumn="0" w:noHBand="0" w:noVBand="1"/>
      </w:tblPr>
      <w:tblGrid>
        <w:gridCol w:w="9062"/>
      </w:tblGrid>
      <w:tr w:rsidR="00594E44" w:rsidRPr="005C2CEC" w14:paraId="60A6D266" w14:textId="77777777" w:rsidTr="00594E44">
        <w:tc>
          <w:tcPr>
            <w:tcW w:w="9062" w:type="dxa"/>
            <w:shd w:val="clear" w:color="auto" w:fill="DEEAF6" w:themeFill="accent1" w:themeFillTint="33"/>
          </w:tcPr>
          <w:p w14:paraId="36E398E6" w14:textId="30A3B314" w:rsidR="00594E44" w:rsidRPr="005C2CEC" w:rsidRDefault="00594E44" w:rsidP="00594E44">
            <w:r>
              <w:t>Správca kapitoly, resp. na základe súhlasu správcu kapitoly subjekt v jeho riadiacej pôsobnosti, ktorý zabezpečuje investičnú akciu,</w:t>
            </w:r>
            <w:r w:rsidRPr="005C2CEC">
              <w:t xml:space="preserve"> pre každý samostatný investičný projekt</w:t>
            </w:r>
            <w:r>
              <w:t xml:space="preserve"> pripravovaný alebo realizovaný v jeho riadiacej pôsobnosti</w:t>
            </w:r>
            <w:r w:rsidRPr="005C2CEC">
              <w:t xml:space="preserve"> vytvorí </w:t>
            </w:r>
            <w:r>
              <w:t xml:space="preserve">jednu </w:t>
            </w:r>
            <w:r w:rsidRPr="005C2CEC">
              <w:t xml:space="preserve">investičnú akciu (IA) v module Register investícií (RI) Rozpočtového informačného systému (RIS). Pri tvorbe IA kapitálových výdavkov sa </w:t>
            </w:r>
            <w:r>
              <w:t>správca kapitoly alebo subjekt v jeho riadiacej pôsobnosti</w:t>
            </w:r>
            <w:r w:rsidRPr="005C2CEC">
              <w:t xml:space="preserve"> riadi </w:t>
            </w:r>
            <w:r>
              <w:t xml:space="preserve">aktuálne platným Metodickým pokynom „zásady spracovania Registra investícií“ MF SR pričom zohľadní </w:t>
            </w:r>
            <w:r w:rsidRPr="005C2CEC">
              <w:t>nasledujúc</w:t>
            </w:r>
            <w:r>
              <w:t>e</w:t>
            </w:r>
            <w:r w:rsidRPr="005C2CEC">
              <w:t xml:space="preserve"> princíp</w:t>
            </w:r>
            <w:r>
              <w:t>y</w:t>
            </w:r>
            <w:r w:rsidRPr="005C2CEC">
              <w:t>:</w:t>
            </w:r>
          </w:p>
          <w:p w14:paraId="546D90D0" w14:textId="01F3EFFD" w:rsidR="00594E44" w:rsidRDefault="00594E44" w:rsidP="00594E44">
            <w:pPr>
              <w:pStyle w:val="Odsekzoznamu"/>
              <w:numPr>
                <w:ilvl w:val="0"/>
                <w:numId w:val="23"/>
              </w:numPr>
            </w:pPr>
            <w:r>
              <w:t>J</w:t>
            </w:r>
            <w:r w:rsidRPr="005C2CEC">
              <w:t xml:space="preserve">ednotlivé IA </w:t>
            </w:r>
            <w:r>
              <w:t xml:space="preserve">je potrebné uviesť </w:t>
            </w:r>
            <w:r w:rsidRPr="005C2CEC">
              <w:t xml:space="preserve">v zmysle platnej rozpočtovej klasifikácie tak, aby jedna IA </w:t>
            </w:r>
            <w:r>
              <w:t>realizovala</w:t>
            </w:r>
            <w:r w:rsidRPr="005C2CEC">
              <w:t xml:space="preserve"> jeden investičný projekt. Viaceré investičné projekty so sumárnymi výdavkami viac ako 1,0 mil. eur nemajú byť rozpočtované v rámci jednej IA.</w:t>
            </w:r>
            <w:r>
              <w:t xml:space="preserve"> Jedna IA zároveň nemôže realizovať viaceré investičné projekty. </w:t>
            </w:r>
          </w:p>
          <w:p w14:paraId="0A594C90" w14:textId="6F61E7AC" w:rsidR="00594E44" w:rsidRPr="005C2CEC" w:rsidRDefault="00594E44" w:rsidP="00594E44">
            <w:pPr>
              <w:pStyle w:val="Odsekzoznamu"/>
              <w:numPr>
                <w:ilvl w:val="0"/>
                <w:numId w:val="23"/>
              </w:numPr>
            </w:pPr>
            <w:r>
              <w:t xml:space="preserve">Pri spracovaní návrhu rozpočtu je možné </w:t>
            </w:r>
            <w:r w:rsidRPr="005C2CEC">
              <w:t xml:space="preserve">požiadať </w:t>
            </w:r>
            <w:r>
              <w:t xml:space="preserve">aj </w:t>
            </w:r>
            <w:r w:rsidRPr="005C2CEC">
              <w:t>o výdavky na prípravu investičného projektu.</w:t>
            </w:r>
          </w:p>
          <w:p w14:paraId="1EDAF15A" w14:textId="26DD5C8E" w:rsidR="00594E44" w:rsidRPr="005C2CEC" w:rsidRDefault="00594E44" w:rsidP="00594E44">
            <w:pPr>
              <w:pStyle w:val="Odsekzoznamu"/>
              <w:numPr>
                <w:ilvl w:val="0"/>
                <w:numId w:val="23"/>
              </w:numPr>
            </w:pPr>
            <w:r>
              <w:t>Do výdavkov na investičný projekt</w:t>
            </w:r>
            <w:r w:rsidRPr="005C2CEC">
              <w:t xml:space="preserve"> </w:t>
            </w:r>
            <w:r>
              <w:t xml:space="preserve">sa </w:t>
            </w:r>
            <w:r w:rsidRPr="005C2CEC">
              <w:t>zahŕ</w:t>
            </w:r>
            <w:r>
              <w:t>ňajú</w:t>
            </w:r>
            <w:r w:rsidRPr="005C2CEC">
              <w:t xml:space="preserve"> aj výdavky na projektovú prípravu, ktorými sú napríklad výdavky na štúdiu uskutočniteľnosti, technickú štúdiu, posúdenie vplyvov na životné prostredie, dokumentáciu pre územné rozhodnutie, dokumentáciu pre stavebné povolenie, dokumentáciu realizácie stavby alebo inú projektovú dokumentáciu, dokumentáciu na ponuku alebo výdavky na majetkovo-právne vysporiadanie.</w:t>
            </w:r>
          </w:p>
          <w:p w14:paraId="5069D6A5" w14:textId="1BFD01F4" w:rsidR="00594E44" w:rsidRPr="005C2CEC" w:rsidRDefault="00594E44" w:rsidP="00594E44">
            <w:pPr>
              <w:pStyle w:val="Odsekzoznamu"/>
              <w:numPr>
                <w:ilvl w:val="0"/>
                <w:numId w:val="23"/>
              </w:numPr>
            </w:pPr>
            <w:r w:rsidRPr="005C2CEC">
              <w:t xml:space="preserve">Pre projekty, ktorých príprava vyžaduje rozsiahle zdroje (náklady na prípravu projektovej dokumentácie podľa predchádzajúceho bodu sú vyššie ako 100 tis. eur) </w:t>
            </w:r>
            <w:r>
              <w:t xml:space="preserve">je potrebné </w:t>
            </w:r>
            <w:r w:rsidRPr="005C2CEC">
              <w:t>vytvor</w:t>
            </w:r>
            <w:r>
              <w:t>iť</w:t>
            </w:r>
            <w:r w:rsidRPr="005C2CEC">
              <w:t xml:space="preserve"> samostatnú IA.</w:t>
            </w:r>
          </w:p>
          <w:p w14:paraId="075C66B0" w14:textId="0670A5E3" w:rsidR="00594E44" w:rsidRDefault="00594E44" w:rsidP="00594E44">
            <w:pPr>
              <w:pStyle w:val="Odsekzoznamu"/>
              <w:numPr>
                <w:ilvl w:val="0"/>
                <w:numId w:val="23"/>
              </w:numPr>
            </w:pPr>
            <w:r>
              <w:t>IA sa do RIS uvádzajú počas rozpisu limitov výdavkov pri tvorbe rozpočtu na nasledujúce rozpočtové obdobie.</w:t>
            </w:r>
          </w:p>
          <w:p w14:paraId="7EDC333E" w14:textId="3C99029B" w:rsidR="00594E44" w:rsidRPr="005C2CEC" w:rsidRDefault="00594E44" w:rsidP="00594E44">
            <w:pPr>
              <w:pStyle w:val="Odsekzoznamu"/>
              <w:numPr>
                <w:ilvl w:val="0"/>
                <w:numId w:val="23"/>
              </w:numPr>
            </w:pPr>
            <w:r>
              <w:t>IT výdavky je potrebné rozpočtovať podľa aktuálne platnej metodiky vydanej MIRRI SR.</w:t>
            </w:r>
          </w:p>
        </w:tc>
      </w:tr>
    </w:tbl>
    <w:p w14:paraId="7AE27D13" w14:textId="77777777" w:rsidR="00594E44" w:rsidRPr="005C2CEC" w:rsidRDefault="00594E44" w:rsidP="00594E44"/>
    <w:p w14:paraId="3313BB35" w14:textId="78241F64" w:rsidR="0089704E" w:rsidRPr="005C2CEC" w:rsidRDefault="004C40DB" w:rsidP="00982296">
      <w:pPr>
        <w:pStyle w:val="Nadpis1"/>
      </w:pPr>
      <w:bookmarkStart w:id="165" w:name="_Toc83651090"/>
      <w:r w:rsidRPr="005C2CEC">
        <w:t>R</w:t>
      </w:r>
      <w:r w:rsidR="0089704E" w:rsidRPr="005C2CEC">
        <w:t>ealizácia</w:t>
      </w:r>
      <w:r w:rsidR="00787470" w:rsidRPr="005C2CEC">
        <w:t xml:space="preserve"> </w:t>
      </w:r>
      <w:r w:rsidR="005D56BA" w:rsidRPr="005C2CEC">
        <w:t>investičného projektu</w:t>
      </w:r>
      <w:bookmarkEnd w:id="165"/>
    </w:p>
    <w:p w14:paraId="18049B8D" w14:textId="44F340B7" w:rsidR="00982296" w:rsidRPr="005C2CEC" w:rsidRDefault="00982296" w:rsidP="00982296">
      <w:pPr>
        <w:pStyle w:val="Nadpis2"/>
      </w:pPr>
      <w:bookmarkStart w:id="166" w:name="_Ref45288015"/>
      <w:bookmarkStart w:id="167" w:name="_Toc83651091"/>
      <w:r w:rsidRPr="005C2CEC">
        <w:t>Realizácia</w:t>
      </w:r>
      <w:r w:rsidR="00071B8E" w:rsidRPr="005C2CEC">
        <w:t xml:space="preserve"> a odovzdanie</w:t>
      </w:r>
      <w:r w:rsidRPr="005C2CEC">
        <w:t xml:space="preserve"> </w:t>
      </w:r>
      <w:bookmarkEnd w:id="166"/>
      <w:r w:rsidR="005D56BA" w:rsidRPr="005C2CEC">
        <w:t>investičného projektu</w:t>
      </w:r>
      <w:bookmarkEnd w:id="167"/>
    </w:p>
    <w:p w14:paraId="75C5275C" w14:textId="02EE1D58" w:rsidR="001739EB" w:rsidRPr="005C2CEC" w:rsidRDefault="007B1AD6" w:rsidP="00525D36">
      <w:r w:rsidRPr="005C2CEC">
        <w:t xml:space="preserve">MF SR </w:t>
      </w:r>
      <w:r w:rsidR="0010425E" w:rsidRPr="005C2CEC">
        <w:t>je oprávnené</w:t>
      </w:r>
      <w:r w:rsidR="00AD17F9">
        <w:rPr>
          <w:rStyle w:val="Odkaznapoznmkupodiarou"/>
        </w:rPr>
        <w:footnoteReference w:id="40"/>
      </w:r>
      <w:r w:rsidR="0010425E" w:rsidRPr="005C2CEC">
        <w:t xml:space="preserve"> </w:t>
      </w:r>
      <w:r w:rsidRPr="005C2CEC">
        <w:t>na základe písomnej žiadosti zaslanej dotknutému Investorovi požiadať o</w:t>
      </w:r>
      <w:r w:rsidR="0010425E" w:rsidRPr="005C2CEC">
        <w:t> všetky informácie a d</w:t>
      </w:r>
      <w:r w:rsidR="00F52661">
        <w:t>okumenty týkajúce sa realizácie</w:t>
      </w:r>
      <w:r w:rsidRPr="005C2CEC">
        <w:t xml:space="preserve"> investičného projektu</w:t>
      </w:r>
      <w:r w:rsidR="00AE30E2">
        <w:t>, pre ktorý je Investor povinný vypracovať štúdiu uskutočniteľnosti</w:t>
      </w:r>
      <w:r w:rsidRPr="005C2CEC">
        <w:t>.</w:t>
      </w:r>
      <w:r w:rsidR="0010425E" w:rsidRPr="005C2CEC">
        <w:t xml:space="preserve"> Investor poskytne požadované informácie a dokumenty v lehote určenej MF SR (minimálne 10 kalendárnych dní).</w:t>
      </w:r>
      <w:r w:rsidRPr="005C2CEC">
        <w:t xml:space="preserve"> </w:t>
      </w:r>
      <w:r w:rsidR="00E90769">
        <w:t>Účelom</w:t>
      </w:r>
      <w:r w:rsidRPr="005C2CEC">
        <w:t xml:space="preserve"> je najmä </w:t>
      </w:r>
      <w:r w:rsidR="002A164F">
        <w:t>získanie informácií o postupe realizácie investičného projektu</w:t>
      </w:r>
      <w:r w:rsidR="00E90769">
        <w:t xml:space="preserve"> týkajúcich sa predovšetkým </w:t>
      </w:r>
      <w:r w:rsidRPr="005C2CEC">
        <w:t>plneni</w:t>
      </w:r>
      <w:r w:rsidR="00E90769">
        <w:t>a</w:t>
      </w:r>
      <w:r w:rsidRPr="005C2CEC">
        <w:t xml:space="preserve"> zmluvných podmienok, priebeh</w:t>
      </w:r>
      <w:r w:rsidR="00E90769">
        <w:t>u</w:t>
      </w:r>
      <w:r w:rsidRPr="005C2CEC">
        <w:t xml:space="preserve"> realizácie projektu oproti projektovému plánu</w:t>
      </w:r>
      <w:r w:rsidR="002A164F">
        <w:t xml:space="preserve">, </w:t>
      </w:r>
      <w:r w:rsidR="002A164F">
        <w:lastRenderedPageBreak/>
        <w:t>potenciálnych rizík</w:t>
      </w:r>
      <w:r w:rsidRPr="005C2CEC">
        <w:t xml:space="preserve"> a</w:t>
      </w:r>
      <w:r w:rsidR="002A164F">
        <w:t xml:space="preserve"> stavu </w:t>
      </w:r>
      <w:r w:rsidRPr="005C2CEC">
        <w:t>implementáci</w:t>
      </w:r>
      <w:r w:rsidR="002A164F">
        <w:t>e</w:t>
      </w:r>
      <w:r w:rsidRPr="005C2CEC">
        <w:t xml:space="preserve"> požiadaviek MF SR na zme</w:t>
      </w:r>
      <w:r w:rsidR="005053ED" w:rsidRPr="005C2CEC">
        <w:t>n</w:t>
      </w:r>
      <w:r w:rsidR="00E90769">
        <w:t>y, ktoré</w:t>
      </w:r>
      <w:r w:rsidR="005053ED" w:rsidRPr="005C2CEC">
        <w:t xml:space="preserve"> vypl</w:t>
      </w:r>
      <w:r w:rsidR="00E90769">
        <w:t>ynuli</w:t>
      </w:r>
      <w:r w:rsidR="005053ED" w:rsidRPr="005C2CEC">
        <w:t xml:space="preserve"> z</w:t>
      </w:r>
      <w:r w:rsidR="00742BA7" w:rsidRPr="005C2CEC">
        <w:t xml:space="preserve"> ekonomického </w:t>
      </w:r>
      <w:r w:rsidR="005053ED" w:rsidRPr="005C2CEC">
        <w:t>hodnotenia štúdie uskutočniteľnosti</w:t>
      </w:r>
      <w:r w:rsidRPr="005C2CEC">
        <w:t>.</w:t>
      </w:r>
    </w:p>
    <w:p w14:paraId="011CA0E2" w14:textId="617E7424" w:rsidR="004B5CA1" w:rsidRPr="005C2CEC" w:rsidRDefault="00982296" w:rsidP="00D04691">
      <w:pPr>
        <w:pStyle w:val="Nadpis2"/>
      </w:pPr>
      <w:bookmarkStart w:id="168" w:name="_Ref45288025"/>
      <w:bookmarkStart w:id="169" w:name="_Toc83651092"/>
      <w:r w:rsidRPr="005C2CEC">
        <w:t>Následné v</w:t>
      </w:r>
      <w:r w:rsidR="004B5CA1" w:rsidRPr="005C2CEC">
        <w:t>yhodnotenie</w:t>
      </w:r>
      <w:r w:rsidR="003A5B1A" w:rsidRPr="005C2CEC">
        <w:t xml:space="preserve"> </w:t>
      </w:r>
      <w:bookmarkEnd w:id="168"/>
      <w:r w:rsidR="005D56BA" w:rsidRPr="005C2CEC">
        <w:t>investičného projektu</w:t>
      </w:r>
      <w:bookmarkEnd w:id="169"/>
    </w:p>
    <w:p w14:paraId="4D40700C" w14:textId="5A04219B" w:rsidR="001C5ED2" w:rsidRPr="005C2CEC" w:rsidRDefault="007E0754" w:rsidP="001C5ED2">
      <w:r w:rsidRPr="005C2CEC">
        <w:t xml:space="preserve">Po odovzdaní </w:t>
      </w:r>
      <w:r w:rsidR="00351165">
        <w:t xml:space="preserve">investičného </w:t>
      </w:r>
      <w:r w:rsidRPr="005C2CEC">
        <w:t xml:space="preserve">projektu, pre ktorý bola v zmysle kapitoly </w:t>
      </w:r>
      <w:r w:rsidR="007D6A59" w:rsidRPr="005C2CEC">
        <w:fldChar w:fldCharType="begin"/>
      </w:r>
      <w:r w:rsidR="007D6A59" w:rsidRPr="005C2CEC">
        <w:instrText xml:space="preserve"> REF _Ref45024676 \r \h </w:instrText>
      </w:r>
      <w:r w:rsidR="005C2CEC">
        <w:instrText xml:space="preserve"> \* MERGEFORMAT </w:instrText>
      </w:r>
      <w:r w:rsidR="007D6A59" w:rsidRPr="005C2CEC">
        <w:fldChar w:fldCharType="separate"/>
      </w:r>
      <w:r w:rsidR="000D2AF7">
        <w:t>4.2</w:t>
      </w:r>
      <w:r w:rsidR="007D6A59" w:rsidRPr="005C2CEC">
        <w:fldChar w:fldCharType="end"/>
      </w:r>
      <w:r w:rsidR="007D6A59" w:rsidRPr="005C2CEC">
        <w:t xml:space="preserve"> </w:t>
      </w:r>
      <w:r w:rsidRPr="005C2CEC">
        <w:t xml:space="preserve">vypracovaná štúdia uskutočniteľnosti, </w:t>
      </w:r>
      <w:r w:rsidR="001D19D3" w:rsidRPr="005C2CEC">
        <w:t xml:space="preserve">môže </w:t>
      </w:r>
      <w:r w:rsidR="007A2419" w:rsidRPr="005C2CEC">
        <w:t>príslušná</w:t>
      </w:r>
      <w:r w:rsidRPr="005C2CEC">
        <w:t xml:space="preserve"> analytická jednotka </w:t>
      </w:r>
      <w:r w:rsidR="001D19D3" w:rsidRPr="005C2CEC">
        <w:t xml:space="preserve">vykonať </w:t>
      </w:r>
      <w:r w:rsidRPr="005C2CEC">
        <w:t xml:space="preserve">následné vyhodnotenie reálnych nákladov a prínosov projektu. Pri IT projektoch </w:t>
      </w:r>
      <w:r w:rsidR="001D19D3" w:rsidRPr="005C2CEC">
        <w:t xml:space="preserve">je odporúčané </w:t>
      </w:r>
      <w:r w:rsidRPr="005C2CEC">
        <w:t>následné vyhodnotenie vykona</w:t>
      </w:r>
      <w:r w:rsidR="001D19D3" w:rsidRPr="005C2CEC">
        <w:t>ť</w:t>
      </w:r>
      <w:r w:rsidRPr="005C2CEC">
        <w:t xml:space="preserve"> do 12 mesiacov a v ostatných oblastiach do 24 mesiacov od odovzdania projektu do užívania.</w:t>
      </w:r>
      <w:r w:rsidR="009E00FA" w:rsidRPr="005C2CEC">
        <w:t xml:space="preserve"> V prípade stavebných projektov, ktorým bude kolaudačné rozhodnutie vydané viac ako 24 mesiacov po odovzdaní projektu</w:t>
      </w:r>
      <w:r w:rsidR="001D19D3" w:rsidRPr="005C2CEC">
        <w:t xml:space="preserve"> je odporúčané</w:t>
      </w:r>
      <w:r w:rsidR="009E00FA" w:rsidRPr="005C2CEC">
        <w:t>,</w:t>
      </w:r>
      <w:r w:rsidR="001D19D3" w:rsidRPr="005C2CEC">
        <w:t xml:space="preserve"> aby</w:t>
      </w:r>
      <w:r w:rsidR="009E00FA" w:rsidRPr="005C2CEC">
        <w:t xml:space="preserve"> </w:t>
      </w:r>
      <w:r w:rsidR="00D20155" w:rsidRPr="005C2CEC">
        <w:t xml:space="preserve">analytická jednotka </w:t>
      </w:r>
      <w:r w:rsidR="009E00FA" w:rsidRPr="005C2CEC">
        <w:t>aktualiz</w:t>
      </w:r>
      <w:r w:rsidR="001D19D3" w:rsidRPr="005C2CEC">
        <w:t>oval</w:t>
      </w:r>
      <w:r w:rsidR="00D20155" w:rsidRPr="005C2CEC">
        <w:t>a</w:t>
      </w:r>
      <w:r w:rsidR="009E00FA" w:rsidRPr="005C2CEC">
        <w:t xml:space="preserve"> správu z následného hodnotenia.</w:t>
      </w:r>
      <w:r w:rsidR="00E16547" w:rsidRPr="005C2CEC">
        <w:t xml:space="preserve"> V špecifických prípadoch môže byť v</w:t>
      </w:r>
      <w:r w:rsidR="00B7407C" w:rsidRPr="005C2CEC">
        <w:t> ekonomickom hodnotení</w:t>
      </w:r>
      <w:r w:rsidR="00E16547" w:rsidRPr="005C2CEC">
        <w:t xml:space="preserve"> MF SR navrhnutý iný termín následného vyhodnotenia investičného projektu</w:t>
      </w:r>
      <w:r w:rsidR="00B519B9">
        <w:t xml:space="preserve"> (napr. pri koncesiách, ktorých </w:t>
      </w:r>
      <w:r w:rsidR="00F91F7C">
        <w:t>následné</w:t>
      </w:r>
      <w:r w:rsidR="00B519B9">
        <w:t xml:space="preserve"> vyhodnotenie má význam až po uplynutí koncesnej doby)</w:t>
      </w:r>
      <w:r w:rsidR="00E16547" w:rsidRPr="005C2CEC">
        <w:t>.</w:t>
      </w:r>
      <w:r w:rsidR="00847BF1" w:rsidRPr="005C2CEC">
        <w:t xml:space="preserve"> Následné vyhodnotenie investičného projektu môže v rámci svojej pôsobnosti zabezpečiť </w:t>
      </w:r>
      <w:r w:rsidR="00E074F6" w:rsidRPr="005C2CEC">
        <w:t xml:space="preserve">vlastnými analytickými kapacitami </w:t>
      </w:r>
      <w:r w:rsidR="00847BF1" w:rsidRPr="005C2CEC">
        <w:t>aj Najvyšší kontrolný úrad SR</w:t>
      </w:r>
      <w:r w:rsidR="00847BF1" w:rsidRPr="005C2CEC">
        <w:rPr>
          <w:rStyle w:val="Odkaznapoznmkupodiarou"/>
        </w:rPr>
        <w:footnoteReference w:id="41"/>
      </w:r>
      <w:r w:rsidR="00847BF1" w:rsidRPr="005C2CEC">
        <w:t>.</w:t>
      </w:r>
    </w:p>
    <w:p w14:paraId="2D42FD5B" w14:textId="03E85A8A" w:rsidR="004800AC" w:rsidRPr="005C2CEC" w:rsidRDefault="007E0754" w:rsidP="001C5ED2">
      <w:r w:rsidRPr="005C2CEC">
        <w:t xml:space="preserve">Pri následnom vyhodnotení </w:t>
      </w:r>
      <w:r w:rsidR="00847BF1" w:rsidRPr="005C2CEC">
        <w:t>hodnotiteľ</w:t>
      </w:r>
      <w:r w:rsidRPr="005C2CEC">
        <w:t xml:space="preserve"> porovnáva</w:t>
      </w:r>
      <w:r w:rsidR="004800AC" w:rsidRPr="005C2CEC">
        <w:t xml:space="preserve"> údaje zo skutočne vynaložených nákladov a dosiahnutých prínosov oproti predpokladaným hodnotám deklarovaným v štúdii uskutočniteľnosti.</w:t>
      </w:r>
      <w:r w:rsidR="00AB5B1A">
        <w:t xml:space="preserve"> </w:t>
      </w:r>
      <w:r w:rsidR="004800AC" w:rsidRPr="005C2CEC">
        <w:t>Správa z následného vyhodnotenia projektu obsahuje minimálne nasledujúce informácie:</w:t>
      </w:r>
    </w:p>
    <w:p w14:paraId="430126A6" w14:textId="77777777" w:rsidR="004800AC" w:rsidRPr="005C2CEC" w:rsidRDefault="004800AC" w:rsidP="0087207E">
      <w:pPr>
        <w:pStyle w:val="Odsekzoznamu"/>
        <w:numPr>
          <w:ilvl w:val="0"/>
          <w:numId w:val="18"/>
        </w:numPr>
      </w:pPr>
      <w:r w:rsidRPr="005C2CEC">
        <w:t>Vyhodnotenie finančnej analýzy v rozsahu:</w:t>
      </w:r>
    </w:p>
    <w:p w14:paraId="1E34969B" w14:textId="10460F4F" w:rsidR="004800AC" w:rsidRPr="005C2CEC" w:rsidRDefault="004800AC" w:rsidP="0087207E">
      <w:pPr>
        <w:pStyle w:val="Odsekzoznamu"/>
        <w:numPr>
          <w:ilvl w:val="1"/>
          <w:numId w:val="4"/>
        </w:numPr>
      </w:pPr>
      <w:r w:rsidRPr="005C2CEC">
        <w:t>výpočet investičných nákladov (v EUR) a porovnanie s predpokladmi v ŠU (v %)</w:t>
      </w:r>
      <w:r w:rsidR="001A1F74" w:rsidRPr="005C2CEC">
        <w:t>,</w:t>
      </w:r>
    </w:p>
    <w:p w14:paraId="62828C27" w14:textId="6AC5FAC6" w:rsidR="004800AC" w:rsidRPr="005C2CEC" w:rsidRDefault="004800AC" w:rsidP="0087207E">
      <w:pPr>
        <w:pStyle w:val="Odsekzoznamu"/>
        <w:numPr>
          <w:ilvl w:val="1"/>
          <w:numId w:val="4"/>
        </w:numPr>
      </w:pPr>
      <w:r w:rsidRPr="005C2CEC">
        <w:t>výpočet zostatkovej hodnoty (v EUR) a porovnanie s predpokladmi v ŠU (v %)</w:t>
      </w:r>
      <w:r w:rsidR="001A1F74" w:rsidRPr="005C2CEC">
        <w:t>,</w:t>
      </w:r>
    </w:p>
    <w:p w14:paraId="454797D3" w14:textId="48327D28" w:rsidR="004800AC" w:rsidRPr="005C2CEC" w:rsidRDefault="004800AC" w:rsidP="0087207E">
      <w:pPr>
        <w:pStyle w:val="Odsekzoznamu"/>
        <w:numPr>
          <w:ilvl w:val="1"/>
          <w:numId w:val="4"/>
        </w:numPr>
      </w:pPr>
      <w:r w:rsidRPr="005C2CEC">
        <w:t>výpočet diskontovaných príjmov (v EUR) a porovnanie s predpokladmi v ŠU (v %)</w:t>
      </w:r>
      <w:r w:rsidR="001A1F74" w:rsidRPr="005C2CEC">
        <w:t>,</w:t>
      </w:r>
    </w:p>
    <w:p w14:paraId="66984374" w14:textId="71670368" w:rsidR="004800AC" w:rsidRPr="005C2CEC" w:rsidRDefault="004800AC" w:rsidP="0087207E">
      <w:pPr>
        <w:pStyle w:val="Odsekzoznamu"/>
        <w:numPr>
          <w:ilvl w:val="1"/>
          <w:numId w:val="4"/>
        </w:numPr>
      </w:pPr>
      <w:r w:rsidRPr="005C2CEC">
        <w:t>výpočet diskontovaných výdavkov (v EUR) a porovnanie s predpokladmi v ŠU (v %)</w:t>
      </w:r>
      <w:r w:rsidR="001A1F74" w:rsidRPr="005C2CEC">
        <w:t>.</w:t>
      </w:r>
    </w:p>
    <w:p w14:paraId="7A60B61E" w14:textId="55E70C51" w:rsidR="004800AC" w:rsidRPr="005C2CEC" w:rsidRDefault="004800AC" w:rsidP="0087207E">
      <w:pPr>
        <w:pStyle w:val="Odsekzoznamu"/>
        <w:numPr>
          <w:ilvl w:val="0"/>
          <w:numId w:val="4"/>
        </w:numPr>
      </w:pPr>
      <w:r w:rsidRPr="005C2CEC">
        <w:t>Vyhodnotenie ekonomickej analýzy v rozsahu:</w:t>
      </w:r>
    </w:p>
    <w:p w14:paraId="6B379C33" w14:textId="17FAA724" w:rsidR="004800AC" w:rsidRPr="005C2CEC" w:rsidRDefault="004800AC" w:rsidP="0087207E">
      <w:pPr>
        <w:pStyle w:val="Odsekzoznamu"/>
        <w:numPr>
          <w:ilvl w:val="1"/>
          <w:numId w:val="4"/>
        </w:numPr>
      </w:pPr>
      <w:r w:rsidRPr="005C2CEC">
        <w:t>Výpočet ekonomických prínosov (napr. úspora času, počet výkonov, nehodovosť, emisie a pod.) (v EUR) a porovnanie s predpokladmi v ŠU (v %)</w:t>
      </w:r>
      <w:r w:rsidR="001A1F74" w:rsidRPr="005C2CEC">
        <w:t>.</w:t>
      </w:r>
    </w:p>
    <w:p w14:paraId="4F7041BE" w14:textId="05EADB63" w:rsidR="004800AC" w:rsidRPr="005C2CEC" w:rsidRDefault="004800AC" w:rsidP="0087207E">
      <w:pPr>
        <w:pStyle w:val="Odsekzoznamu"/>
        <w:numPr>
          <w:ilvl w:val="0"/>
          <w:numId w:val="4"/>
        </w:numPr>
      </w:pPr>
      <w:r w:rsidRPr="005C2CEC">
        <w:t>Stručný textový komentár, ktorý zhodnotí odchýlku aktuálnych hodnôt v porovnaní s predpokladmi vrátane príčin zodpovedných za odchýlky</w:t>
      </w:r>
      <w:r w:rsidR="001A1F74" w:rsidRPr="005C2CEC">
        <w:t>.</w:t>
      </w:r>
    </w:p>
    <w:p w14:paraId="73D5145F" w14:textId="2E584862" w:rsidR="004F1819" w:rsidRPr="005C2CEC" w:rsidRDefault="004F1819" w:rsidP="004F1819">
      <w:pPr>
        <w:pStyle w:val="Popis"/>
      </w:pPr>
      <w:r w:rsidRPr="005C2CEC">
        <w:t xml:space="preserve">Box </w:t>
      </w:r>
      <w:r w:rsidR="00617AD6" w:rsidRPr="005C2CEC">
        <w:rPr>
          <w:noProof/>
        </w:rPr>
        <w:fldChar w:fldCharType="begin"/>
      </w:r>
      <w:r w:rsidR="00617AD6" w:rsidRPr="005C2CEC">
        <w:rPr>
          <w:noProof/>
        </w:rPr>
        <w:instrText xml:space="preserve"> SEQ Box \* ARABIC </w:instrText>
      </w:r>
      <w:r w:rsidR="00617AD6" w:rsidRPr="005C2CEC">
        <w:rPr>
          <w:noProof/>
        </w:rPr>
        <w:fldChar w:fldCharType="separate"/>
      </w:r>
      <w:r w:rsidR="000D2AF7">
        <w:rPr>
          <w:noProof/>
        </w:rPr>
        <w:t>14</w:t>
      </w:r>
      <w:r w:rsidR="00617AD6" w:rsidRPr="005C2CEC">
        <w:rPr>
          <w:noProof/>
        </w:rPr>
        <w:fldChar w:fldCharType="end"/>
      </w:r>
      <w:r w:rsidRPr="005C2CEC">
        <w:t>: Príklad ex-post kontroly v doprave</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Look w:val="04A0" w:firstRow="1" w:lastRow="0" w:firstColumn="1" w:lastColumn="0" w:noHBand="0" w:noVBand="1"/>
      </w:tblPr>
      <w:tblGrid>
        <w:gridCol w:w="9062"/>
      </w:tblGrid>
      <w:tr w:rsidR="004F1819" w:rsidRPr="005C2CEC" w14:paraId="2D113DB6" w14:textId="77777777" w:rsidTr="001F2F09">
        <w:tc>
          <w:tcPr>
            <w:tcW w:w="9062" w:type="dxa"/>
            <w:shd w:val="clear" w:color="auto" w:fill="DEEAF6" w:themeFill="accent1" w:themeFillTint="33"/>
          </w:tcPr>
          <w:p w14:paraId="61039009" w14:textId="0E070CC7" w:rsidR="004F1819" w:rsidRPr="005C2CEC" w:rsidRDefault="00B44647" w:rsidP="00B44647">
            <w:r w:rsidRPr="005C2CEC">
              <w:t xml:space="preserve">Príkladom ex-post kontroly je spätné overovanie finančnej a ekonomickej návratnosti zrealizovaných projektov (ex-post CBA), ktorú zabezpečujú riadiace orgány operačných programov. V prípade Operačného programu Integrovaná infraštruktúra (OPII) vykonáva kontrolu </w:t>
            </w:r>
            <w:r w:rsidR="009D48EA">
              <w:t xml:space="preserve">dopravných projektov </w:t>
            </w:r>
            <w:r w:rsidRPr="005C2CEC">
              <w:t>Ministerstvo dopravy a výstavby SR.</w:t>
            </w:r>
          </w:p>
          <w:p w14:paraId="6CCBF7A8" w14:textId="77777777" w:rsidR="00B44647" w:rsidRPr="005C2CEC" w:rsidRDefault="00B44647" w:rsidP="00B44647">
            <w:r w:rsidRPr="005C2CEC">
              <w:t>Pri spätnom hodnotení sú aktualizované vstupné údaje analýzy, ako je HDP, inflácia, ceny pohonných hmôt, nehodovosť, či investičné náklady a príjmy projektu. Následne je prepočítaná CBA, výsledkom čoho je porovnanie reálnych prínosov a nákladov investičného projektu.</w:t>
            </w:r>
          </w:p>
          <w:p w14:paraId="012CB7E2" w14:textId="1A3C8AAD" w:rsidR="00B44647" w:rsidRPr="005C2CEC" w:rsidRDefault="00B44647" w:rsidP="00F93382">
            <w:r w:rsidRPr="005C2CEC">
              <w:t xml:space="preserve">V prípade ex-post CBA projektu výstavby </w:t>
            </w:r>
            <w:r w:rsidR="001F72E1" w:rsidRPr="005C2CEC">
              <w:t>rýchlostnej cesty</w:t>
            </w:r>
            <w:r w:rsidRPr="005C2CEC">
              <w:t xml:space="preserve"> „</w:t>
            </w:r>
            <w:r w:rsidR="001F72E1" w:rsidRPr="005C2CEC">
              <w:t>R2 Pstruša - Kriváň</w:t>
            </w:r>
            <w:r w:rsidRPr="005C2CEC">
              <w:t xml:space="preserve">“ </w:t>
            </w:r>
            <w:r w:rsidR="00F93382" w:rsidRPr="005C2CEC">
              <w:t>bolo napríklad zistené, že reálne investičné náklady sa zvýšili o</w:t>
            </w:r>
            <w:r w:rsidR="001F72E1" w:rsidRPr="005C2CEC">
              <w:t> 1,3</w:t>
            </w:r>
            <w:r w:rsidR="00F93382" w:rsidRPr="005C2CEC">
              <w:t xml:space="preserve"> %, reálne príjmy sa znížili o </w:t>
            </w:r>
            <w:r w:rsidR="001F72E1" w:rsidRPr="005C2CEC">
              <w:t>92</w:t>
            </w:r>
            <w:r w:rsidR="00F93382" w:rsidRPr="005C2CEC">
              <w:t xml:space="preserve"> % a celkové BCR projektu sa </w:t>
            </w:r>
            <w:r w:rsidR="001F72E1" w:rsidRPr="005C2CEC">
              <w:t xml:space="preserve">znížilo </w:t>
            </w:r>
            <w:r w:rsidR="002D78A1" w:rsidRPr="005C2CEC">
              <w:t xml:space="preserve">najmä </w:t>
            </w:r>
            <w:r w:rsidR="00F93382" w:rsidRPr="005C2CEC">
              <w:t xml:space="preserve">z dôvodu </w:t>
            </w:r>
            <w:r w:rsidR="001F72E1" w:rsidRPr="005C2CEC">
              <w:t xml:space="preserve">poklesu </w:t>
            </w:r>
            <w:r w:rsidR="00F93382" w:rsidRPr="005C2CEC">
              <w:t>úspory času cestujúcich</w:t>
            </w:r>
            <w:r w:rsidR="002D78A1" w:rsidRPr="005C2CEC">
              <w:t> </w:t>
            </w:r>
            <w:r w:rsidR="00B859EB" w:rsidRPr="005C2CEC">
              <w:t>,</w:t>
            </w:r>
            <w:r w:rsidR="00F93382" w:rsidRPr="005C2CEC">
              <w:t xml:space="preserve"> ako bolo predpokladané v pôvodnej CBA.</w:t>
            </w:r>
          </w:p>
          <w:bookmarkStart w:id="170" w:name="_Toc83651115"/>
          <w:p w14:paraId="4ECBFDD4" w14:textId="097E85D1" w:rsidR="00F93382" w:rsidRPr="005C2CEC" w:rsidRDefault="005D4C17" w:rsidP="00F93382">
            <w:pPr>
              <w:pStyle w:val="Popis"/>
            </w:pPr>
            <w:r>
              <w:rPr>
                <w:noProof/>
                <w:lang w:eastAsia="sk-SK"/>
              </w:rPr>
              <mc:AlternateContent>
                <mc:Choice Requires="wps">
                  <w:drawing>
                    <wp:anchor distT="0" distB="0" distL="114300" distR="114300" simplePos="0" relativeHeight="251659264" behindDoc="0" locked="0" layoutInCell="1" allowOverlap="1" wp14:anchorId="16674BC6" wp14:editId="4C32DC16">
                      <wp:simplePos x="0" y="0"/>
                      <wp:positionH relativeFrom="column">
                        <wp:posOffset>165944</wp:posOffset>
                      </wp:positionH>
                      <wp:positionV relativeFrom="paragraph">
                        <wp:posOffset>232072</wp:posOffset>
                      </wp:positionV>
                      <wp:extent cx="5312780" cy="2575367"/>
                      <wp:effectExtent l="0" t="0" r="21590" b="15875"/>
                      <wp:wrapNone/>
                      <wp:docPr id="9" name="Obdĺžnik 9"/>
                      <wp:cNvGraphicFramePr/>
                      <a:graphic xmlns:a="http://schemas.openxmlformats.org/drawingml/2006/main">
                        <a:graphicData uri="http://schemas.microsoft.com/office/word/2010/wordprocessingShape">
                          <wps:wsp>
                            <wps:cNvSpPr/>
                            <wps:spPr>
                              <a:xfrm>
                                <a:off x="0" y="0"/>
                                <a:ext cx="5312780" cy="2575367"/>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730A120" id="Obdĺžnik 9" o:spid="_x0000_s1026" style="position:absolute;margin-left:13.05pt;margin-top:18.25pt;width:418.35pt;height:202.8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" filled="f" strokecolor="black [3213]" strokeweight="1pt"/>
                  </w:pict>
                </mc:Fallback>
              </mc:AlternateContent>
            </w:r>
            <w:r w:rsidR="00F93382" w:rsidRPr="005C2CEC">
              <w:t xml:space="preserve">Tabuľka </w:t>
            </w:r>
            <w:r w:rsidR="00617AD6" w:rsidRPr="005C2CEC">
              <w:rPr>
                <w:noProof/>
              </w:rPr>
              <w:fldChar w:fldCharType="begin"/>
            </w:r>
            <w:r w:rsidR="00617AD6" w:rsidRPr="005C2CEC">
              <w:rPr>
                <w:noProof/>
              </w:rPr>
              <w:instrText xml:space="preserve"> SEQ Tabuľka \* ARABIC </w:instrText>
            </w:r>
            <w:r w:rsidR="00617AD6" w:rsidRPr="005C2CEC">
              <w:rPr>
                <w:noProof/>
              </w:rPr>
              <w:fldChar w:fldCharType="separate"/>
            </w:r>
            <w:r w:rsidR="003B5091">
              <w:rPr>
                <w:noProof/>
              </w:rPr>
              <w:t>11</w:t>
            </w:r>
            <w:r w:rsidR="00617AD6" w:rsidRPr="005C2CEC">
              <w:rPr>
                <w:noProof/>
              </w:rPr>
              <w:fldChar w:fldCharType="end"/>
            </w:r>
            <w:r w:rsidR="00F93382" w:rsidRPr="005C2CEC">
              <w:t>: Príklad výsledku z ex-post CBA dopravného investičného projektu</w:t>
            </w:r>
            <w:bookmarkEnd w:id="170"/>
          </w:p>
          <w:p w14:paraId="681AAE70" w14:textId="753D251A" w:rsidR="005D4C17" w:rsidRPr="005D4C17" w:rsidRDefault="005D4C17" w:rsidP="005D4C17">
            <w:pPr>
              <w:spacing w:after="120"/>
              <w:ind w:left="317" w:right="303"/>
              <w:rPr>
                <w:b/>
                <w:bCs/>
              </w:rPr>
            </w:pPr>
            <w:r w:rsidRPr="005D4C17">
              <w:rPr>
                <w:b/>
                <w:bCs/>
              </w:rPr>
              <w:t>Vyhodnotenie ekonomickej analýzy</w:t>
            </w:r>
          </w:p>
          <w:p w14:paraId="1F9DFF15" w14:textId="77777777" w:rsidR="005D4C17" w:rsidRPr="005D4C17" w:rsidRDefault="005D4C17" w:rsidP="005D4C17">
            <w:pPr>
              <w:spacing w:after="120"/>
              <w:ind w:left="317" w:right="303"/>
            </w:pPr>
            <w:r w:rsidRPr="005D4C17">
              <w:t>Pomer nákladov a výnosov (B/C) sa znížil z </w:t>
            </w:r>
            <w:r w:rsidRPr="005D4C17">
              <w:rPr>
                <w:b/>
                <w:bCs/>
              </w:rPr>
              <w:t>1,02</w:t>
            </w:r>
            <w:r w:rsidRPr="005D4C17">
              <w:t> na </w:t>
            </w:r>
            <w:r w:rsidRPr="005D4C17">
              <w:rPr>
                <w:b/>
                <w:bCs/>
              </w:rPr>
              <w:t>0,47.</w:t>
            </w:r>
            <w:r w:rsidRPr="005D4C17">
              <w:t xml:space="preserve"> Zníženie bolo zapríčinené odlišným spôsobom výpočtu zostatkovej hodnoty, vplyvom poklesu úspor niektorých ukazovateľov uvádzaných nižšie, ako </w:t>
            </w:r>
            <w:r w:rsidRPr="005D4C17">
              <w:lastRenderedPageBreak/>
              <w:t>aj faktom, že ex-post CBA bola prepočítaná aktuálne platnou metodikou, ktorá obsahuje odlišné sadzby (ako napr. nižšia hodnota času).</w:t>
            </w:r>
          </w:p>
          <w:p w14:paraId="0789193F" w14:textId="44B6EFE8" w:rsidR="005D4C17" w:rsidRPr="005D4C17" w:rsidRDefault="005D4C17" w:rsidP="005D4C17">
            <w:pPr>
              <w:spacing w:after="120"/>
              <w:ind w:left="317" w:right="303"/>
            </w:pPr>
            <w:r w:rsidRPr="005D4C17">
              <w:t>Zmenu z ekonomicky prínosného projektu na neefektívny spôsobilo najmä doplnenie výpočtu vplyvu externalít a tiež nižší objem dopravy na ceste R2 ako bol v pôvodnej CBA odhadovaný. </w:t>
            </w:r>
          </w:p>
          <w:tbl>
            <w:tblPr>
              <w:tblW w:w="0" w:type="auto"/>
              <w:tblInd w:w="309" w:type="dxa"/>
              <w:tblBorders>
                <w:top w:val="outset" w:sz="6" w:space="0" w:color="auto"/>
                <w:left w:val="outset" w:sz="6" w:space="0" w:color="auto"/>
                <w:bottom w:val="outset" w:sz="6" w:space="0" w:color="auto"/>
                <w:right w:val="outset" w:sz="6" w:space="0" w:color="auto"/>
              </w:tblBorders>
              <w:shd w:val="clear" w:color="auto" w:fill="FFFFFF"/>
              <w:tblCellMar>
                <w:top w:w="57" w:type="dxa"/>
                <w:left w:w="57" w:type="dxa"/>
                <w:bottom w:w="57" w:type="dxa"/>
                <w:right w:w="57" w:type="dxa"/>
              </w:tblCellMar>
              <w:tblLook w:val="04A0" w:firstRow="1" w:lastRow="0" w:firstColumn="1" w:lastColumn="0" w:noHBand="0" w:noVBand="1"/>
            </w:tblPr>
            <w:tblGrid>
              <w:gridCol w:w="1559"/>
              <w:gridCol w:w="2268"/>
              <w:gridCol w:w="2127"/>
              <w:gridCol w:w="1275"/>
            </w:tblGrid>
            <w:tr w:rsidR="005D4C17" w:rsidRPr="005D4C17" w14:paraId="057C6C00" w14:textId="77777777" w:rsidTr="000129F7">
              <w:trPr>
                <w:trHeight w:val="315"/>
              </w:trPr>
              <w:tc>
                <w:tcPr>
                  <w:tcW w:w="1559" w:type="dxa"/>
                  <w:vMerge w:val="restart"/>
                  <w:tcBorders>
                    <w:top w:val="outset" w:sz="6" w:space="0" w:color="auto"/>
                    <w:left w:val="outset" w:sz="6" w:space="0" w:color="auto"/>
                    <w:right w:val="outset" w:sz="6" w:space="0" w:color="auto"/>
                  </w:tcBorders>
                  <w:shd w:val="clear" w:color="auto" w:fill="auto"/>
                  <w:vAlign w:val="center"/>
                  <w:hideMark/>
                </w:tcPr>
                <w:p w14:paraId="319A364B" w14:textId="77777777" w:rsidR="005D4C17" w:rsidRPr="005D4C17" w:rsidRDefault="005D4C17" w:rsidP="000129F7">
                  <w:pPr>
                    <w:spacing w:after="0"/>
                    <w:ind w:left="113" w:right="113"/>
                    <w:jc w:val="left"/>
                  </w:pPr>
                  <w:r w:rsidRPr="005D4C17">
                    <w:rPr>
                      <w:b/>
                      <w:bCs/>
                    </w:rPr>
                    <w:t>Úspora času cestujúcich</w:t>
                  </w:r>
                </w:p>
              </w:tc>
              <w:tc>
                <w:tcPr>
                  <w:tcW w:w="2268"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8614A61" w14:textId="66C347A4" w:rsidR="005D4C17" w:rsidRPr="005D4C17" w:rsidRDefault="005D4C17" w:rsidP="000129F7">
                  <w:pPr>
                    <w:spacing w:after="0"/>
                    <w:ind w:left="317" w:right="303"/>
                    <w:jc w:val="center"/>
                  </w:pPr>
                  <w:r w:rsidRPr="005D4C17">
                    <w:t>pôvodná</w:t>
                  </w:r>
                </w:p>
              </w:tc>
              <w:tc>
                <w:tcPr>
                  <w:tcW w:w="2127" w:type="dxa"/>
                  <w:tcBorders>
                    <w:top w:val="outset" w:sz="6" w:space="0" w:color="auto"/>
                    <w:left w:val="outset" w:sz="6" w:space="0" w:color="auto"/>
                    <w:bottom w:val="single" w:sz="4" w:space="0" w:color="auto"/>
                    <w:right w:val="outset" w:sz="6" w:space="0" w:color="auto"/>
                  </w:tcBorders>
                  <w:shd w:val="clear" w:color="auto" w:fill="auto"/>
                  <w:vAlign w:val="center"/>
                  <w:hideMark/>
                </w:tcPr>
                <w:p w14:paraId="2EAF107F" w14:textId="2B37C977" w:rsidR="005D4C17" w:rsidRPr="005D4C17" w:rsidRDefault="005D4C17" w:rsidP="000129F7">
                  <w:pPr>
                    <w:spacing w:after="0"/>
                    <w:ind w:left="317" w:right="303"/>
                    <w:jc w:val="center"/>
                  </w:pPr>
                  <w:r w:rsidRPr="005D4C17">
                    <w:t>po aktualizácii</w:t>
                  </w:r>
                </w:p>
              </w:tc>
              <w:tc>
                <w:tcPr>
                  <w:tcW w:w="1275" w:type="dxa"/>
                  <w:vMerge w:val="restart"/>
                  <w:tcBorders>
                    <w:top w:val="outset" w:sz="6" w:space="0" w:color="auto"/>
                    <w:left w:val="outset" w:sz="6" w:space="0" w:color="auto"/>
                    <w:right w:val="outset" w:sz="6" w:space="0" w:color="auto"/>
                  </w:tcBorders>
                  <w:shd w:val="clear" w:color="auto" w:fill="auto"/>
                  <w:vAlign w:val="center"/>
                  <w:hideMark/>
                </w:tcPr>
                <w:p w14:paraId="0D18A4F1" w14:textId="77777777" w:rsidR="005D4C17" w:rsidRPr="005D4C17" w:rsidRDefault="005D4C17" w:rsidP="000129F7">
                  <w:pPr>
                    <w:spacing w:after="0"/>
                    <w:ind w:left="317" w:right="303"/>
                    <w:jc w:val="center"/>
                  </w:pPr>
                  <w:r w:rsidRPr="005D4C17">
                    <w:rPr>
                      <w:b/>
                      <w:bCs/>
                    </w:rPr>
                    <w:t>-62 %</w:t>
                  </w:r>
                </w:p>
              </w:tc>
            </w:tr>
            <w:tr w:rsidR="005D4C17" w:rsidRPr="005D4C17" w14:paraId="2A6013F6" w14:textId="77777777" w:rsidTr="000129F7">
              <w:trPr>
                <w:trHeight w:val="314"/>
              </w:trPr>
              <w:tc>
                <w:tcPr>
                  <w:tcW w:w="1559" w:type="dxa"/>
                  <w:vMerge/>
                  <w:tcBorders>
                    <w:left w:val="outset" w:sz="6" w:space="0" w:color="auto"/>
                    <w:bottom w:val="outset" w:sz="6" w:space="0" w:color="auto"/>
                    <w:right w:val="outset" w:sz="6" w:space="0" w:color="auto"/>
                  </w:tcBorders>
                  <w:shd w:val="clear" w:color="auto" w:fill="auto"/>
                  <w:vAlign w:val="center"/>
                </w:tcPr>
                <w:p w14:paraId="54F5A51D" w14:textId="77777777" w:rsidR="005D4C17" w:rsidRPr="005D4C17" w:rsidRDefault="005D4C17" w:rsidP="005D4C17">
                  <w:pPr>
                    <w:spacing w:after="0"/>
                    <w:ind w:left="317" w:right="303"/>
                    <w:jc w:val="left"/>
                    <w:rPr>
                      <w:b/>
                      <w:bCs/>
                    </w:rPr>
                  </w:pPr>
                </w:p>
              </w:tc>
              <w:tc>
                <w:tcPr>
                  <w:tcW w:w="2268" w:type="dxa"/>
                  <w:tcBorders>
                    <w:top w:val="outset" w:sz="6" w:space="0" w:color="auto"/>
                    <w:left w:val="outset" w:sz="6" w:space="0" w:color="auto"/>
                    <w:bottom w:val="outset" w:sz="6" w:space="0" w:color="auto"/>
                    <w:right w:val="outset" w:sz="6" w:space="0" w:color="auto"/>
                  </w:tcBorders>
                  <w:shd w:val="clear" w:color="auto" w:fill="auto"/>
                  <w:vAlign w:val="center"/>
                </w:tcPr>
                <w:p w14:paraId="6ECC320F" w14:textId="408FDF75" w:rsidR="005D4C17" w:rsidRPr="005D4C17" w:rsidRDefault="005D4C17" w:rsidP="005D4C17">
                  <w:pPr>
                    <w:spacing w:after="0"/>
                    <w:ind w:left="317" w:right="303"/>
                    <w:jc w:val="center"/>
                  </w:pPr>
                  <w:r w:rsidRPr="005D4C17">
                    <w:rPr>
                      <w:b/>
                      <w:bCs/>
                    </w:rPr>
                    <w:t>134 266 622 EUR</w:t>
                  </w:r>
                </w:p>
              </w:tc>
              <w:tc>
                <w:tcPr>
                  <w:tcW w:w="2127" w:type="dxa"/>
                  <w:tcBorders>
                    <w:top w:val="single" w:sz="4" w:space="0" w:color="auto"/>
                    <w:left w:val="outset" w:sz="6" w:space="0" w:color="auto"/>
                    <w:bottom w:val="outset" w:sz="6" w:space="0" w:color="auto"/>
                    <w:right w:val="outset" w:sz="6" w:space="0" w:color="auto"/>
                  </w:tcBorders>
                  <w:shd w:val="clear" w:color="auto" w:fill="auto"/>
                  <w:vAlign w:val="center"/>
                </w:tcPr>
                <w:p w14:paraId="2AA95233" w14:textId="46B8827B" w:rsidR="005D4C17" w:rsidRPr="005D4C17" w:rsidRDefault="005D4C17" w:rsidP="005D4C17">
                  <w:pPr>
                    <w:spacing w:after="0"/>
                    <w:ind w:left="317" w:right="303"/>
                    <w:jc w:val="center"/>
                  </w:pPr>
                  <w:r w:rsidRPr="005D4C17">
                    <w:rPr>
                      <w:b/>
                      <w:bCs/>
                    </w:rPr>
                    <w:t>51 328 466 EUR</w:t>
                  </w:r>
                </w:p>
              </w:tc>
              <w:tc>
                <w:tcPr>
                  <w:tcW w:w="1275" w:type="dxa"/>
                  <w:vMerge/>
                  <w:tcBorders>
                    <w:left w:val="outset" w:sz="6" w:space="0" w:color="auto"/>
                    <w:bottom w:val="outset" w:sz="6" w:space="0" w:color="auto"/>
                    <w:right w:val="outset" w:sz="6" w:space="0" w:color="auto"/>
                  </w:tcBorders>
                  <w:shd w:val="clear" w:color="auto" w:fill="auto"/>
                  <w:vAlign w:val="bottom"/>
                </w:tcPr>
                <w:p w14:paraId="3CC345F8" w14:textId="77777777" w:rsidR="005D4C17" w:rsidRPr="005D4C17" w:rsidRDefault="005D4C17" w:rsidP="005D4C17">
                  <w:pPr>
                    <w:spacing w:after="0"/>
                    <w:ind w:left="317" w:right="303"/>
                    <w:jc w:val="center"/>
                    <w:rPr>
                      <w:b/>
                      <w:bCs/>
                    </w:rPr>
                  </w:pPr>
                </w:p>
              </w:tc>
            </w:tr>
          </w:tbl>
          <w:p w14:paraId="1147E331" w14:textId="77777777" w:rsidR="005D4C17" w:rsidRPr="005D4C17" w:rsidRDefault="005D4C17" w:rsidP="000129F7">
            <w:pPr>
              <w:spacing w:before="120" w:after="120"/>
              <w:ind w:left="317" w:right="303"/>
            </w:pPr>
            <w:r w:rsidRPr="005D4C17">
              <w:t>Úspora času sa niekoľkonásobne znížila najmä v dôsledku aplikácie reálnych intenzít, ktoré sú nižšie ako predpokladal dopravný model.</w:t>
            </w:r>
          </w:p>
          <w:p w14:paraId="147BB3A0" w14:textId="36576D6F" w:rsidR="00F93382" w:rsidRDefault="00EF6C06" w:rsidP="008A0CDD">
            <w:r w:rsidRPr="005C2CEC">
              <w:t xml:space="preserve">V niektorých prípadoch nastanú počas </w:t>
            </w:r>
            <w:r w:rsidR="008A0CDD" w:rsidRPr="005C2CEC">
              <w:t xml:space="preserve">realizácie projektu </w:t>
            </w:r>
            <w:r w:rsidRPr="005C2CEC">
              <w:t xml:space="preserve">alebo po </w:t>
            </w:r>
            <w:r w:rsidR="008A0CDD" w:rsidRPr="005C2CEC">
              <w:t xml:space="preserve">nej </w:t>
            </w:r>
            <w:r w:rsidRPr="005C2CEC">
              <w:t>situácie, ktoré významne ovplyvnia celkovú ekonomiku projektu a nie je možné ich vopred očakávať. Vo všeobecnosti však platí, že v</w:t>
            </w:r>
            <w:r w:rsidR="00F93382" w:rsidRPr="005C2CEC">
              <w:t>ýsledky z následných kontrol predstavujú významný vstup pre aktualizáciu metodických príručiek</w:t>
            </w:r>
            <w:r w:rsidRPr="005C2CEC">
              <w:t xml:space="preserve"> a zreálnenie predpokladov použitých pri vypracovaní CBA následných investičných projektov</w:t>
            </w:r>
            <w:r w:rsidR="00F93382" w:rsidRPr="005C2CEC">
              <w:t>.</w:t>
            </w:r>
          </w:p>
          <w:p w14:paraId="507B8103" w14:textId="2D341F33" w:rsidR="004976EC" w:rsidRPr="005C2CEC" w:rsidRDefault="004976EC" w:rsidP="00C57D1C">
            <w:r>
              <w:t>V prípade školstva je možné v</w:t>
            </w:r>
            <w:r w:rsidR="00C57D1C">
              <w:t> ekonomickej analýze</w:t>
            </w:r>
            <w:r>
              <w:t xml:space="preserve"> zohľadňovať spoločensko-ekonomické prínosy napr. z rozvoja výskumných pracovísk, zo zvýšeného počtu patentov, počtu založených podnikov </w:t>
            </w:r>
            <w:r w:rsidR="00E916DC">
              <w:t xml:space="preserve">alebo </w:t>
            </w:r>
            <w:r>
              <w:t>rozvoja akademických kapacít v dôsledku nárastu počtu absolventov vysokých škôl.</w:t>
            </w:r>
            <w:r w:rsidR="00E916DC">
              <w:t xml:space="preserve"> V následnom vyhodnotení po realizácii projektu je vhodné prínosy deklarované v</w:t>
            </w:r>
            <w:r w:rsidR="00C57D1C">
              <w:t> ekonomickej analýze</w:t>
            </w:r>
            <w:r w:rsidR="00E916DC">
              <w:t xml:space="preserve"> porovnať s reálne dosiahnutými výsledkami.</w:t>
            </w:r>
          </w:p>
        </w:tc>
      </w:tr>
    </w:tbl>
    <w:p w14:paraId="6EA60743" w14:textId="2799A5AE" w:rsidR="001A1F74" w:rsidRPr="005C2CEC" w:rsidRDefault="001A1F74" w:rsidP="004800AC">
      <w:r w:rsidRPr="005C2CEC">
        <w:lastRenderedPageBreak/>
        <w:t xml:space="preserve">Pri následnom vyhodnotení projektu hodnotiteľ </w:t>
      </w:r>
      <w:r w:rsidR="00B15F36" w:rsidRPr="005C2CEC">
        <w:t xml:space="preserve">postupuje podľa metodickej príručky k vypracovaniu </w:t>
      </w:r>
      <w:r w:rsidR="00C57D1C">
        <w:t xml:space="preserve">finančnej a ekonomickej </w:t>
      </w:r>
      <w:r w:rsidR="00B15F36" w:rsidRPr="005C2CEC">
        <w:t xml:space="preserve">analýzy platnej v dobe predloženia štúdie uskutočniteľnosti. Hodnotiteľ zároveň </w:t>
      </w:r>
      <w:r w:rsidRPr="005C2CEC">
        <w:t>zohľadní princípy uvedené v kapitole 9.2 Rámca na hodnotenie verejných investičných projektov v SR.</w:t>
      </w:r>
      <w:r w:rsidR="009E00FA" w:rsidRPr="005C2CEC">
        <w:t xml:space="preserve"> Podrobnejšie informácie k následnému hodnoteniu projektov upraví MF SR v metodickom usmernení.</w:t>
      </w:r>
    </w:p>
    <w:p w14:paraId="095EF1DF" w14:textId="17CC6EC9" w:rsidR="000218F2" w:rsidRPr="005C2CEC" w:rsidRDefault="007A2419" w:rsidP="00577F95">
      <w:r w:rsidRPr="005C2CEC">
        <w:t>A</w:t>
      </w:r>
      <w:r w:rsidR="001A1F74" w:rsidRPr="005C2CEC">
        <w:t xml:space="preserve">nalytické jednotky </w:t>
      </w:r>
      <w:r w:rsidRPr="005C2CEC">
        <w:t xml:space="preserve">zohľadnia </w:t>
      </w:r>
      <w:r w:rsidR="001A1F74" w:rsidRPr="005C2CEC">
        <w:t xml:space="preserve">zásadné metodické zistenia </w:t>
      </w:r>
      <w:r w:rsidR="001D19D3" w:rsidRPr="005C2CEC">
        <w:t xml:space="preserve">vyplývajúce </w:t>
      </w:r>
      <w:r w:rsidR="001A1F74" w:rsidRPr="005C2CEC">
        <w:t>z následného vyhodnotenia prostredníctvom aktualizácie existujúcich metodík a benchmarkov.</w:t>
      </w:r>
      <w:bookmarkEnd w:id="77"/>
      <w:r w:rsidR="000218F2" w:rsidRPr="005C2CEC">
        <w:br w:type="page"/>
      </w:r>
    </w:p>
    <w:p w14:paraId="6603B974" w14:textId="3D262224" w:rsidR="000955DA" w:rsidRPr="005C2CEC" w:rsidRDefault="00983211" w:rsidP="000955DA">
      <w:pPr>
        <w:pStyle w:val="Nadpis1"/>
      </w:pPr>
      <w:bookmarkStart w:id="171" w:name="_Toc83651093"/>
      <w:r w:rsidRPr="005C2CEC">
        <w:lastRenderedPageBreak/>
        <w:t>Použité pojmy a </w:t>
      </w:r>
      <w:r w:rsidR="00D709AB" w:rsidRPr="005C2CEC">
        <w:t>skratky</w:t>
      </w:r>
      <w:bookmarkEnd w:id="171"/>
    </w:p>
    <w:p w14:paraId="37EE794C" w14:textId="77777777" w:rsidR="000955DA" w:rsidRPr="005C2CEC" w:rsidRDefault="000955DA" w:rsidP="000955DA">
      <w:pPr>
        <w:pStyle w:val="Nadpis2"/>
      </w:pPr>
      <w:bookmarkStart w:id="172" w:name="_Ref54344420"/>
      <w:bookmarkStart w:id="173" w:name="_Ref54344427"/>
      <w:bookmarkStart w:id="174" w:name="_Ref60744417"/>
      <w:bookmarkStart w:id="175" w:name="_Toc83651094"/>
      <w:r w:rsidRPr="005C2CEC">
        <w:t>Pojmy</w:t>
      </w:r>
      <w:bookmarkEnd w:id="172"/>
      <w:bookmarkEnd w:id="173"/>
      <w:bookmarkEnd w:id="174"/>
      <w:bookmarkEnd w:id="175"/>
    </w:p>
    <w:p w14:paraId="52B03080" w14:textId="71CA4A86" w:rsidR="000955DA" w:rsidRPr="005C2CEC" w:rsidRDefault="000C44B4" w:rsidP="009F7ABE">
      <w:pPr>
        <w:numPr>
          <w:ilvl w:val="0"/>
          <w:numId w:val="2"/>
        </w:numPr>
      </w:pPr>
      <w:r w:rsidRPr="005C2CEC">
        <w:rPr>
          <w:b/>
        </w:rPr>
        <w:t>Investor</w:t>
      </w:r>
      <w:r w:rsidRPr="005C2CEC">
        <w:t xml:space="preserve"> </w:t>
      </w:r>
      <w:r w:rsidR="000955DA" w:rsidRPr="005C2CEC">
        <w:rPr>
          <w:rStyle w:val="Intenzvnezvraznenie"/>
          <w:i w:val="0"/>
        </w:rPr>
        <w:t>je</w:t>
      </w:r>
      <w:r w:rsidR="000955DA" w:rsidRPr="005C2CEC">
        <w:t xml:space="preserve"> subjekt verejnej správy zodpovedný za prípravu investičného projektu</w:t>
      </w:r>
      <w:r w:rsidR="0035627F" w:rsidRPr="005C2CEC">
        <w:t xml:space="preserve"> s použitím verejných prostriedkov</w:t>
      </w:r>
      <w:r w:rsidR="000955DA" w:rsidRPr="005C2CEC">
        <w:t>, s výnimkou subjektu verejnej správy, ktorým je obec, vyšší územný celok a nimi zriadená rozpočtová organizácia a príspevková organizácia.</w:t>
      </w:r>
      <w:r w:rsidR="009F7ABE">
        <w:t xml:space="preserve"> </w:t>
      </w:r>
      <w:r w:rsidR="009F7ABE" w:rsidRPr="009F7ABE">
        <w:t xml:space="preserve">V prípade koncesií je Investorom aj štátny podnik a akciová spoločnosť, v ktorých štát vykonáva </w:t>
      </w:r>
      <w:r w:rsidR="004C7D84">
        <w:t xml:space="preserve">100 </w:t>
      </w:r>
      <w:r w:rsidR="004C7D84">
        <w:rPr>
          <w:lang w:val="en-GB"/>
        </w:rPr>
        <w:t>%</w:t>
      </w:r>
      <w:r w:rsidR="004C7D84" w:rsidRPr="009F7ABE">
        <w:t xml:space="preserve"> </w:t>
      </w:r>
      <w:r w:rsidR="009F7ABE" w:rsidRPr="009F7ABE">
        <w:t>hlasovacích práv.</w:t>
      </w:r>
    </w:p>
    <w:p w14:paraId="4C417AD0" w14:textId="2A60EE21" w:rsidR="000955DA" w:rsidRPr="005C2CEC" w:rsidRDefault="00375C98" w:rsidP="00375C98">
      <w:pPr>
        <w:pStyle w:val="Odsekzoznamu"/>
        <w:numPr>
          <w:ilvl w:val="0"/>
          <w:numId w:val="2"/>
        </w:numPr>
      </w:pPr>
      <w:r w:rsidRPr="005C2CEC">
        <w:rPr>
          <w:rStyle w:val="Intenzvnezvraznenie"/>
          <w:b/>
          <w:i w:val="0"/>
        </w:rPr>
        <w:t>Subjekt verejnej správy</w:t>
      </w:r>
      <w:bookmarkStart w:id="176" w:name="_Ref73452809"/>
      <w:r w:rsidR="00435BDC">
        <w:rPr>
          <w:rStyle w:val="Odkaznapoznmkupodiarou"/>
          <w:b/>
          <w:iCs/>
        </w:rPr>
        <w:footnoteReference w:id="42"/>
      </w:r>
      <w:bookmarkEnd w:id="176"/>
      <w:r w:rsidRPr="005C2CEC">
        <w:rPr>
          <w:rStyle w:val="Intenzvnezvraznenie"/>
          <w:i w:val="0"/>
        </w:rPr>
        <w:t xml:space="preserve"> </w:t>
      </w:r>
      <w:r w:rsidR="002D78A1" w:rsidRPr="005C2CEC">
        <w:rPr>
          <w:rStyle w:val="Intenzvnezvraznenie"/>
          <w:i w:val="0"/>
        </w:rPr>
        <w:t>je</w:t>
      </w:r>
      <w:r w:rsidRPr="005C2CEC">
        <w:rPr>
          <w:rStyle w:val="Intenzvnezvraznenie"/>
          <w:i w:val="0"/>
        </w:rPr>
        <w:t xml:space="preserve"> právnick</w:t>
      </w:r>
      <w:r w:rsidR="002D78A1" w:rsidRPr="005C2CEC">
        <w:rPr>
          <w:rStyle w:val="Intenzvnezvraznenie"/>
          <w:i w:val="0"/>
        </w:rPr>
        <w:t>á</w:t>
      </w:r>
      <w:r w:rsidRPr="005C2CEC">
        <w:rPr>
          <w:rStyle w:val="Intenzvnezvraznenie"/>
          <w:i w:val="0"/>
        </w:rPr>
        <w:t xml:space="preserve"> osob</w:t>
      </w:r>
      <w:r w:rsidR="002D78A1" w:rsidRPr="005C2CEC">
        <w:rPr>
          <w:rStyle w:val="Intenzvnezvraznenie"/>
          <w:i w:val="0"/>
        </w:rPr>
        <w:t>a</w:t>
      </w:r>
      <w:r w:rsidRPr="005C2CEC">
        <w:rPr>
          <w:rStyle w:val="Intenzvnezvraznenie"/>
          <w:i w:val="0"/>
        </w:rPr>
        <w:t xml:space="preserve"> zapísan</w:t>
      </w:r>
      <w:r w:rsidR="002D78A1" w:rsidRPr="005C2CEC">
        <w:rPr>
          <w:rStyle w:val="Intenzvnezvraznenie"/>
          <w:i w:val="0"/>
        </w:rPr>
        <w:t>á</w:t>
      </w:r>
      <w:r w:rsidRPr="005C2CEC">
        <w:rPr>
          <w:rStyle w:val="Intenzvnezvraznenie"/>
          <w:i w:val="0"/>
        </w:rPr>
        <w:t xml:space="preserve"> v registri organizácií vedenom Štatistickým úradom Slovenskej republiky podľa osobitného predpisu</w:t>
      </w:r>
      <w:r w:rsidRPr="005C2CEC">
        <w:rPr>
          <w:rStyle w:val="Odkaznapoznmkupodiarou"/>
        </w:rPr>
        <w:footnoteReference w:id="43"/>
      </w:r>
      <w:r w:rsidRPr="005C2CEC">
        <w:rPr>
          <w:rStyle w:val="Intenzvnezvraznenie"/>
          <w:i w:val="0"/>
        </w:rPr>
        <w:t xml:space="preserve"> a zaraden</w:t>
      </w:r>
      <w:r w:rsidR="002D78A1" w:rsidRPr="005C2CEC">
        <w:rPr>
          <w:rStyle w:val="Intenzvnezvraznenie"/>
          <w:i w:val="0"/>
        </w:rPr>
        <w:t>á</w:t>
      </w:r>
      <w:r w:rsidRPr="005C2CEC">
        <w:rPr>
          <w:rStyle w:val="Intenzvnezvraznenie"/>
          <w:i w:val="0"/>
        </w:rPr>
        <w:t xml:space="preserve"> vo verejnej správe v súlade s jednotnou metodikou platnou pre Európsku úniu, a to v ústrednej správe, v územnej samospráve, vo fondoch sociálneho poistenia a fondoch zdravotného poistenia</w:t>
      </w:r>
      <w:r w:rsidR="000955DA" w:rsidRPr="005C2CEC">
        <w:t>.</w:t>
      </w:r>
    </w:p>
    <w:p w14:paraId="07114F03" w14:textId="72DA64D4" w:rsidR="000955DA" w:rsidRDefault="000955DA" w:rsidP="000955DA">
      <w:pPr>
        <w:numPr>
          <w:ilvl w:val="0"/>
          <w:numId w:val="2"/>
        </w:numPr>
      </w:pPr>
      <w:r w:rsidRPr="005C2CEC">
        <w:rPr>
          <w:b/>
        </w:rPr>
        <w:t>Investičný projekt</w:t>
      </w:r>
      <w:r w:rsidRPr="005C2CEC">
        <w:t xml:space="preserve"> pre účely tohto dokumentu </w:t>
      </w:r>
      <w:r w:rsidR="002D78A1" w:rsidRPr="005C2CEC">
        <w:t>je</w:t>
      </w:r>
      <w:r w:rsidRPr="005C2CEC">
        <w:t xml:space="preserve"> investícia</w:t>
      </w:r>
      <w:r w:rsidR="00137310">
        <w:t xml:space="preserve"> alebo</w:t>
      </w:r>
      <w:r w:rsidR="00B13C47">
        <w:t xml:space="preserve"> </w:t>
      </w:r>
      <w:r w:rsidR="009F3579">
        <w:t xml:space="preserve">iný </w:t>
      </w:r>
      <w:r w:rsidR="00B13C47">
        <w:t>projekt investičného charakteru</w:t>
      </w:r>
      <w:r w:rsidR="00137310">
        <w:t>.</w:t>
      </w:r>
      <w:r w:rsidR="008476C2">
        <w:t xml:space="preserve"> </w:t>
      </w:r>
      <w:r w:rsidR="00224606">
        <w:t>Investičný projekt môže byť realizovaný aj formou koncesie</w:t>
      </w:r>
      <w:r w:rsidR="00DF4D6D">
        <w:t xml:space="preserve"> (PPP)</w:t>
      </w:r>
      <w:r w:rsidR="00224606">
        <w:t>, ak o tom rozhodne vláda SR.</w:t>
      </w:r>
      <w:r w:rsidR="00224606" w:rsidRPr="005C2CEC">
        <w:t xml:space="preserve"> </w:t>
      </w:r>
      <w:r w:rsidRPr="005C2CEC">
        <w:t xml:space="preserve">Viaceré </w:t>
      </w:r>
      <w:r w:rsidR="007720C5">
        <w:t>investície</w:t>
      </w:r>
      <w:r w:rsidRPr="005C2CEC">
        <w:t>, verejné obstarávania alebo rozhodnutia vytvárajúce záväzok sú podľa tohto dokumentu jedným investičným projektom, ak predstavujú jeden funkčný celok.</w:t>
      </w:r>
      <w:r w:rsidR="00BC1AD6" w:rsidRPr="005C2CEC">
        <w:t xml:space="preserve"> Za jeden investičný projekt pre účely tohto dokumentu sa považujú aj viaceré </w:t>
      </w:r>
      <w:r w:rsidR="00A943A9">
        <w:t xml:space="preserve">investície </w:t>
      </w:r>
      <w:r w:rsidR="00CD6A1B">
        <w:t>pripravované jedným Investorom,</w:t>
      </w:r>
      <w:r w:rsidR="00BC1AD6" w:rsidRPr="005C2CEC">
        <w:t xml:space="preserve"> ak je ich charakter z hľadiska obsahu totožný a ich realizácia plánovaná v úzkom časovom rozmedzí.</w:t>
      </w:r>
      <w:r w:rsidR="00FC1540">
        <w:t xml:space="preserve"> Investičným projektom je aj obstaranie tovaru alebo stavebných prác formou dynamického nákupného systému (DNS)</w:t>
      </w:r>
      <w:r w:rsidR="00D94DEE">
        <w:t>, zvýšenie hodnoty pozemku (napr. formou sanácie environmentálnej záťaže), projekty v informatizácií vrátane výdavkov na budúci rozvoj informačného systému a rámcových výdavkov (najmä tzv. rámec na zmenové požiadavky)</w:t>
      </w:r>
      <w:r w:rsidR="00FC1540">
        <w:t>.</w:t>
      </w:r>
    </w:p>
    <w:p w14:paraId="49D6F77C" w14:textId="36E20786" w:rsidR="00CD1A5F" w:rsidRPr="005C2CEC" w:rsidRDefault="00CD1A5F" w:rsidP="000955DA">
      <w:pPr>
        <w:numPr>
          <w:ilvl w:val="0"/>
          <w:numId w:val="2"/>
        </w:numPr>
      </w:pPr>
      <w:r>
        <w:rPr>
          <w:b/>
        </w:rPr>
        <w:t>Investičná akcia</w:t>
      </w:r>
      <w:r>
        <w:t xml:space="preserve"> pre účely tohto dokumentu znamená investičn</w:t>
      </w:r>
      <w:r w:rsidR="0011655C">
        <w:t>ý projekt evidovaný</w:t>
      </w:r>
      <w:r>
        <w:t xml:space="preserve"> v Rozpočtovom informačnom systéme</w:t>
      </w:r>
      <w:r w:rsidR="0011655C">
        <w:t xml:space="preserve"> (RIS) </w:t>
      </w:r>
      <w:r w:rsidR="0011655C" w:rsidRPr="005C2CEC">
        <w:t>v module Register investícií (RI)</w:t>
      </w:r>
      <w:r w:rsidR="0011655C">
        <w:t xml:space="preserve"> v zmysle Metodického pokynu a zásad spracovania Registra investícií Ministerstva financií SR.</w:t>
      </w:r>
      <w:r w:rsidR="0061058E">
        <w:t xml:space="preserve"> </w:t>
      </w:r>
      <w:r w:rsidR="00A6767F">
        <w:t>P</w:t>
      </w:r>
      <w:r w:rsidR="0061058E">
        <w:t xml:space="preserve">re jeden investičný projekt </w:t>
      </w:r>
      <w:r w:rsidR="00A6767F">
        <w:t xml:space="preserve">je </w:t>
      </w:r>
      <w:r w:rsidR="0061058E">
        <w:t>v RIS vytvorená práve jedna investičná akcia.</w:t>
      </w:r>
    </w:p>
    <w:p w14:paraId="3E10EA93" w14:textId="04D45144" w:rsidR="000955DA" w:rsidRPr="005C2CEC" w:rsidRDefault="000955DA" w:rsidP="000955DA">
      <w:pPr>
        <w:numPr>
          <w:ilvl w:val="0"/>
          <w:numId w:val="2"/>
        </w:numPr>
      </w:pPr>
      <w:r w:rsidRPr="005C2CEC">
        <w:rPr>
          <w:b/>
        </w:rPr>
        <w:t>Investíci</w:t>
      </w:r>
      <w:r w:rsidR="002D78A1" w:rsidRPr="005C2CEC">
        <w:rPr>
          <w:b/>
        </w:rPr>
        <w:t>a</w:t>
      </w:r>
      <w:r w:rsidR="00CD3A78" w:rsidRPr="00CD3A78">
        <w:rPr>
          <w:b/>
          <w:vertAlign w:val="superscript"/>
        </w:rPr>
        <w:fldChar w:fldCharType="begin"/>
      </w:r>
      <w:r w:rsidR="00CD3A78" w:rsidRPr="00137310">
        <w:rPr>
          <w:b/>
          <w:vertAlign w:val="superscript"/>
        </w:rPr>
        <w:instrText xml:space="preserve"> NOTEREF _Ref73452809 \h </w:instrText>
      </w:r>
      <w:r w:rsidR="00CD3A78">
        <w:rPr>
          <w:b/>
          <w:vertAlign w:val="superscript"/>
        </w:rPr>
        <w:instrText xml:space="preserve"> \* MERGEFORMAT </w:instrText>
      </w:r>
      <w:r w:rsidR="00CD3A78" w:rsidRPr="00CD3A78">
        <w:rPr>
          <w:b/>
          <w:vertAlign w:val="superscript"/>
        </w:rPr>
      </w:r>
      <w:r w:rsidR="00CD3A78" w:rsidRPr="00CD3A78">
        <w:rPr>
          <w:b/>
          <w:vertAlign w:val="superscript"/>
        </w:rPr>
        <w:fldChar w:fldCharType="separate"/>
      </w:r>
      <w:r w:rsidR="000D2AF7">
        <w:rPr>
          <w:b/>
          <w:vertAlign w:val="superscript"/>
        </w:rPr>
        <w:t>75</w:t>
      </w:r>
      <w:r w:rsidR="00CD3A78" w:rsidRPr="00CD3A78">
        <w:rPr>
          <w:b/>
          <w:vertAlign w:val="superscript"/>
        </w:rPr>
        <w:fldChar w:fldCharType="end"/>
      </w:r>
      <w:r w:rsidRPr="005C2CEC">
        <w:t xml:space="preserve"> </w:t>
      </w:r>
      <w:r w:rsidR="002D78A1" w:rsidRPr="005C2CEC">
        <w:t>je</w:t>
      </w:r>
      <w:r w:rsidRPr="005C2CEC">
        <w:t xml:space="preserve"> obstaranie hmotného majetku a nehmotného majetku</w:t>
      </w:r>
      <w:r w:rsidRPr="005C2CEC">
        <w:rPr>
          <w:vertAlign w:val="superscript"/>
        </w:rPr>
        <w:footnoteReference w:id="44"/>
      </w:r>
      <w:r w:rsidR="002F2F46">
        <w:t>,</w:t>
      </w:r>
      <w:r w:rsidRPr="005C2CEC">
        <w:t xml:space="preserve"> aj ak je vylúčený z odpisovania</w:t>
      </w:r>
      <w:r w:rsidRPr="005C2CEC">
        <w:rPr>
          <w:vertAlign w:val="superscript"/>
        </w:rPr>
        <w:footnoteReference w:id="45"/>
      </w:r>
      <w:r w:rsidRPr="005C2CEC">
        <w:t>, vrátane nájmu veci s právom kúpy prenajatej veci</w:t>
      </w:r>
      <w:r w:rsidRPr="005C2CEC">
        <w:rPr>
          <w:vertAlign w:val="superscript"/>
        </w:rPr>
        <w:footnoteReference w:id="46"/>
      </w:r>
      <w:r w:rsidRPr="005C2CEC">
        <w:t>, opcia na kúpu alebo dodanie, operatívny lízing</w:t>
      </w:r>
      <w:r w:rsidRPr="005C2CEC">
        <w:rPr>
          <w:vertAlign w:val="superscript"/>
        </w:rPr>
        <w:footnoteReference w:id="47"/>
      </w:r>
      <w:r w:rsidRPr="005C2CEC">
        <w:t xml:space="preserve">, nadobudnutie alebo </w:t>
      </w:r>
      <w:r w:rsidR="000C44B4" w:rsidRPr="005C2CEC">
        <w:t>zvýšenie majetkovej účasti Investora v právnickej osobe</w:t>
      </w:r>
      <w:r w:rsidRPr="005C2CEC">
        <w:t>. Investíciou sa rozumie aj predmet rámcovej dohody</w:t>
      </w:r>
      <w:r w:rsidRPr="005C2CEC">
        <w:rPr>
          <w:rStyle w:val="Odkaznapoznmkupodiarou"/>
        </w:rPr>
        <w:footnoteReference w:id="48"/>
      </w:r>
      <w:r w:rsidRPr="005C2CEC">
        <w:t xml:space="preserve">, podľa ktorej aspoň polovica výdavkov dohodnutých v rámcovej dohode sa má použiť na obstaranie majetku podľa </w:t>
      </w:r>
      <w:r w:rsidR="002F2F46">
        <w:t>predošlej</w:t>
      </w:r>
      <w:r w:rsidR="002F2F46" w:rsidRPr="005C2CEC">
        <w:t xml:space="preserve"> </w:t>
      </w:r>
      <w:r w:rsidRPr="005C2CEC">
        <w:t>vety.</w:t>
      </w:r>
    </w:p>
    <w:p w14:paraId="2A03E3FE" w14:textId="23F2B50A" w:rsidR="000955DA" w:rsidRPr="005C2CEC" w:rsidRDefault="000955DA" w:rsidP="00416A42">
      <w:pPr>
        <w:numPr>
          <w:ilvl w:val="0"/>
          <w:numId w:val="2"/>
        </w:numPr>
      </w:pPr>
      <w:r w:rsidRPr="005C2CEC">
        <w:rPr>
          <w:b/>
        </w:rPr>
        <w:t>Koncesi</w:t>
      </w:r>
      <w:r w:rsidR="002D78A1" w:rsidRPr="005C2CEC">
        <w:rPr>
          <w:b/>
        </w:rPr>
        <w:t>a</w:t>
      </w:r>
      <w:r w:rsidRPr="005C2CEC">
        <w:t xml:space="preserve"> </w:t>
      </w:r>
      <w:r w:rsidR="002D78A1" w:rsidRPr="005C2CEC">
        <w:t>je</w:t>
      </w:r>
      <w:r w:rsidRPr="005C2CEC">
        <w:t xml:space="preserve"> zákazk</w:t>
      </w:r>
      <w:r w:rsidR="002D78A1" w:rsidRPr="005C2CEC">
        <w:t>a</w:t>
      </w:r>
      <w:r w:rsidRPr="005C2CEC">
        <w:t xml:space="preserve"> podľa osobitného predpisu</w:t>
      </w:r>
      <w:r w:rsidRPr="005C2CEC">
        <w:rPr>
          <w:vertAlign w:val="superscript"/>
        </w:rPr>
        <w:footnoteReference w:id="49"/>
      </w:r>
      <w:r w:rsidRPr="005C2CEC">
        <w:t>, tzn. koncesia na stavebné práce, koncesia na služby a zmiešané koncesie.</w:t>
      </w:r>
      <w:r w:rsidR="00276AA1" w:rsidRPr="005C2CEC">
        <w:t xml:space="preserve"> Koncesiou podľa </w:t>
      </w:r>
      <w:r w:rsidR="00B608EA">
        <w:t xml:space="preserve">tejto Metodiky </w:t>
      </w:r>
      <w:r w:rsidR="00276AA1" w:rsidRPr="005C2CEC">
        <w:t xml:space="preserve">sa rozumejú aj zákazky pripravované štátnymi podnikmi a akciovými spoločnosťami, v ktorých štát vykonáva </w:t>
      </w:r>
      <w:r w:rsidR="004C7D84">
        <w:t xml:space="preserve">100 </w:t>
      </w:r>
      <w:r w:rsidR="004C7D84">
        <w:rPr>
          <w:lang w:val="en-GB"/>
        </w:rPr>
        <w:t>%</w:t>
      </w:r>
      <w:r w:rsidR="004C7D84" w:rsidRPr="005C2CEC">
        <w:t xml:space="preserve"> </w:t>
      </w:r>
      <w:r w:rsidR="00276AA1" w:rsidRPr="005C2CEC">
        <w:t>hlasovacích práv.</w:t>
      </w:r>
      <w:r w:rsidR="00416A42">
        <w:t xml:space="preserve"> </w:t>
      </w:r>
    </w:p>
    <w:p w14:paraId="723460AC" w14:textId="5E5CF89E" w:rsidR="005E6F63" w:rsidRPr="00C868C1" w:rsidRDefault="005E6F63" w:rsidP="002D78A1">
      <w:pPr>
        <w:numPr>
          <w:ilvl w:val="0"/>
          <w:numId w:val="2"/>
        </w:numPr>
      </w:pPr>
      <w:r w:rsidRPr="00C868C1">
        <w:rPr>
          <w:b/>
        </w:rPr>
        <w:lastRenderedPageBreak/>
        <w:t>Sektorová investičná stratégia</w:t>
      </w:r>
      <w:r w:rsidR="00C868C1">
        <w:t xml:space="preserve"> je dokument alebo časť dokumentu, ktorý pomenúva konkrétne investičné ciele sektoru spadajúceho do pôsobnosti ministerstva. Jedno ministerstvo môže spravovať viaceré sektory verejnej správy a pre každý z nich vypracuje investičnú stratégiu.</w:t>
      </w:r>
    </w:p>
    <w:p w14:paraId="4AA296CD" w14:textId="10B274BA" w:rsidR="002D78A1" w:rsidRPr="005C2CEC" w:rsidRDefault="002D78A1" w:rsidP="004F0110">
      <w:pPr>
        <w:numPr>
          <w:ilvl w:val="0"/>
          <w:numId w:val="2"/>
        </w:numPr>
      </w:pPr>
      <w:r w:rsidRPr="005C2CEC">
        <w:rPr>
          <w:b/>
        </w:rPr>
        <w:t>Verejné prostriedky</w:t>
      </w:r>
      <w:r w:rsidRPr="005C2CEC">
        <w:t xml:space="preserve"> sú finančné prostriedky, s ktorými hospodária právnické osoby verejnej správy; verejnými prostriedkami sú aj prostriedky Európskej únie a odvody Európskej únii</w:t>
      </w:r>
      <w:r w:rsidRPr="005C2CEC">
        <w:rPr>
          <w:rStyle w:val="Odkaznapoznmkupodiarou"/>
        </w:rPr>
        <w:footnoteReference w:id="50"/>
      </w:r>
      <w:r w:rsidR="004F0110">
        <w:t xml:space="preserve">, ako </w:t>
      </w:r>
      <w:r w:rsidR="004F0110" w:rsidRPr="004F0110">
        <w:t>aj finančné prostriedky, ktoré poskytuje subjekt verejnej správy právnickej osobe alebo fyzickej osobe, až do ich použitia na určený účel, a to aj vtedy, ak sa poskytujú prostredníctvom inej právnickej osoby</w:t>
      </w:r>
      <w:r w:rsidR="004F0110">
        <w:rPr>
          <w:rStyle w:val="Odkaznapoznmkupodiarou"/>
        </w:rPr>
        <w:footnoteReference w:id="51"/>
      </w:r>
      <w:r w:rsidRPr="005C2CEC">
        <w:t>.</w:t>
      </w:r>
    </w:p>
    <w:p w14:paraId="724E51E6" w14:textId="4E1F690A" w:rsidR="000955DA" w:rsidRPr="005C2CEC" w:rsidRDefault="000955DA" w:rsidP="00721424">
      <w:pPr>
        <w:numPr>
          <w:ilvl w:val="0"/>
          <w:numId w:val="2"/>
        </w:numPr>
      </w:pPr>
      <w:r w:rsidRPr="005C2CEC">
        <w:rPr>
          <w:b/>
        </w:rPr>
        <w:t>Investičný zámer</w:t>
      </w:r>
      <w:r w:rsidRPr="005C2CEC">
        <w:t xml:space="preserve"> </w:t>
      </w:r>
      <w:r w:rsidR="002D78A1" w:rsidRPr="005C2CEC">
        <w:t>je</w:t>
      </w:r>
      <w:r w:rsidRPr="005C2CEC">
        <w:t xml:space="preserve"> </w:t>
      </w:r>
      <w:r w:rsidR="00721424" w:rsidRPr="005C2CEC">
        <w:t>investičný projekt v počiatočnej fáze prípravy, v ktorom Investor preukáže súlad plánovaného investičného projektu so sektorovou investičnou stratégiou, nadväznosť na konkrétny investičný cieľ, zdôvodnenie potreby plánovaného investičného projektu, opis a porovnanie zvažovaných alternatív realizácie, odhad predpokladaných nákladov na realizáciu, zhrnutie predpokladaných prínosov plánovaného investičného projektu.</w:t>
      </w:r>
    </w:p>
    <w:p w14:paraId="41A8E176" w14:textId="3D553D7F" w:rsidR="000955DA" w:rsidRPr="005C2CEC" w:rsidRDefault="000955DA" w:rsidP="000955DA">
      <w:pPr>
        <w:numPr>
          <w:ilvl w:val="0"/>
          <w:numId w:val="2"/>
        </w:numPr>
      </w:pPr>
      <w:r w:rsidRPr="005C2CEC">
        <w:rPr>
          <w:b/>
        </w:rPr>
        <w:t>Proces riadenia verejných investícií</w:t>
      </w:r>
      <w:r w:rsidRPr="005C2CEC">
        <w:t xml:space="preserve"> </w:t>
      </w:r>
      <w:r w:rsidR="002D78A1" w:rsidRPr="005C2CEC">
        <w:t xml:space="preserve">predstavuje </w:t>
      </w:r>
      <w:r w:rsidRPr="005C2CEC">
        <w:t>súbor na seba nadväzujúcich aktivít počas celého životného cyklu verejných investičných projektov zahŕňajúci ich plánovanie, prípravu, obstarávanie, realizáciu, odovzdanie a následné vyhodnotenie.</w:t>
      </w:r>
    </w:p>
    <w:p w14:paraId="552F2ED3" w14:textId="0A24F9AC" w:rsidR="00CA447C" w:rsidRPr="005C2CEC" w:rsidRDefault="000955DA" w:rsidP="00FB5852">
      <w:pPr>
        <w:numPr>
          <w:ilvl w:val="0"/>
          <w:numId w:val="2"/>
        </w:numPr>
        <w:spacing w:after="0"/>
        <w:ind w:left="714" w:hanging="357"/>
      </w:pPr>
      <w:r w:rsidRPr="005C2CEC">
        <w:rPr>
          <w:b/>
        </w:rPr>
        <w:t>Zač</w:t>
      </w:r>
      <w:r w:rsidR="00CA447C" w:rsidRPr="005C2CEC">
        <w:rPr>
          <w:b/>
        </w:rPr>
        <w:t>iat</w:t>
      </w:r>
      <w:r w:rsidR="002D78A1" w:rsidRPr="005C2CEC">
        <w:rPr>
          <w:b/>
        </w:rPr>
        <w:t>ok</w:t>
      </w:r>
      <w:r w:rsidR="00CA447C" w:rsidRPr="005C2CEC">
        <w:rPr>
          <w:b/>
        </w:rPr>
        <w:t xml:space="preserve"> prípravy </w:t>
      </w:r>
      <w:r w:rsidRPr="005C2CEC">
        <w:rPr>
          <w:b/>
        </w:rPr>
        <w:t>investície</w:t>
      </w:r>
      <w:r w:rsidR="00435BDC">
        <w:rPr>
          <w:rStyle w:val="Odkaznapoznmkupodiarou"/>
          <w:b/>
        </w:rPr>
        <w:footnoteReference w:id="52"/>
      </w:r>
      <w:r w:rsidRPr="005C2CEC">
        <w:t xml:space="preserve"> </w:t>
      </w:r>
      <w:r w:rsidR="002D78A1" w:rsidRPr="005C2CEC">
        <w:t xml:space="preserve">predstavuje </w:t>
      </w:r>
      <w:r w:rsidRPr="005C2CEC">
        <w:t xml:space="preserve">na základe </w:t>
      </w:r>
      <w:r w:rsidR="009C13D5">
        <w:t>z</w:t>
      </w:r>
      <w:r w:rsidRPr="005C2CEC">
        <w:t>ákona</w:t>
      </w:r>
      <w:r w:rsidR="009C13D5">
        <w:t xml:space="preserve"> č. 523/2004 Z. z.</w:t>
      </w:r>
      <w:r w:rsidRPr="005C2CEC">
        <w:t xml:space="preserve"> </w:t>
      </w:r>
      <w:r w:rsidR="00CA447C" w:rsidRPr="005C2CEC">
        <w:t>úkon subjektu verejnej správy, ktorý iniciuje alebo smeruje k získaniu potrebných podkladov alebo povolení na realizáciu investície alebo úkon, ktorým subjektu verejnej správy vzniká záväzok alebo povinnosť investíciu realizovať; začiatkom prípravy investície je najmä jedna z nasledujúcich skutočností, podľa toho, ktorá nastane skôr:</w:t>
      </w:r>
    </w:p>
    <w:p w14:paraId="490B69D6" w14:textId="4CBABE0E" w:rsidR="00CA447C" w:rsidRPr="005C2CEC" w:rsidRDefault="00CA447C" w:rsidP="00FB5852">
      <w:pPr>
        <w:numPr>
          <w:ilvl w:val="1"/>
          <w:numId w:val="2"/>
        </w:numPr>
        <w:spacing w:after="0"/>
      </w:pPr>
      <w:r w:rsidRPr="005C2CEC">
        <w:t>zverejnenie</w:t>
      </w:r>
    </w:p>
    <w:p w14:paraId="06BFEA27" w14:textId="6A731D1B" w:rsidR="00CA447C" w:rsidRPr="005C2CEC" w:rsidRDefault="00CA447C" w:rsidP="00FB5852">
      <w:pPr>
        <w:numPr>
          <w:ilvl w:val="2"/>
          <w:numId w:val="2"/>
        </w:numPr>
        <w:spacing w:after="0"/>
      </w:pPr>
      <w:r w:rsidRPr="005C2CEC">
        <w:t>oznámenia o vyhlásení verejného obstarávania, ktorého predmetom je realizácia investície,</w:t>
      </w:r>
    </w:p>
    <w:p w14:paraId="64E4824A" w14:textId="5D30735E" w:rsidR="00CA447C" w:rsidRPr="005C2CEC" w:rsidRDefault="00CA447C" w:rsidP="00FB5852">
      <w:pPr>
        <w:numPr>
          <w:ilvl w:val="2"/>
          <w:numId w:val="2"/>
        </w:numPr>
        <w:spacing w:after="0"/>
      </w:pPr>
      <w:r w:rsidRPr="005C2CEC">
        <w:rPr>
          <w:color w:val="000000"/>
        </w:rPr>
        <w:t>oznámenia použitého ako výzva na súťaž,</w:t>
      </w:r>
    </w:p>
    <w:p w14:paraId="6437D387" w14:textId="4735A3ED" w:rsidR="00CA447C" w:rsidRPr="005C2CEC" w:rsidRDefault="00CA447C" w:rsidP="00FB5852">
      <w:pPr>
        <w:numPr>
          <w:ilvl w:val="1"/>
          <w:numId w:val="2"/>
        </w:numPr>
        <w:spacing w:after="0"/>
      </w:pPr>
      <w:r w:rsidRPr="005C2CEC">
        <w:t>vypracovanie zámeru podľa osobitého predpisu</w:t>
      </w:r>
      <w:r w:rsidRPr="005C2CEC">
        <w:rPr>
          <w:rStyle w:val="Odkaznapoznmkupodiarou"/>
        </w:rPr>
        <w:footnoteReference w:id="53"/>
      </w:r>
      <w:r w:rsidR="00FB5852" w:rsidRPr="005C2CEC">
        <w:t>,</w:t>
      </w:r>
      <w:r w:rsidRPr="005C2CEC">
        <w:t xml:space="preserve"> začatie konania o posudzovaní predpokladaných vplyvov na životné prostredie, konania o majetkovoprávnom vysporiadaní, územného konania alebo stavebného konania, podľa toho, čo nastane skôr; za začiatok prípravy sa považuje aj zverejnenie oznámenia o vyhlásení verejného obstarávania na prípravu dokumentácie pre tieto úkony</w:t>
      </w:r>
      <w:r w:rsidR="00FB5852" w:rsidRPr="005C2CEC">
        <w:t>,</w:t>
      </w:r>
    </w:p>
    <w:p w14:paraId="5F891505" w14:textId="0213F469" w:rsidR="00FB5852" w:rsidRPr="005C2CEC" w:rsidRDefault="00FB5852" w:rsidP="00FB5852">
      <w:pPr>
        <w:numPr>
          <w:ilvl w:val="1"/>
          <w:numId w:val="2"/>
        </w:numPr>
        <w:spacing w:after="0"/>
      </w:pPr>
      <w:r w:rsidRPr="005C2CEC">
        <w:t>príprava projektovej dokumentácie stavby alebo zverejnenie oznámenia o vyhlásení verejného obstarávania na jej prípravu,</w:t>
      </w:r>
    </w:p>
    <w:p w14:paraId="54BD6D39" w14:textId="4D933F74" w:rsidR="00FB5852" w:rsidRPr="005C2CEC" w:rsidRDefault="00FB5852" w:rsidP="00FB5852">
      <w:pPr>
        <w:numPr>
          <w:ilvl w:val="1"/>
          <w:numId w:val="2"/>
        </w:numPr>
        <w:spacing w:after="0"/>
      </w:pPr>
      <w:r w:rsidRPr="005C2CEC">
        <w:rPr>
          <w:color w:val="000000"/>
        </w:rPr>
        <w:t>začatie rokovaní o uzatvorení zmluvy, ktorej predmetom je realizácia investície,</w:t>
      </w:r>
    </w:p>
    <w:p w14:paraId="6A941269" w14:textId="759384FE" w:rsidR="00FB5852" w:rsidRPr="005C2CEC" w:rsidRDefault="00FB5852" w:rsidP="00FB5852">
      <w:pPr>
        <w:numPr>
          <w:ilvl w:val="1"/>
          <w:numId w:val="2"/>
        </w:numPr>
      </w:pPr>
      <w:r w:rsidRPr="005C2CEC">
        <w:rPr>
          <w:color w:val="000000"/>
        </w:rPr>
        <w:t>vykonanie ďalších činností potrebných na realizáciu investície.</w:t>
      </w:r>
    </w:p>
    <w:p w14:paraId="06DE3DEB" w14:textId="478AE85E" w:rsidR="000955DA" w:rsidRPr="005C2CEC" w:rsidRDefault="00CA447C" w:rsidP="000955DA">
      <w:pPr>
        <w:numPr>
          <w:ilvl w:val="0"/>
          <w:numId w:val="2"/>
        </w:numPr>
      </w:pPr>
      <w:r w:rsidRPr="005C2CEC">
        <w:rPr>
          <w:b/>
        </w:rPr>
        <w:t>Začiat</w:t>
      </w:r>
      <w:r w:rsidR="002D78A1" w:rsidRPr="005C2CEC">
        <w:rPr>
          <w:b/>
        </w:rPr>
        <w:t>o</w:t>
      </w:r>
      <w:r w:rsidRPr="005C2CEC">
        <w:rPr>
          <w:b/>
        </w:rPr>
        <w:t>k prípravy koncesie</w:t>
      </w:r>
      <w:r w:rsidRPr="005C2CEC">
        <w:t xml:space="preserve"> </w:t>
      </w:r>
      <w:r w:rsidR="002D78A1" w:rsidRPr="005C2CEC">
        <w:t>je v zmysle</w:t>
      </w:r>
      <w:r w:rsidRPr="005C2CEC">
        <w:t xml:space="preserve"> </w:t>
      </w:r>
      <w:r w:rsidR="009C13D5">
        <w:t>z</w:t>
      </w:r>
      <w:r w:rsidRPr="005C2CEC">
        <w:t xml:space="preserve">ákona </w:t>
      </w:r>
      <w:r w:rsidR="009C13D5">
        <w:t xml:space="preserve">č. 523/2004 Z. z. </w:t>
      </w:r>
      <w:r w:rsidRPr="005C2CEC">
        <w:t xml:space="preserve">zverejnenie </w:t>
      </w:r>
      <w:r w:rsidR="000955DA" w:rsidRPr="005C2CEC">
        <w:t>oznámenia o koncesii</w:t>
      </w:r>
      <w:r w:rsidR="000955DA" w:rsidRPr="005C2CEC">
        <w:rPr>
          <w:vertAlign w:val="superscript"/>
        </w:rPr>
        <w:footnoteReference w:id="54"/>
      </w:r>
      <w:r w:rsidR="000955DA" w:rsidRPr="005C2CEC">
        <w:t>.</w:t>
      </w:r>
    </w:p>
    <w:p w14:paraId="123FE45C" w14:textId="683FBEF2" w:rsidR="000955DA" w:rsidRPr="005C2CEC" w:rsidRDefault="000955DA" w:rsidP="00FC5F5B">
      <w:pPr>
        <w:numPr>
          <w:ilvl w:val="0"/>
          <w:numId w:val="2"/>
        </w:numPr>
      </w:pPr>
      <w:r w:rsidRPr="005C2CEC">
        <w:rPr>
          <w:b/>
        </w:rPr>
        <w:t>Rozhodnut</w:t>
      </w:r>
      <w:r w:rsidR="002D78A1" w:rsidRPr="005C2CEC">
        <w:rPr>
          <w:b/>
        </w:rPr>
        <w:t>ie</w:t>
      </w:r>
      <w:r w:rsidRPr="005C2CEC">
        <w:rPr>
          <w:b/>
        </w:rPr>
        <w:t xml:space="preserve"> vytvárajúc</w:t>
      </w:r>
      <w:r w:rsidR="002D78A1" w:rsidRPr="005C2CEC">
        <w:rPr>
          <w:b/>
        </w:rPr>
        <w:t>e</w:t>
      </w:r>
      <w:r w:rsidRPr="005C2CEC">
        <w:rPr>
          <w:b/>
        </w:rPr>
        <w:t xml:space="preserve"> záväzok</w:t>
      </w:r>
      <w:r w:rsidR="00F52661">
        <w:t xml:space="preserve"> </w:t>
      </w:r>
      <w:r w:rsidR="002D78A1" w:rsidRPr="005C2CEC">
        <w:t xml:space="preserve">predstavuje </w:t>
      </w:r>
      <w:r w:rsidRPr="005C2CEC">
        <w:t xml:space="preserve">procesný úkon štatutára Investora vedúci k záväzku alebo budúcemu záväzku – </w:t>
      </w:r>
      <w:r w:rsidR="009016E4" w:rsidRPr="005C2CEC">
        <w:t>najmä podpis zmluvy, ktorej predmetom je realizácia investície alebo koncesie, objednanie stavebných prác, objednanie dlhodobého hmotného majetku alebo dlhodobého nehmotného majetku alebo kúpa dlhodobého hmotného majetku alebo dlhodobého nehmotného majetku</w:t>
      </w:r>
      <w:r w:rsidRPr="005C2CEC">
        <w:t>.</w:t>
      </w:r>
      <w:r w:rsidR="00BC0921" w:rsidRPr="005C2CEC">
        <w:t xml:space="preserve"> </w:t>
      </w:r>
      <w:r w:rsidRPr="005C2CEC">
        <w:lastRenderedPageBreak/>
        <w:t>V prípade, ak investičný projekt zahŕňa viacero rozhodnutí vytvárajúcich záväzky, zahŕňa suma predpokladaných nákladov všetky takéto rozhodnutia vrátane podporných služieb. Do súčtu predpokladaných projektových záväzkov sú zahrnuté aj budúce náklady, na ktoré je možné uplatniť výnimky z verejného obstarávania.</w:t>
      </w:r>
      <w:r w:rsidR="00FC5F5B">
        <w:t xml:space="preserve"> </w:t>
      </w:r>
      <w:r w:rsidR="00FC5F5B" w:rsidRPr="00FC5F5B">
        <w:t xml:space="preserve">V prípade koncesií nad hodnotu ustanovenou osobitným predpisom rozhodnutie vytvárajúce záväzok je rozhodnutie vlády SR o schválení koncesnej zmluvy podľa §19 ods. 15 zákona </w:t>
      </w:r>
      <w:r w:rsidR="00931845">
        <w:t>č. 523/2004 Z. z.</w:t>
      </w:r>
      <w:r w:rsidR="00FC5F5B" w:rsidRPr="00FC5F5B">
        <w:t>.</w:t>
      </w:r>
    </w:p>
    <w:p w14:paraId="38286B0C" w14:textId="716571BD" w:rsidR="000955DA" w:rsidRPr="005C2CEC" w:rsidRDefault="000955DA" w:rsidP="000955DA">
      <w:pPr>
        <w:numPr>
          <w:ilvl w:val="0"/>
          <w:numId w:val="2"/>
        </w:numPr>
      </w:pPr>
      <w:r w:rsidRPr="005C2CEC">
        <w:rPr>
          <w:b/>
        </w:rPr>
        <w:t>Investičn</w:t>
      </w:r>
      <w:r w:rsidR="00BC0921" w:rsidRPr="005C2CEC">
        <w:rPr>
          <w:b/>
        </w:rPr>
        <w:t>ý</w:t>
      </w:r>
      <w:r w:rsidRPr="005C2CEC">
        <w:rPr>
          <w:b/>
        </w:rPr>
        <w:t xml:space="preserve"> projekt v informatizácii</w:t>
      </w:r>
      <w:r w:rsidRPr="005C2CEC">
        <w:t xml:space="preserve"> </w:t>
      </w:r>
      <w:r w:rsidR="00BC0921" w:rsidRPr="005C2CEC">
        <w:t>je</w:t>
      </w:r>
      <w:r w:rsidRPr="005C2CEC">
        <w:t xml:space="preserve"> definovan</w:t>
      </w:r>
      <w:r w:rsidR="00BC0921" w:rsidRPr="005C2CEC">
        <w:t>ý</w:t>
      </w:r>
      <w:r w:rsidRPr="005C2CEC">
        <w:t xml:space="preserve"> v zmysle </w:t>
      </w:r>
      <w:hyperlink r:id="rId68" w:history="1">
        <w:r w:rsidRPr="00D05BB1">
          <w:rPr>
            <w:rStyle w:val="Hypertextovprepojenie"/>
          </w:rPr>
          <w:t>Nariadenia vlády</w:t>
        </w:r>
        <w:r w:rsidR="00F6008B" w:rsidRPr="00D05BB1">
          <w:rPr>
            <w:rStyle w:val="Hypertextovprepojenie"/>
          </w:rPr>
          <w:t xml:space="preserve"> SR č.</w:t>
        </w:r>
        <w:r w:rsidRPr="00D05BB1">
          <w:rPr>
            <w:rStyle w:val="Hypertextovprepojenie"/>
          </w:rPr>
          <w:t xml:space="preserve"> 174/2019 Z. z.</w:t>
        </w:r>
      </w:hyperlink>
      <w:r w:rsidRPr="005C2CEC">
        <w:t xml:space="preserve"> ako t</w:t>
      </w:r>
      <w:r w:rsidR="00BC0921" w:rsidRPr="005C2CEC">
        <w:t>aký</w:t>
      </w:r>
      <w:r w:rsidRPr="005C2CEC">
        <w:t>, pri ktor</w:t>
      </w:r>
      <w:r w:rsidR="00BC0921" w:rsidRPr="005C2CEC">
        <w:t>om</w:t>
      </w:r>
      <w:r w:rsidRPr="005C2CEC">
        <w:t xml:space="preserve"> viac ako 50 % výdavkov patrí do rozpočtových podpoložiek ekonomickej klasifikácie rozpočtovej klasifikácie uvedených v Tabuľke</w:t>
      </w:r>
      <w:r w:rsidR="009F7ABE">
        <w:t xml:space="preserve"> </w:t>
      </w:r>
      <w:r w:rsidR="00BC0921" w:rsidRPr="005C2CEC">
        <w:fldChar w:fldCharType="begin"/>
      </w:r>
      <w:r w:rsidR="00BC0921" w:rsidRPr="005C2CEC">
        <w:instrText xml:space="preserve"> REF Tabulka1 \h </w:instrText>
      </w:r>
      <w:r w:rsidR="005C2CEC">
        <w:instrText xml:space="preserve"> \* MERGEFORMAT </w:instrText>
      </w:r>
      <w:r w:rsidR="00BC0921" w:rsidRPr="005C2CEC">
        <w:fldChar w:fldCharType="separate"/>
      </w:r>
      <w:r w:rsidR="000129F7">
        <w:rPr>
          <w:noProof/>
        </w:rPr>
        <w:t>12</w:t>
      </w:r>
      <w:r w:rsidR="00BC0921" w:rsidRPr="005C2CEC">
        <w:fldChar w:fldCharType="end"/>
      </w:r>
      <w:r w:rsidRPr="005C2CEC">
        <w:t>.</w:t>
      </w:r>
      <w:r w:rsidR="00C1054E">
        <w:t xml:space="preserve"> Do hodnoty investičného projektu v oblasti informatizácie sa okrem kapitálových výdavkov na vytvorenie diela započítavajú aj výdavky na budú</w:t>
      </w:r>
      <w:r w:rsidR="00A207D7">
        <w:t>ci rozvoj informačných systémov</w:t>
      </w:r>
      <w:r w:rsidR="00C1054E">
        <w:t xml:space="preserve"> vrátane rámcových výdavkov, najmä tzv. rámec na zmenové požiadavky. Časť výdavkov na služby podpory a údržby informačného systému, tzv. SLA služby, nevstupujú do výpočtu hodnoty investície v prípade, že ich je možné samostatne vyčísliť a oddeliť od budúcich výdavkov na rozvoj.</w:t>
      </w:r>
    </w:p>
    <w:p w14:paraId="019F8C19" w14:textId="78183E5A" w:rsidR="000955DA" w:rsidRPr="005C2CEC" w:rsidRDefault="000955DA" w:rsidP="000955DA">
      <w:pPr>
        <w:pStyle w:val="Popis"/>
        <w:ind w:left="709"/>
      </w:pPr>
      <w:bookmarkStart w:id="177" w:name="_Toc83651116"/>
      <w:r w:rsidRPr="005C2CEC">
        <w:t xml:space="preserve">Tabuľka </w:t>
      </w:r>
      <w:bookmarkStart w:id="178" w:name="Tabulka1"/>
      <w:r w:rsidRPr="005C2CEC">
        <w:rPr>
          <w:noProof/>
        </w:rPr>
        <w:fldChar w:fldCharType="begin"/>
      </w:r>
      <w:r w:rsidRPr="005C2CEC">
        <w:rPr>
          <w:noProof/>
        </w:rPr>
        <w:instrText xml:space="preserve"> SEQ Tabuľka \* ARABIC </w:instrText>
      </w:r>
      <w:r w:rsidRPr="005C2CEC">
        <w:rPr>
          <w:noProof/>
        </w:rPr>
        <w:fldChar w:fldCharType="separate"/>
      </w:r>
      <w:r w:rsidR="003B5091">
        <w:rPr>
          <w:noProof/>
        </w:rPr>
        <w:t>12</w:t>
      </w:r>
      <w:r w:rsidRPr="005C2CEC">
        <w:rPr>
          <w:noProof/>
        </w:rPr>
        <w:fldChar w:fldCharType="end"/>
      </w:r>
      <w:bookmarkEnd w:id="178"/>
      <w:r w:rsidRPr="005C2CEC">
        <w:t>: Výdavky v informatizácii triedené v EKRK podpoložkách</w:t>
      </w:r>
      <w:bookmarkEnd w:id="177"/>
    </w:p>
    <w:tbl>
      <w:tblPr>
        <w:tblStyle w:val="Obyajntabuka2"/>
        <w:tblW w:w="8363" w:type="dxa"/>
        <w:tblInd w:w="709" w:type="dxa"/>
        <w:tblLayout w:type="fixed"/>
        <w:tblLook w:val="04A0" w:firstRow="1" w:lastRow="0" w:firstColumn="1" w:lastColumn="0" w:noHBand="0" w:noVBand="1"/>
      </w:tblPr>
      <w:tblGrid>
        <w:gridCol w:w="1418"/>
        <w:gridCol w:w="6945"/>
      </w:tblGrid>
      <w:tr w:rsidR="000955DA" w:rsidRPr="00232E77" w14:paraId="5AD08BB7" w14:textId="77777777" w:rsidTr="000E39F7">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418" w:type="dxa"/>
          </w:tcPr>
          <w:p w14:paraId="60CE3B4D" w14:textId="77777777" w:rsidR="000955DA" w:rsidRPr="00577F95" w:rsidRDefault="000955DA" w:rsidP="000E39F7">
            <w:pPr>
              <w:spacing w:after="0" w:line="240" w:lineRule="auto"/>
              <w:rPr>
                <w:rFonts w:eastAsia="Times New Roman" w:cs="Times New Roman"/>
                <w:b w:val="0"/>
                <w:sz w:val="20"/>
                <w:szCs w:val="20"/>
                <w:lang w:eastAsia="sk-SK"/>
              </w:rPr>
            </w:pPr>
            <w:r w:rsidRPr="00577F95">
              <w:rPr>
                <w:rFonts w:eastAsia="Times New Roman" w:cs="Times New Roman"/>
                <w:sz w:val="20"/>
                <w:szCs w:val="20"/>
                <w:lang w:eastAsia="sk-SK"/>
              </w:rPr>
              <w:t>Kód</w:t>
            </w:r>
          </w:p>
        </w:tc>
        <w:tc>
          <w:tcPr>
            <w:tcW w:w="6945" w:type="dxa"/>
            <w:noWrap/>
          </w:tcPr>
          <w:p w14:paraId="62C5D6DB" w14:textId="77777777" w:rsidR="000955DA" w:rsidRPr="00577F95" w:rsidRDefault="000955DA" w:rsidP="000E39F7">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000000"/>
                <w:sz w:val="20"/>
                <w:szCs w:val="20"/>
                <w:lang w:eastAsia="sk-SK"/>
              </w:rPr>
            </w:pPr>
            <w:r w:rsidRPr="00577F95">
              <w:rPr>
                <w:rFonts w:eastAsia="Times New Roman" w:cs="Times New Roman"/>
                <w:color w:val="000000"/>
                <w:sz w:val="20"/>
                <w:szCs w:val="20"/>
                <w:lang w:eastAsia="sk-SK"/>
              </w:rPr>
              <w:t>Názov</w:t>
            </w:r>
          </w:p>
        </w:tc>
      </w:tr>
      <w:tr w:rsidR="000955DA" w:rsidRPr="00232E77" w14:paraId="7C307775" w14:textId="77777777" w:rsidTr="000E39F7">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418" w:type="dxa"/>
            <w:hideMark/>
          </w:tcPr>
          <w:p w14:paraId="0D8CC480" w14:textId="77777777" w:rsidR="000955DA" w:rsidRPr="00577F95" w:rsidRDefault="000955DA" w:rsidP="000E39F7">
            <w:pPr>
              <w:spacing w:after="0" w:line="240" w:lineRule="auto"/>
              <w:rPr>
                <w:rFonts w:eastAsia="Times New Roman" w:cs="Times New Roman"/>
                <w:sz w:val="20"/>
                <w:szCs w:val="20"/>
                <w:lang w:eastAsia="sk-SK"/>
              </w:rPr>
            </w:pPr>
            <w:r w:rsidRPr="00577F95">
              <w:rPr>
                <w:rFonts w:eastAsia="Times New Roman" w:cs="Times New Roman"/>
                <w:sz w:val="20"/>
                <w:szCs w:val="20"/>
                <w:lang w:eastAsia="sk-SK"/>
              </w:rPr>
              <w:t>632004</w:t>
            </w:r>
          </w:p>
        </w:tc>
        <w:tc>
          <w:tcPr>
            <w:tcW w:w="6945" w:type="dxa"/>
            <w:noWrap/>
            <w:hideMark/>
          </w:tcPr>
          <w:p w14:paraId="6C5B0DE2" w14:textId="77777777" w:rsidR="000955DA" w:rsidRPr="00577F95" w:rsidRDefault="000955DA" w:rsidP="000E39F7">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sk-SK"/>
              </w:rPr>
            </w:pPr>
            <w:r w:rsidRPr="00577F95">
              <w:rPr>
                <w:rFonts w:eastAsia="Times New Roman" w:cs="Times New Roman"/>
                <w:color w:val="000000"/>
                <w:sz w:val="20"/>
                <w:szCs w:val="20"/>
                <w:lang w:eastAsia="sk-SK"/>
              </w:rPr>
              <w:t>Komunikačná infraštruktúra</w:t>
            </w:r>
          </w:p>
        </w:tc>
      </w:tr>
      <w:tr w:rsidR="000955DA" w:rsidRPr="00232E77" w14:paraId="797DAD99" w14:textId="77777777" w:rsidTr="000E39F7">
        <w:trPr>
          <w:trHeight w:val="20"/>
        </w:trPr>
        <w:tc>
          <w:tcPr>
            <w:cnfStyle w:val="001000000000" w:firstRow="0" w:lastRow="0" w:firstColumn="1" w:lastColumn="0" w:oddVBand="0" w:evenVBand="0" w:oddHBand="0" w:evenHBand="0" w:firstRowFirstColumn="0" w:firstRowLastColumn="0" w:lastRowFirstColumn="0" w:lastRowLastColumn="0"/>
            <w:tcW w:w="1418" w:type="dxa"/>
            <w:hideMark/>
          </w:tcPr>
          <w:p w14:paraId="6A63B41E" w14:textId="77777777" w:rsidR="000955DA" w:rsidRPr="00577F95" w:rsidRDefault="000955DA" w:rsidP="000E39F7">
            <w:pPr>
              <w:spacing w:after="0" w:line="240" w:lineRule="auto"/>
              <w:rPr>
                <w:rFonts w:eastAsia="Times New Roman" w:cs="Times New Roman"/>
                <w:sz w:val="20"/>
                <w:szCs w:val="20"/>
                <w:lang w:eastAsia="sk-SK"/>
              </w:rPr>
            </w:pPr>
            <w:r w:rsidRPr="00577F95">
              <w:rPr>
                <w:rFonts w:eastAsia="Times New Roman" w:cs="Times New Roman"/>
                <w:sz w:val="20"/>
                <w:szCs w:val="20"/>
                <w:lang w:eastAsia="sk-SK"/>
              </w:rPr>
              <w:t>633002</w:t>
            </w:r>
          </w:p>
        </w:tc>
        <w:tc>
          <w:tcPr>
            <w:tcW w:w="6945" w:type="dxa"/>
            <w:noWrap/>
            <w:hideMark/>
          </w:tcPr>
          <w:p w14:paraId="0E01E367" w14:textId="77777777" w:rsidR="000955DA" w:rsidRPr="00577F95" w:rsidRDefault="000955DA" w:rsidP="000E39F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sk-SK"/>
              </w:rPr>
            </w:pPr>
            <w:r w:rsidRPr="00577F95">
              <w:rPr>
                <w:rFonts w:eastAsia="Times New Roman" w:cs="Times New Roman"/>
                <w:color w:val="000000"/>
                <w:sz w:val="20"/>
                <w:szCs w:val="20"/>
                <w:lang w:eastAsia="sk-SK"/>
              </w:rPr>
              <w:t>Výpočtová technika</w:t>
            </w:r>
          </w:p>
        </w:tc>
      </w:tr>
      <w:tr w:rsidR="000955DA" w:rsidRPr="00232E77" w14:paraId="4D046A45" w14:textId="77777777" w:rsidTr="000E39F7">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418" w:type="dxa"/>
          </w:tcPr>
          <w:p w14:paraId="6579B5D9" w14:textId="77777777" w:rsidR="000955DA" w:rsidRPr="00577F95" w:rsidRDefault="000955DA" w:rsidP="000E39F7">
            <w:pPr>
              <w:spacing w:after="0" w:line="240" w:lineRule="auto"/>
              <w:rPr>
                <w:rFonts w:eastAsia="Times New Roman" w:cs="Times New Roman"/>
                <w:sz w:val="20"/>
                <w:szCs w:val="20"/>
                <w:lang w:eastAsia="sk-SK"/>
              </w:rPr>
            </w:pPr>
            <w:r w:rsidRPr="00577F95">
              <w:rPr>
                <w:rFonts w:eastAsia="Times New Roman" w:cs="Times New Roman"/>
                <w:sz w:val="20"/>
                <w:szCs w:val="20"/>
                <w:lang w:eastAsia="sk-SK"/>
              </w:rPr>
              <w:t>633003</w:t>
            </w:r>
          </w:p>
        </w:tc>
        <w:tc>
          <w:tcPr>
            <w:tcW w:w="6945" w:type="dxa"/>
            <w:noWrap/>
          </w:tcPr>
          <w:p w14:paraId="09423BFF" w14:textId="77777777" w:rsidR="000955DA" w:rsidRPr="00577F95" w:rsidRDefault="000955DA" w:rsidP="000E39F7">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sk-SK"/>
              </w:rPr>
            </w:pPr>
            <w:r w:rsidRPr="00577F95">
              <w:rPr>
                <w:rFonts w:eastAsia="Times New Roman" w:cs="Times New Roman"/>
                <w:color w:val="000000"/>
                <w:sz w:val="20"/>
                <w:szCs w:val="20"/>
                <w:lang w:eastAsia="sk-SK"/>
              </w:rPr>
              <w:t xml:space="preserve">Telekomunikačná technika </w:t>
            </w:r>
          </w:p>
        </w:tc>
      </w:tr>
      <w:tr w:rsidR="000955DA" w:rsidRPr="00232E77" w14:paraId="7F0C5F99" w14:textId="77777777" w:rsidTr="000E39F7">
        <w:trPr>
          <w:trHeight w:val="20"/>
        </w:trPr>
        <w:tc>
          <w:tcPr>
            <w:cnfStyle w:val="001000000000" w:firstRow="0" w:lastRow="0" w:firstColumn="1" w:lastColumn="0" w:oddVBand="0" w:evenVBand="0" w:oddHBand="0" w:evenHBand="0" w:firstRowFirstColumn="0" w:firstRowLastColumn="0" w:lastRowFirstColumn="0" w:lastRowLastColumn="0"/>
            <w:tcW w:w="1418" w:type="dxa"/>
            <w:hideMark/>
          </w:tcPr>
          <w:p w14:paraId="3D6DC198" w14:textId="77777777" w:rsidR="000955DA" w:rsidRPr="00577F95" w:rsidRDefault="000955DA" w:rsidP="000E39F7">
            <w:pPr>
              <w:spacing w:after="0" w:line="240" w:lineRule="auto"/>
              <w:rPr>
                <w:rFonts w:eastAsia="Times New Roman" w:cs="Times New Roman"/>
                <w:sz w:val="20"/>
                <w:szCs w:val="20"/>
                <w:lang w:eastAsia="sk-SK"/>
              </w:rPr>
            </w:pPr>
            <w:r w:rsidRPr="00577F95">
              <w:rPr>
                <w:rFonts w:eastAsia="Times New Roman" w:cs="Times New Roman"/>
                <w:sz w:val="20"/>
                <w:szCs w:val="20"/>
                <w:lang w:eastAsia="sk-SK"/>
              </w:rPr>
              <w:t>633013</w:t>
            </w:r>
          </w:p>
        </w:tc>
        <w:tc>
          <w:tcPr>
            <w:tcW w:w="6945" w:type="dxa"/>
            <w:noWrap/>
            <w:hideMark/>
          </w:tcPr>
          <w:p w14:paraId="36A8A69B" w14:textId="77777777" w:rsidR="000955DA" w:rsidRPr="00577F95" w:rsidRDefault="000955DA" w:rsidP="000E39F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sk-SK"/>
              </w:rPr>
            </w:pPr>
            <w:r w:rsidRPr="00577F95">
              <w:rPr>
                <w:rFonts w:eastAsia="Times New Roman" w:cs="Times New Roman"/>
                <w:color w:val="000000"/>
                <w:sz w:val="20"/>
                <w:szCs w:val="20"/>
                <w:lang w:eastAsia="sk-SK"/>
              </w:rPr>
              <w:t>Softvér</w:t>
            </w:r>
          </w:p>
        </w:tc>
      </w:tr>
      <w:tr w:rsidR="000955DA" w:rsidRPr="00232E77" w14:paraId="3B482F73" w14:textId="77777777" w:rsidTr="000E39F7">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418" w:type="dxa"/>
          </w:tcPr>
          <w:p w14:paraId="18BC61E0" w14:textId="77777777" w:rsidR="000955DA" w:rsidRPr="00577F95" w:rsidRDefault="000955DA" w:rsidP="000E39F7">
            <w:pPr>
              <w:spacing w:after="0" w:line="240" w:lineRule="auto"/>
              <w:rPr>
                <w:rFonts w:eastAsia="Times New Roman" w:cs="Times New Roman"/>
                <w:sz w:val="20"/>
                <w:szCs w:val="20"/>
                <w:lang w:eastAsia="sk-SK"/>
              </w:rPr>
            </w:pPr>
            <w:r w:rsidRPr="00577F95">
              <w:rPr>
                <w:rFonts w:eastAsia="Times New Roman" w:cs="Times New Roman"/>
                <w:sz w:val="20"/>
                <w:szCs w:val="20"/>
                <w:lang w:eastAsia="sk-SK"/>
              </w:rPr>
              <w:t>633018*</w:t>
            </w:r>
          </w:p>
        </w:tc>
        <w:tc>
          <w:tcPr>
            <w:tcW w:w="6945" w:type="dxa"/>
            <w:noWrap/>
          </w:tcPr>
          <w:p w14:paraId="0E039A6E" w14:textId="77777777" w:rsidR="000955DA" w:rsidRPr="00577F95" w:rsidRDefault="000955DA" w:rsidP="000E39F7">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sk-SK"/>
              </w:rPr>
            </w:pPr>
            <w:r w:rsidRPr="00577F95">
              <w:rPr>
                <w:rFonts w:eastAsia="Times New Roman" w:cs="Times New Roman"/>
                <w:color w:val="000000"/>
                <w:sz w:val="20"/>
                <w:szCs w:val="20"/>
                <w:lang w:eastAsia="sk-SK"/>
              </w:rPr>
              <w:t>Licencie - časť Autorské práva na softvér či analýzu IKT riešenia</w:t>
            </w:r>
          </w:p>
        </w:tc>
      </w:tr>
      <w:tr w:rsidR="000955DA" w:rsidRPr="00232E77" w14:paraId="10C3F8B5" w14:textId="77777777" w:rsidTr="000E39F7">
        <w:trPr>
          <w:trHeight w:val="20"/>
        </w:trPr>
        <w:tc>
          <w:tcPr>
            <w:cnfStyle w:val="001000000000" w:firstRow="0" w:lastRow="0" w:firstColumn="1" w:lastColumn="0" w:oddVBand="0" w:evenVBand="0" w:oddHBand="0" w:evenHBand="0" w:firstRowFirstColumn="0" w:firstRowLastColumn="0" w:lastRowFirstColumn="0" w:lastRowLastColumn="0"/>
            <w:tcW w:w="1418" w:type="dxa"/>
            <w:hideMark/>
          </w:tcPr>
          <w:p w14:paraId="5B511F2D" w14:textId="77777777" w:rsidR="000955DA" w:rsidRPr="00577F95" w:rsidRDefault="000955DA" w:rsidP="000E39F7">
            <w:pPr>
              <w:spacing w:after="0" w:line="240" w:lineRule="auto"/>
              <w:rPr>
                <w:rFonts w:eastAsia="Times New Roman" w:cs="Times New Roman"/>
                <w:sz w:val="20"/>
                <w:szCs w:val="20"/>
                <w:lang w:eastAsia="sk-SK"/>
              </w:rPr>
            </w:pPr>
            <w:r w:rsidRPr="00577F95">
              <w:rPr>
                <w:rFonts w:eastAsia="Times New Roman" w:cs="Times New Roman"/>
                <w:sz w:val="20"/>
                <w:szCs w:val="20"/>
                <w:lang w:eastAsia="sk-SK"/>
              </w:rPr>
              <w:t>633019</w:t>
            </w:r>
          </w:p>
        </w:tc>
        <w:tc>
          <w:tcPr>
            <w:tcW w:w="6945" w:type="dxa"/>
            <w:noWrap/>
            <w:hideMark/>
          </w:tcPr>
          <w:p w14:paraId="5225D75D" w14:textId="77777777" w:rsidR="000955DA" w:rsidRPr="00577F95" w:rsidRDefault="000955DA" w:rsidP="000E39F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sk-SK"/>
              </w:rPr>
            </w:pPr>
            <w:r w:rsidRPr="00577F95">
              <w:rPr>
                <w:rFonts w:eastAsia="Times New Roman" w:cs="Times New Roman"/>
                <w:color w:val="000000"/>
                <w:sz w:val="20"/>
                <w:szCs w:val="20"/>
                <w:lang w:eastAsia="sk-SK"/>
              </w:rPr>
              <w:t>Komunikačná infraštruktúra</w:t>
            </w:r>
          </w:p>
        </w:tc>
      </w:tr>
      <w:tr w:rsidR="000955DA" w:rsidRPr="00232E77" w14:paraId="1861A912" w14:textId="77777777" w:rsidTr="000E39F7">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418" w:type="dxa"/>
            <w:hideMark/>
          </w:tcPr>
          <w:p w14:paraId="4928FD23" w14:textId="77777777" w:rsidR="000955DA" w:rsidRPr="00577F95" w:rsidRDefault="000955DA" w:rsidP="000E39F7">
            <w:pPr>
              <w:spacing w:after="0" w:line="240" w:lineRule="auto"/>
              <w:rPr>
                <w:rFonts w:eastAsia="Times New Roman" w:cs="Times New Roman"/>
                <w:sz w:val="20"/>
                <w:szCs w:val="20"/>
                <w:lang w:eastAsia="sk-SK"/>
              </w:rPr>
            </w:pPr>
            <w:r w:rsidRPr="00577F95">
              <w:rPr>
                <w:rFonts w:eastAsia="Times New Roman" w:cs="Times New Roman"/>
                <w:sz w:val="20"/>
                <w:szCs w:val="20"/>
                <w:lang w:eastAsia="sk-SK"/>
              </w:rPr>
              <w:t>635002</w:t>
            </w:r>
          </w:p>
        </w:tc>
        <w:tc>
          <w:tcPr>
            <w:tcW w:w="6945" w:type="dxa"/>
            <w:noWrap/>
            <w:hideMark/>
          </w:tcPr>
          <w:p w14:paraId="44840932" w14:textId="77777777" w:rsidR="000955DA" w:rsidRPr="00577F95" w:rsidRDefault="000955DA" w:rsidP="000E39F7">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sk-SK"/>
              </w:rPr>
            </w:pPr>
            <w:r w:rsidRPr="00577F95">
              <w:rPr>
                <w:rFonts w:eastAsia="Times New Roman" w:cs="Times New Roman"/>
                <w:color w:val="000000"/>
                <w:sz w:val="20"/>
                <w:szCs w:val="20"/>
                <w:lang w:eastAsia="sk-SK"/>
              </w:rPr>
              <w:t>Výpočtová technika - rutinná a štandardná údržba</w:t>
            </w:r>
          </w:p>
        </w:tc>
      </w:tr>
      <w:tr w:rsidR="000955DA" w:rsidRPr="00232E77" w14:paraId="198F856B" w14:textId="77777777" w:rsidTr="000E39F7">
        <w:trPr>
          <w:trHeight w:val="20"/>
        </w:trPr>
        <w:tc>
          <w:tcPr>
            <w:cnfStyle w:val="001000000000" w:firstRow="0" w:lastRow="0" w:firstColumn="1" w:lastColumn="0" w:oddVBand="0" w:evenVBand="0" w:oddHBand="0" w:evenHBand="0" w:firstRowFirstColumn="0" w:firstRowLastColumn="0" w:lastRowFirstColumn="0" w:lastRowLastColumn="0"/>
            <w:tcW w:w="1418" w:type="dxa"/>
            <w:hideMark/>
          </w:tcPr>
          <w:p w14:paraId="759FCC36" w14:textId="77777777" w:rsidR="000955DA" w:rsidRPr="00577F95" w:rsidRDefault="000955DA" w:rsidP="000E39F7">
            <w:pPr>
              <w:spacing w:after="0" w:line="240" w:lineRule="auto"/>
              <w:rPr>
                <w:rFonts w:eastAsia="Times New Roman" w:cs="Times New Roman"/>
                <w:sz w:val="20"/>
                <w:szCs w:val="20"/>
                <w:lang w:eastAsia="sk-SK"/>
              </w:rPr>
            </w:pPr>
            <w:r w:rsidRPr="00577F95">
              <w:rPr>
                <w:rFonts w:eastAsia="Times New Roman" w:cs="Times New Roman"/>
                <w:sz w:val="20"/>
                <w:szCs w:val="20"/>
                <w:lang w:eastAsia="sk-SK"/>
              </w:rPr>
              <w:t>635009</w:t>
            </w:r>
          </w:p>
        </w:tc>
        <w:tc>
          <w:tcPr>
            <w:tcW w:w="6945" w:type="dxa"/>
            <w:noWrap/>
            <w:hideMark/>
          </w:tcPr>
          <w:p w14:paraId="0E6A280F" w14:textId="77777777" w:rsidR="000955DA" w:rsidRPr="00577F95" w:rsidRDefault="000955DA" w:rsidP="000E39F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sk-SK"/>
              </w:rPr>
            </w:pPr>
            <w:r w:rsidRPr="00577F95">
              <w:rPr>
                <w:rFonts w:eastAsia="Times New Roman" w:cs="Times New Roman"/>
                <w:color w:val="000000"/>
                <w:sz w:val="20"/>
                <w:szCs w:val="20"/>
                <w:lang w:eastAsia="sk-SK"/>
              </w:rPr>
              <w:t>Softvér - rutinná a štandardná údržba</w:t>
            </w:r>
          </w:p>
        </w:tc>
      </w:tr>
      <w:tr w:rsidR="000955DA" w:rsidRPr="00232E77" w14:paraId="2916A69E" w14:textId="77777777" w:rsidTr="000E39F7">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418" w:type="dxa"/>
            <w:hideMark/>
          </w:tcPr>
          <w:p w14:paraId="31FE15AA" w14:textId="77777777" w:rsidR="000955DA" w:rsidRPr="00577F95" w:rsidRDefault="000955DA" w:rsidP="000E39F7">
            <w:pPr>
              <w:spacing w:after="0" w:line="240" w:lineRule="auto"/>
              <w:rPr>
                <w:rFonts w:eastAsia="Times New Roman" w:cs="Times New Roman"/>
                <w:sz w:val="20"/>
                <w:szCs w:val="20"/>
                <w:lang w:eastAsia="sk-SK"/>
              </w:rPr>
            </w:pPr>
            <w:r w:rsidRPr="00577F95">
              <w:rPr>
                <w:rFonts w:eastAsia="Times New Roman" w:cs="Times New Roman"/>
                <w:sz w:val="20"/>
                <w:szCs w:val="20"/>
                <w:lang w:eastAsia="sk-SK"/>
              </w:rPr>
              <w:t>635010</w:t>
            </w:r>
          </w:p>
        </w:tc>
        <w:tc>
          <w:tcPr>
            <w:tcW w:w="6945" w:type="dxa"/>
            <w:noWrap/>
            <w:hideMark/>
          </w:tcPr>
          <w:p w14:paraId="7B91F2A5" w14:textId="77777777" w:rsidR="000955DA" w:rsidRPr="00577F95" w:rsidRDefault="000955DA" w:rsidP="000E39F7">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sk-SK"/>
              </w:rPr>
            </w:pPr>
            <w:r w:rsidRPr="00577F95">
              <w:rPr>
                <w:rFonts w:eastAsia="Times New Roman" w:cs="Times New Roman"/>
                <w:color w:val="000000"/>
                <w:sz w:val="20"/>
                <w:szCs w:val="20"/>
                <w:lang w:eastAsia="sk-SK"/>
              </w:rPr>
              <w:t>Komunikačná infraštruktúra - rutinná a štandardná údržba</w:t>
            </w:r>
          </w:p>
        </w:tc>
      </w:tr>
      <w:tr w:rsidR="000955DA" w:rsidRPr="00232E77" w14:paraId="4730AF04" w14:textId="77777777" w:rsidTr="000E39F7">
        <w:trPr>
          <w:trHeight w:val="20"/>
        </w:trPr>
        <w:tc>
          <w:tcPr>
            <w:cnfStyle w:val="001000000000" w:firstRow="0" w:lastRow="0" w:firstColumn="1" w:lastColumn="0" w:oddVBand="0" w:evenVBand="0" w:oddHBand="0" w:evenHBand="0" w:firstRowFirstColumn="0" w:firstRowLastColumn="0" w:lastRowFirstColumn="0" w:lastRowLastColumn="0"/>
            <w:tcW w:w="1418" w:type="dxa"/>
            <w:hideMark/>
          </w:tcPr>
          <w:p w14:paraId="6502CCD8" w14:textId="77777777" w:rsidR="000955DA" w:rsidRPr="00577F95" w:rsidRDefault="000955DA" w:rsidP="000E39F7">
            <w:pPr>
              <w:spacing w:after="0" w:line="240" w:lineRule="auto"/>
              <w:rPr>
                <w:rFonts w:eastAsia="Times New Roman" w:cs="Times New Roman"/>
                <w:sz w:val="20"/>
                <w:szCs w:val="20"/>
                <w:lang w:eastAsia="sk-SK"/>
              </w:rPr>
            </w:pPr>
            <w:r w:rsidRPr="00577F95">
              <w:rPr>
                <w:rFonts w:eastAsia="Times New Roman" w:cs="Times New Roman"/>
                <w:sz w:val="20"/>
                <w:szCs w:val="20"/>
                <w:lang w:eastAsia="sk-SK"/>
              </w:rPr>
              <w:t>636006</w:t>
            </w:r>
          </w:p>
        </w:tc>
        <w:tc>
          <w:tcPr>
            <w:tcW w:w="6945" w:type="dxa"/>
            <w:noWrap/>
            <w:hideMark/>
          </w:tcPr>
          <w:p w14:paraId="37796551" w14:textId="77777777" w:rsidR="000955DA" w:rsidRPr="00577F95" w:rsidRDefault="000955DA" w:rsidP="000E39F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sk-SK"/>
              </w:rPr>
            </w:pPr>
            <w:r w:rsidRPr="00577F95">
              <w:rPr>
                <w:rFonts w:eastAsia="Times New Roman" w:cs="Times New Roman"/>
                <w:color w:val="000000"/>
                <w:sz w:val="20"/>
                <w:szCs w:val="20"/>
                <w:lang w:eastAsia="sk-SK"/>
              </w:rPr>
              <w:t>Výpočtová technika - nájomné za nájom</w:t>
            </w:r>
          </w:p>
        </w:tc>
      </w:tr>
      <w:tr w:rsidR="000955DA" w:rsidRPr="00232E77" w14:paraId="354CE4F5" w14:textId="77777777" w:rsidTr="000E39F7">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418" w:type="dxa"/>
            <w:hideMark/>
          </w:tcPr>
          <w:p w14:paraId="31B6F715" w14:textId="77777777" w:rsidR="000955DA" w:rsidRPr="00577F95" w:rsidRDefault="000955DA" w:rsidP="000E39F7">
            <w:pPr>
              <w:spacing w:after="0" w:line="240" w:lineRule="auto"/>
              <w:rPr>
                <w:rFonts w:eastAsia="Times New Roman" w:cs="Times New Roman"/>
                <w:sz w:val="20"/>
                <w:szCs w:val="20"/>
                <w:lang w:eastAsia="sk-SK"/>
              </w:rPr>
            </w:pPr>
            <w:r w:rsidRPr="00577F95">
              <w:rPr>
                <w:rFonts w:eastAsia="Times New Roman" w:cs="Times New Roman"/>
                <w:sz w:val="20"/>
                <w:szCs w:val="20"/>
                <w:lang w:eastAsia="sk-SK"/>
              </w:rPr>
              <w:t>636007</w:t>
            </w:r>
          </w:p>
        </w:tc>
        <w:tc>
          <w:tcPr>
            <w:tcW w:w="6945" w:type="dxa"/>
            <w:noWrap/>
            <w:hideMark/>
          </w:tcPr>
          <w:p w14:paraId="5331B72C" w14:textId="77777777" w:rsidR="000955DA" w:rsidRPr="00577F95" w:rsidRDefault="000955DA" w:rsidP="000E39F7">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sk-SK"/>
              </w:rPr>
            </w:pPr>
            <w:r w:rsidRPr="00577F95">
              <w:rPr>
                <w:rFonts w:eastAsia="Times New Roman" w:cs="Times New Roman"/>
                <w:color w:val="000000"/>
                <w:sz w:val="20"/>
                <w:szCs w:val="20"/>
                <w:lang w:eastAsia="sk-SK"/>
              </w:rPr>
              <w:t>Softvér - nájomné za nájom</w:t>
            </w:r>
          </w:p>
        </w:tc>
      </w:tr>
      <w:tr w:rsidR="000955DA" w:rsidRPr="00232E77" w14:paraId="354ECE6F" w14:textId="77777777" w:rsidTr="000E39F7">
        <w:trPr>
          <w:trHeight w:val="20"/>
        </w:trPr>
        <w:tc>
          <w:tcPr>
            <w:cnfStyle w:val="001000000000" w:firstRow="0" w:lastRow="0" w:firstColumn="1" w:lastColumn="0" w:oddVBand="0" w:evenVBand="0" w:oddHBand="0" w:evenHBand="0" w:firstRowFirstColumn="0" w:firstRowLastColumn="0" w:lastRowFirstColumn="0" w:lastRowLastColumn="0"/>
            <w:tcW w:w="1418" w:type="dxa"/>
            <w:hideMark/>
          </w:tcPr>
          <w:p w14:paraId="61F859E7" w14:textId="77777777" w:rsidR="000955DA" w:rsidRPr="00577F95" w:rsidRDefault="000955DA" w:rsidP="000E39F7">
            <w:pPr>
              <w:spacing w:after="0" w:line="240" w:lineRule="auto"/>
              <w:rPr>
                <w:rFonts w:eastAsia="Times New Roman" w:cs="Times New Roman"/>
                <w:sz w:val="20"/>
                <w:szCs w:val="20"/>
                <w:lang w:eastAsia="sk-SK"/>
              </w:rPr>
            </w:pPr>
            <w:r w:rsidRPr="00577F95">
              <w:rPr>
                <w:rFonts w:eastAsia="Times New Roman" w:cs="Times New Roman"/>
                <w:sz w:val="20"/>
                <w:szCs w:val="20"/>
                <w:lang w:eastAsia="sk-SK"/>
              </w:rPr>
              <w:t>636008</w:t>
            </w:r>
          </w:p>
        </w:tc>
        <w:tc>
          <w:tcPr>
            <w:tcW w:w="6945" w:type="dxa"/>
            <w:noWrap/>
            <w:hideMark/>
          </w:tcPr>
          <w:p w14:paraId="0F9DD707" w14:textId="77777777" w:rsidR="000955DA" w:rsidRPr="00577F95" w:rsidRDefault="000955DA" w:rsidP="000E39F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sk-SK"/>
              </w:rPr>
            </w:pPr>
            <w:r w:rsidRPr="00577F95">
              <w:rPr>
                <w:rFonts w:eastAsia="Times New Roman" w:cs="Times New Roman"/>
                <w:color w:val="000000"/>
                <w:sz w:val="20"/>
                <w:szCs w:val="20"/>
                <w:lang w:eastAsia="sk-SK"/>
              </w:rPr>
              <w:t>Komunikačná infraštruktúra - nájomné za nájom</w:t>
            </w:r>
          </w:p>
        </w:tc>
      </w:tr>
      <w:tr w:rsidR="000955DA" w:rsidRPr="00232E77" w14:paraId="12DDC8A3" w14:textId="77777777" w:rsidTr="000E39F7">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418" w:type="dxa"/>
            <w:hideMark/>
          </w:tcPr>
          <w:p w14:paraId="2B523637" w14:textId="77777777" w:rsidR="000955DA" w:rsidRPr="00577F95" w:rsidRDefault="000955DA" w:rsidP="000E39F7">
            <w:pPr>
              <w:spacing w:after="0" w:line="240" w:lineRule="auto"/>
              <w:rPr>
                <w:rFonts w:eastAsia="Times New Roman" w:cs="Times New Roman"/>
                <w:sz w:val="20"/>
                <w:szCs w:val="20"/>
                <w:lang w:eastAsia="sk-SK"/>
              </w:rPr>
            </w:pPr>
            <w:r w:rsidRPr="00577F95">
              <w:rPr>
                <w:rFonts w:eastAsia="Times New Roman" w:cs="Times New Roman"/>
                <w:sz w:val="20"/>
                <w:szCs w:val="20"/>
                <w:lang w:eastAsia="sk-SK"/>
              </w:rPr>
              <w:t>637040</w:t>
            </w:r>
          </w:p>
        </w:tc>
        <w:tc>
          <w:tcPr>
            <w:tcW w:w="6945" w:type="dxa"/>
            <w:noWrap/>
            <w:hideMark/>
          </w:tcPr>
          <w:p w14:paraId="0BF6B72C" w14:textId="77777777" w:rsidR="000955DA" w:rsidRPr="00577F95" w:rsidRDefault="000955DA" w:rsidP="000E39F7">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sk-SK"/>
              </w:rPr>
            </w:pPr>
            <w:r w:rsidRPr="00577F95">
              <w:rPr>
                <w:rFonts w:eastAsia="Times New Roman" w:cs="Times New Roman"/>
                <w:color w:val="000000"/>
                <w:sz w:val="20"/>
                <w:szCs w:val="20"/>
                <w:lang w:eastAsia="sk-SK"/>
              </w:rPr>
              <w:t>Služby v oblasti informačno-komunikačných technológií</w:t>
            </w:r>
          </w:p>
        </w:tc>
      </w:tr>
      <w:tr w:rsidR="000955DA" w:rsidRPr="00232E77" w14:paraId="727561C8" w14:textId="77777777" w:rsidTr="000E39F7">
        <w:trPr>
          <w:trHeight w:val="20"/>
        </w:trPr>
        <w:tc>
          <w:tcPr>
            <w:cnfStyle w:val="001000000000" w:firstRow="0" w:lastRow="0" w:firstColumn="1" w:lastColumn="0" w:oddVBand="0" w:evenVBand="0" w:oddHBand="0" w:evenHBand="0" w:firstRowFirstColumn="0" w:firstRowLastColumn="0" w:lastRowFirstColumn="0" w:lastRowLastColumn="0"/>
            <w:tcW w:w="1418" w:type="dxa"/>
            <w:hideMark/>
          </w:tcPr>
          <w:p w14:paraId="6166CAC9" w14:textId="77777777" w:rsidR="000955DA" w:rsidRPr="00577F95" w:rsidRDefault="000955DA" w:rsidP="000E39F7">
            <w:pPr>
              <w:spacing w:after="0" w:line="240" w:lineRule="auto"/>
              <w:rPr>
                <w:rFonts w:eastAsia="Times New Roman" w:cs="Times New Roman"/>
                <w:sz w:val="20"/>
                <w:szCs w:val="20"/>
                <w:lang w:eastAsia="sk-SK"/>
              </w:rPr>
            </w:pPr>
            <w:r w:rsidRPr="00577F95">
              <w:rPr>
                <w:rFonts w:eastAsia="Times New Roman" w:cs="Times New Roman"/>
                <w:sz w:val="20"/>
                <w:szCs w:val="20"/>
                <w:lang w:eastAsia="sk-SK"/>
              </w:rPr>
              <w:t>711003</w:t>
            </w:r>
          </w:p>
        </w:tc>
        <w:tc>
          <w:tcPr>
            <w:tcW w:w="6945" w:type="dxa"/>
            <w:noWrap/>
            <w:hideMark/>
          </w:tcPr>
          <w:p w14:paraId="3F7E7C5A" w14:textId="77777777" w:rsidR="000955DA" w:rsidRPr="00577F95" w:rsidRDefault="000955DA" w:rsidP="000E39F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sk-SK"/>
              </w:rPr>
            </w:pPr>
            <w:r w:rsidRPr="00577F95">
              <w:rPr>
                <w:rFonts w:eastAsia="Times New Roman" w:cs="Times New Roman"/>
                <w:color w:val="000000"/>
                <w:sz w:val="20"/>
                <w:szCs w:val="20"/>
                <w:lang w:eastAsia="sk-SK"/>
              </w:rPr>
              <w:t>Softvér - nákup</w:t>
            </w:r>
          </w:p>
        </w:tc>
      </w:tr>
      <w:tr w:rsidR="000955DA" w:rsidRPr="00232E77" w14:paraId="49630E3F" w14:textId="77777777" w:rsidTr="000E39F7">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418" w:type="dxa"/>
          </w:tcPr>
          <w:p w14:paraId="1C3534BD" w14:textId="77777777" w:rsidR="000955DA" w:rsidRPr="00577F95" w:rsidRDefault="000955DA" w:rsidP="000E39F7">
            <w:pPr>
              <w:spacing w:after="0" w:line="240" w:lineRule="auto"/>
              <w:rPr>
                <w:rFonts w:eastAsia="Times New Roman" w:cs="Times New Roman"/>
                <w:sz w:val="20"/>
                <w:szCs w:val="20"/>
                <w:lang w:eastAsia="sk-SK"/>
              </w:rPr>
            </w:pPr>
            <w:r w:rsidRPr="00577F95">
              <w:rPr>
                <w:rFonts w:eastAsia="Times New Roman" w:cs="Times New Roman"/>
                <w:sz w:val="20"/>
                <w:szCs w:val="20"/>
                <w:lang w:eastAsia="sk-SK"/>
              </w:rPr>
              <w:t>711004*</w:t>
            </w:r>
          </w:p>
        </w:tc>
        <w:tc>
          <w:tcPr>
            <w:tcW w:w="6945" w:type="dxa"/>
            <w:noWrap/>
          </w:tcPr>
          <w:p w14:paraId="4034EC89" w14:textId="77777777" w:rsidR="000955DA" w:rsidRPr="00577F95" w:rsidRDefault="000955DA" w:rsidP="000E39F7">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sk-SK"/>
              </w:rPr>
            </w:pPr>
            <w:r w:rsidRPr="00577F95">
              <w:rPr>
                <w:rFonts w:eastAsia="Times New Roman" w:cs="Times New Roman"/>
                <w:color w:val="000000"/>
                <w:sz w:val="20"/>
                <w:szCs w:val="20"/>
                <w:lang w:eastAsia="sk-SK"/>
              </w:rPr>
              <w:t>Licencie - časť Autorské práva na softvér či analýzu IKT riešenia</w:t>
            </w:r>
          </w:p>
        </w:tc>
      </w:tr>
      <w:tr w:rsidR="000955DA" w:rsidRPr="00232E77" w14:paraId="47B67614" w14:textId="77777777" w:rsidTr="000E39F7">
        <w:trPr>
          <w:trHeight w:val="20"/>
        </w:trPr>
        <w:tc>
          <w:tcPr>
            <w:cnfStyle w:val="001000000000" w:firstRow="0" w:lastRow="0" w:firstColumn="1" w:lastColumn="0" w:oddVBand="0" w:evenVBand="0" w:oddHBand="0" w:evenHBand="0" w:firstRowFirstColumn="0" w:firstRowLastColumn="0" w:lastRowFirstColumn="0" w:lastRowLastColumn="0"/>
            <w:tcW w:w="1418" w:type="dxa"/>
            <w:hideMark/>
          </w:tcPr>
          <w:p w14:paraId="782675DA" w14:textId="77777777" w:rsidR="000955DA" w:rsidRPr="00577F95" w:rsidRDefault="000955DA" w:rsidP="000E39F7">
            <w:pPr>
              <w:spacing w:after="0" w:line="240" w:lineRule="auto"/>
              <w:rPr>
                <w:rFonts w:eastAsia="Times New Roman" w:cs="Times New Roman"/>
                <w:sz w:val="20"/>
                <w:szCs w:val="20"/>
                <w:lang w:eastAsia="sk-SK"/>
              </w:rPr>
            </w:pPr>
            <w:r w:rsidRPr="00577F95">
              <w:rPr>
                <w:rFonts w:eastAsia="Times New Roman" w:cs="Times New Roman"/>
                <w:sz w:val="20"/>
                <w:szCs w:val="20"/>
                <w:lang w:eastAsia="sk-SK"/>
              </w:rPr>
              <w:t>713002</w:t>
            </w:r>
          </w:p>
        </w:tc>
        <w:tc>
          <w:tcPr>
            <w:tcW w:w="6945" w:type="dxa"/>
            <w:noWrap/>
            <w:hideMark/>
          </w:tcPr>
          <w:p w14:paraId="76842CC5" w14:textId="77777777" w:rsidR="000955DA" w:rsidRPr="00577F95" w:rsidRDefault="000955DA" w:rsidP="000E39F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sk-SK"/>
              </w:rPr>
            </w:pPr>
            <w:r w:rsidRPr="00577F95">
              <w:rPr>
                <w:rFonts w:eastAsia="Times New Roman" w:cs="Times New Roman"/>
                <w:color w:val="000000"/>
                <w:sz w:val="20"/>
                <w:szCs w:val="20"/>
                <w:lang w:eastAsia="sk-SK"/>
              </w:rPr>
              <w:t xml:space="preserve">Výpočtová technika - nákup </w:t>
            </w:r>
          </w:p>
        </w:tc>
      </w:tr>
      <w:tr w:rsidR="000955DA" w:rsidRPr="00232E77" w14:paraId="6F4436B4" w14:textId="77777777" w:rsidTr="000E39F7">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418" w:type="dxa"/>
            <w:hideMark/>
          </w:tcPr>
          <w:p w14:paraId="3DDCC87D" w14:textId="77777777" w:rsidR="000955DA" w:rsidRPr="00577F95" w:rsidRDefault="000955DA" w:rsidP="000E39F7">
            <w:pPr>
              <w:spacing w:after="0" w:line="240" w:lineRule="auto"/>
              <w:rPr>
                <w:rFonts w:eastAsia="Times New Roman" w:cs="Times New Roman"/>
                <w:sz w:val="20"/>
                <w:szCs w:val="20"/>
                <w:lang w:eastAsia="sk-SK"/>
              </w:rPr>
            </w:pPr>
            <w:r w:rsidRPr="00577F95">
              <w:rPr>
                <w:rFonts w:eastAsia="Times New Roman" w:cs="Times New Roman"/>
                <w:sz w:val="20"/>
                <w:szCs w:val="20"/>
                <w:lang w:eastAsia="sk-SK"/>
              </w:rPr>
              <w:t>713006</w:t>
            </w:r>
          </w:p>
        </w:tc>
        <w:tc>
          <w:tcPr>
            <w:tcW w:w="6945" w:type="dxa"/>
            <w:noWrap/>
            <w:hideMark/>
          </w:tcPr>
          <w:p w14:paraId="5A043A7A" w14:textId="77777777" w:rsidR="000955DA" w:rsidRPr="00577F95" w:rsidRDefault="000955DA" w:rsidP="000E39F7">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sk-SK"/>
              </w:rPr>
            </w:pPr>
            <w:r w:rsidRPr="00577F95">
              <w:rPr>
                <w:rFonts w:eastAsia="Times New Roman" w:cs="Times New Roman"/>
                <w:color w:val="000000"/>
                <w:sz w:val="20"/>
                <w:szCs w:val="20"/>
                <w:lang w:eastAsia="sk-SK"/>
              </w:rPr>
              <w:t>Komunikačná infraštruktúra - nákup</w:t>
            </w:r>
          </w:p>
        </w:tc>
      </w:tr>
      <w:tr w:rsidR="000955DA" w:rsidRPr="00232E77" w14:paraId="252FEF4C" w14:textId="77777777" w:rsidTr="000E39F7">
        <w:trPr>
          <w:trHeight w:val="20"/>
        </w:trPr>
        <w:tc>
          <w:tcPr>
            <w:cnfStyle w:val="001000000000" w:firstRow="0" w:lastRow="0" w:firstColumn="1" w:lastColumn="0" w:oddVBand="0" w:evenVBand="0" w:oddHBand="0" w:evenHBand="0" w:firstRowFirstColumn="0" w:firstRowLastColumn="0" w:lastRowFirstColumn="0" w:lastRowLastColumn="0"/>
            <w:tcW w:w="1418" w:type="dxa"/>
          </w:tcPr>
          <w:p w14:paraId="26F3962C" w14:textId="77777777" w:rsidR="000955DA" w:rsidRPr="00577F95" w:rsidRDefault="000955DA" w:rsidP="000E39F7">
            <w:pPr>
              <w:spacing w:after="0" w:line="240" w:lineRule="auto"/>
              <w:rPr>
                <w:rFonts w:eastAsia="Times New Roman" w:cs="Times New Roman"/>
                <w:color w:val="000000"/>
                <w:sz w:val="20"/>
                <w:szCs w:val="20"/>
                <w:lang w:eastAsia="sk-SK"/>
              </w:rPr>
            </w:pPr>
            <w:r w:rsidRPr="00577F95">
              <w:rPr>
                <w:rFonts w:eastAsia="Times New Roman" w:cs="Times New Roman"/>
                <w:sz w:val="20"/>
                <w:szCs w:val="20"/>
                <w:lang w:eastAsia="sk-SK"/>
              </w:rPr>
              <w:t>713003</w:t>
            </w:r>
          </w:p>
        </w:tc>
        <w:tc>
          <w:tcPr>
            <w:tcW w:w="6945" w:type="dxa"/>
            <w:noWrap/>
          </w:tcPr>
          <w:p w14:paraId="69D4D658" w14:textId="77777777" w:rsidR="000955DA" w:rsidRPr="00577F95" w:rsidRDefault="000955DA" w:rsidP="000E39F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sk-SK"/>
              </w:rPr>
            </w:pPr>
            <w:r w:rsidRPr="00577F95">
              <w:rPr>
                <w:rFonts w:eastAsia="Times New Roman" w:cs="Times New Roman"/>
                <w:color w:val="000000"/>
                <w:sz w:val="20"/>
                <w:szCs w:val="20"/>
                <w:lang w:eastAsia="sk-SK"/>
              </w:rPr>
              <w:t>Telekomunikačná technika - nákup</w:t>
            </w:r>
          </w:p>
        </w:tc>
      </w:tr>
      <w:tr w:rsidR="000955DA" w:rsidRPr="00232E77" w14:paraId="11EBF581" w14:textId="77777777" w:rsidTr="000E39F7">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418" w:type="dxa"/>
            <w:hideMark/>
          </w:tcPr>
          <w:p w14:paraId="3AFBFDB8" w14:textId="77777777" w:rsidR="000955DA" w:rsidRPr="00577F95" w:rsidRDefault="000955DA" w:rsidP="000E39F7">
            <w:pPr>
              <w:spacing w:after="0" w:line="240" w:lineRule="auto"/>
              <w:rPr>
                <w:rFonts w:eastAsia="Times New Roman" w:cs="Times New Roman"/>
                <w:color w:val="000000"/>
                <w:sz w:val="20"/>
                <w:szCs w:val="20"/>
                <w:lang w:eastAsia="sk-SK"/>
              </w:rPr>
            </w:pPr>
            <w:r w:rsidRPr="00577F95">
              <w:rPr>
                <w:rFonts w:eastAsia="Times New Roman" w:cs="Times New Roman"/>
                <w:sz w:val="20"/>
                <w:szCs w:val="20"/>
                <w:lang w:eastAsia="sk-SK"/>
              </w:rPr>
              <w:t>718002</w:t>
            </w:r>
          </w:p>
        </w:tc>
        <w:tc>
          <w:tcPr>
            <w:tcW w:w="6945" w:type="dxa"/>
            <w:noWrap/>
            <w:hideMark/>
          </w:tcPr>
          <w:p w14:paraId="70413DC7" w14:textId="77777777" w:rsidR="000955DA" w:rsidRPr="00577F95" w:rsidRDefault="000955DA" w:rsidP="000E39F7">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sk-SK"/>
              </w:rPr>
            </w:pPr>
            <w:r w:rsidRPr="00577F95">
              <w:rPr>
                <w:rFonts w:eastAsia="Times New Roman" w:cs="Times New Roman"/>
                <w:color w:val="000000"/>
                <w:sz w:val="20"/>
                <w:szCs w:val="20"/>
                <w:lang w:eastAsia="sk-SK"/>
              </w:rPr>
              <w:t>Výpočtová technika - rekonštrukcia a modernizácia</w:t>
            </w:r>
          </w:p>
        </w:tc>
      </w:tr>
      <w:tr w:rsidR="000955DA" w:rsidRPr="00232E77" w14:paraId="305EB6C0" w14:textId="77777777" w:rsidTr="000E39F7">
        <w:trPr>
          <w:trHeight w:val="20"/>
        </w:trPr>
        <w:tc>
          <w:tcPr>
            <w:cnfStyle w:val="001000000000" w:firstRow="0" w:lastRow="0" w:firstColumn="1" w:lastColumn="0" w:oddVBand="0" w:evenVBand="0" w:oddHBand="0" w:evenHBand="0" w:firstRowFirstColumn="0" w:firstRowLastColumn="0" w:lastRowFirstColumn="0" w:lastRowLastColumn="0"/>
            <w:tcW w:w="1418" w:type="dxa"/>
          </w:tcPr>
          <w:p w14:paraId="2436133B" w14:textId="77777777" w:rsidR="000955DA" w:rsidRPr="00577F95" w:rsidRDefault="000955DA" w:rsidP="000E39F7">
            <w:pPr>
              <w:spacing w:after="0" w:line="240" w:lineRule="auto"/>
              <w:rPr>
                <w:rFonts w:eastAsia="Times New Roman" w:cs="Times New Roman"/>
                <w:color w:val="000000"/>
                <w:sz w:val="20"/>
                <w:szCs w:val="20"/>
                <w:lang w:eastAsia="sk-SK"/>
              </w:rPr>
            </w:pPr>
            <w:r w:rsidRPr="00577F95">
              <w:rPr>
                <w:rFonts w:eastAsia="Times New Roman" w:cs="Times New Roman"/>
                <w:sz w:val="20"/>
                <w:szCs w:val="20"/>
                <w:lang w:eastAsia="sk-SK"/>
              </w:rPr>
              <w:t>718003</w:t>
            </w:r>
          </w:p>
        </w:tc>
        <w:tc>
          <w:tcPr>
            <w:tcW w:w="6945" w:type="dxa"/>
            <w:noWrap/>
          </w:tcPr>
          <w:p w14:paraId="498C8F35" w14:textId="77777777" w:rsidR="000955DA" w:rsidRPr="00577F95" w:rsidRDefault="000955DA" w:rsidP="000E39F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sk-SK"/>
              </w:rPr>
            </w:pPr>
            <w:r w:rsidRPr="00577F95">
              <w:rPr>
                <w:rFonts w:eastAsia="Times New Roman" w:cs="Times New Roman"/>
                <w:color w:val="000000"/>
                <w:sz w:val="20"/>
                <w:szCs w:val="20"/>
                <w:lang w:eastAsia="sk-SK"/>
              </w:rPr>
              <w:t xml:space="preserve">Telekomunikačná technika - rekonštrukcia a modernizácia </w:t>
            </w:r>
          </w:p>
        </w:tc>
      </w:tr>
      <w:tr w:rsidR="000955DA" w:rsidRPr="00232E77" w14:paraId="571AFE32" w14:textId="77777777" w:rsidTr="000E39F7">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418" w:type="dxa"/>
            <w:hideMark/>
          </w:tcPr>
          <w:p w14:paraId="3C95BD11" w14:textId="77777777" w:rsidR="000955DA" w:rsidRPr="00577F95" w:rsidRDefault="000955DA" w:rsidP="000E39F7">
            <w:pPr>
              <w:spacing w:after="0" w:line="240" w:lineRule="auto"/>
              <w:rPr>
                <w:rFonts w:eastAsia="Times New Roman" w:cs="Times New Roman"/>
                <w:sz w:val="20"/>
                <w:szCs w:val="20"/>
                <w:lang w:eastAsia="sk-SK"/>
              </w:rPr>
            </w:pPr>
            <w:r w:rsidRPr="00577F95">
              <w:rPr>
                <w:rFonts w:eastAsia="Times New Roman" w:cs="Times New Roman"/>
                <w:sz w:val="20"/>
                <w:szCs w:val="20"/>
                <w:lang w:eastAsia="sk-SK"/>
              </w:rPr>
              <w:t>718006</w:t>
            </w:r>
          </w:p>
        </w:tc>
        <w:tc>
          <w:tcPr>
            <w:tcW w:w="6945" w:type="dxa"/>
            <w:noWrap/>
            <w:hideMark/>
          </w:tcPr>
          <w:p w14:paraId="5782FC6E" w14:textId="77777777" w:rsidR="000955DA" w:rsidRPr="00577F95" w:rsidRDefault="000955DA" w:rsidP="000E39F7">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sk-SK"/>
              </w:rPr>
            </w:pPr>
            <w:r w:rsidRPr="00577F95">
              <w:rPr>
                <w:rFonts w:eastAsia="Times New Roman" w:cs="Times New Roman"/>
                <w:color w:val="000000"/>
                <w:sz w:val="20"/>
                <w:szCs w:val="20"/>
                <w:lang w:eastAsia="sk-SK"/>
              </w:rPr>
              <w:t>Softvér - rekonštrukcia a modernizácia</w:t>
            </w:r>
          </w:p>
        </w:tc>
      </w:tr>
      <w:tr w:rsidR="000955DA" w:rsidRPr="00232E77" w14:paraId="240D8974" w14:textId="77777777" w:rsidTr="000E39F7">
        <w:trPr>
          <w:trHeight w:val="20"/>
        </w:trPr>
        <w:tc>
          <w:tcPr>
            <w:cnfStyle w:val="001000000000" w:firstRow="0" w:lastRow="0" w:firstColumn="1" w:lastColumn="0" w:oddVBand="0" w:evenVBand="0" w:oddHBand="0" w:evenHBand="0" w:firstRowFirstColumn="0" w:firstRowLastColumn="0" w:lastRowFirstColumn="0" w:lastRowLastColumn="0"/>
            <w:tcW w:w="1418" w:type="dxa"/>
            <w:hideMark/>
          </w:tcPr>
          <w:p w14:paraId="4196B621" w14:textId="77777777" w:rsidR="000955DA" w:rsidRPr="00577F95" w:rsidRDefault="000955DA" w:rsidP="000E39F7">
            <w:pPr>
              <w:spacing w:after="0" w:line="240" w:lineRule="auto"/>
              <w:rPr>
                <w:rFonts w:eastAsia="Times New Roman" w:cs="Times New Roman"/>
                <w:sz w:val="20"/>
                <w:szCs w:val="20"/>
                <w:lang w:eastAsia="sk-SK"/>
              </w:rPr>
            </w:pPr>
            <w:r w:rsidRPr="00577F95">
              <w:rPr>
                <w:rFonts w:eastAsia="Times New Roman" w:cs="Times New Roman"/>
                <w:sz w:val="20"/>
                <w:szCs w:val="20"/>
                <w:lang w:eastAsia="sk-SK"/>
              </w:rPr>
              <w:t>718007</w:t>
            </w:r>
          </w:p>
        </w:tc>
        <w:tc>
          <w:tcPr>
            <w:tcW w:w="6945" w:type="dxa"/>
            <w:noWrap/>
            <w:hideMark/>
          </w:tcPr>
          <w:p w14:paraId="4DD5F464" w14:textId="77777777" w:rsidR="000955DA" w:rsidRPr="00577F95" w:rsidRDefault="000955DA" w:rsidP="000E39F7">
            <w:pPr>
              <w:keepNext/>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sk-SK"/>
              </w:rPr>
            </w:pPr>
            <w:r w:rsidRPr="00577F95">
              <w:rPr>
                <w:rFonts w:eastAsia="Times New Roman" w:cs="Times New Roman"/>
                <w:color w:val="000000"/>
                <w:sz w:val="20"/>
                <w:szCs w:val="20"/>
                <w:lang w:eastAsia="sk-SK"/>
              </w:rPr>
              <w:t>Komunikačná infraštruktúra - rekonštrukcia a modernizácia</w:t>
            </w:r>
          </w:p>
        </w:tc>
      </w:tr>
    </w:tbl>
    <w:p w14:paraId="365EFAE9" w14:textId="77777777" w:rsidR="000955DA" w:rsidRPr="005C2CEC" w:rsidRDefault="000955DA" w:rsidP="000955DA">
      <w:pPr>
        <w:ind w:left="720"/>
        <w:rPr>
          <w:i/>
          <w:sz w:val="18"/>
        </w:rPr>
      </w:pPr>
      <w:r w:rsidRPr="005C2CEC">
        <w:rPr>
          <w:i/>
          <w:sz w:val="18"/>
        </w:rPr>
        <w:t>* časť z podpoložky ktorá predstavuje IT výdavky</w:t>
      </w:r>
    </w:p>
    <w:p w14:paraId="74CC9954" w14:textId="583CFB89" w:rsidR="000955DA" w:rsidRPr="005C2CEC" w:rsidRDefault="000955DA" w:rsidP="000955DA">
      <w:pPr>
        <w:numPr>
          <w:ilvl w:val="0"/>
          <w:numId w:val="2"/>
        </w:numPr>
      </w:pPr>
      <w:r w:rsidRPr="005C2CEC">
        <w:rPr>
          <w:b/>
        </w:rPr>
        <w:t>Detailný rozpočet (výkaz výmer)</w:t>
      </w:r>
      <w:r w:rsidRPr="005C2CEC">
        <w:t xml:space="preserve"> je ekonomické vyjadrenie všetkých</w:t>
      </w:r>
      <w:r w:rsidR="000C15F6" w:rsidRPr="005C2CEC">
        <w:t xml:space="preserve"> vykonaných</w:t>
      </w:r>
      <w:r w:rsidRPr="005C2CEC">
        <w:t xml:space="preserve"> prác a použitých materiálov v súvislosti s prípravou a realizáciou investičného projektu po jednotlivých položkách v merných jednotkách (napr. m3, m2, m, kusy, kg, t, hod. a pod.) obsahujúce počet jednotiek pre každú položku, jednotkovú cenu za položku</w:t>
      </w:r>
      <w:r w:rsidR="00980D5C" w:rsidRPr="005C2CEC">
        <w:t>,</w:t>
      </w:r>
      <w:r w:rsidRPr="005C2CEC">
        <w:t> sumárnu cenu za každú položku</w:t>
      </w:r>
      <w:r w:rsidR="00980D5C" w:rsidRPr="005C2CEC">
        <w:t xml:space="preserve"> a referenciu na zdroj údajov pre stanovenie jednotkových cien položiek</w:t>
      </w:r>
      <w:r w:rsidRPr="005C2CEC">
        <w:t>.</w:t>
      </w:r>
    </w:p>
    <w:p w14:paraId="68231FCD" w14:textId="6C62DE1B" w:rsidR="000955DA" w:rsidRDefault="00013339" w:rsidP="00013339">
      <w:pPr>
        <w:numPr>
          <w:ilvl w:val="0"/>
          <w:numId w:val="2"/>
        </w:numPr>
      </w:pPr>
      <w:r>
        <w:rPr>
          <w:b/>
        </w:rPr>
        <w:t>Ustanovená</w:t>
      </w:r>
      <w:r w:rsidRPr="00013339">
        <w:rPr>
          <w:b/>
        </w:rPr>
        <w:t xml:space="preserve"> </w:t>
      </w:r>
      <w:r w:rsidR="000955DA" w:rsidRPr="005C2CEC">
        <w:rPr>
          <w:b/>
        </w:rPr>
        <w:t>hranica</w:t>
      </w:r>
      <w:r w:rsidR="000955DA" w:rsidRPr="005C2CEC">
        <w:t xml:space="preserve"> je pre účely tohto dokumentu hodnota investície alebo koncesie ustanovená </w:t>
      </w:r>
      <w:r>
        <w:t>v</w:t>
      </w:r>
      <w:r w:rsidRPr="005C2CEC">
        <w:t xml:space="preserve"> </w:t>
      </w:r>
      <w:r w:rsidR="000955DA" w:rsidRPr="005C2CEC">
        <w:t>§ 1 nariadenia vlády SR č. 174/2019 Z. z. o podmienkach vypracovania štúdie uskutočniteľnosti investície a štúdie uskutočniteľnosti koncesie</w:t>
      </w:r>
      <w:r>
        <w:t xml:space="preserve"> podľa </w:t>
      </w:r>
      <w:r w:rsidRPr="00013339">
        <w:t>§ 19a</w:t>
      </w:r>
      <w:r>
        <w:t xml:space="preserve"> ods. 8 zákona č. 523/2004 Z. z.</w:t>
      </w:r>
      <w:r w:rsidR="009A5EF7">
        <w:t xml:space="preserve"> Postup pri príprave a hodnotení investičného projektu je rôzny podľa toho či ide o investičný projekt pod ustanovenou hranicou alebo investičný projekt nad ustanovenou hranicou. Proces pri príprave a hodnotení investičného projektu </w:t>
      </w:r>
      <w:r w:rsidR="009A5EF7">
        <w:lastRenderedPageBreak/>
        <w:t xml:space="preserve">pod ustanovenou hranicou </w:t>
      </w:r>
      <w:r w:rsidR="00216A74">
        <w:t>je jednoduchší, obsahuje</w:t>
      </w:r>
      <w:r w:rsidR="009A5EF7">
        <w:t xml:space="preserve"> menej krokov</w:t>
      </w:r>
      <w:r w:rsidR="00216A74">
        <w:t xml:space="preserve"> a</w:t>
      </w:r>
      <w:r w:rsidR="009A5EF7">
        <w:t xml:space="preserve"> </w:t>
      </w:r>
      <w:r w:rsidR="00216A74">
        <w:t>vyžaduje prípravu menšieho rozsahu podkladov</w:t>
      </w:r>
      <w:r w:rsidR="009A5EF7">
        <w:t>.</w:t>
      </w:r>
    </w:p>
    <w:p w14:paraId="1E6EE330" w14:textId="6693A36E" w:rsidR="006D3EDB" w:rsidRPr="005C2CEC" w:rsidRDefault="006D3EDB" w:rsidP="006D3EDB">
      <w:pPr>
        <w:numPr>
          <w:ilvl w:val="0"/>
          <w:numId w:val="2"/>
        </w:numPr>
      </w:pPr>
      <w:r w:rsidRPr="006D3EDB">
        <w:rPr>
          <w:b/>
        </w:rPr>
        <w:t>Hodnota koncesie ustanovená osobitným predpisom</w:t>
      </w:r>
      <w:r>
        <w:t xml:space="preserve"> je</w:t>
      </w:r>
      <w:r w:rsidRPr="006D3EDB">
        <w:t xml:space="preserve"> hodnota ustanovená</w:t>
      </w:r>
      <w:r>
        <w:t xml:space="preserve"> podľa</w:t>
      </w:r>
      <w:r w:rsidRPr="006D3EDB">
        <w:t xml:space="preserve"> </w:t>
      </w:r>
      <w:r w:rsidRPr="005C2CEC">
        <w:t>§</w:t>
      </w:r>
      <w:r>
        <w:t xml:space="preserve"> </w:t>
      </w:r>
      <w:r w:rsidRPr="006D3EDB">
        <w:t>5 ods. 7 zákona č. 343/2015 Z. z., ktorý odkazuje na Vyhlášku Úradu pre verejné obstarávanie.</w:t>
      </w:r>
    </w:p>
    <w:p w14:paraId="2687F815" w14:textId="6A0AF46E" w:rsidR="000955DA" w:rsidRPr="005C2CEC" w:rsidRDefault="000955DA" w:rsidP="000955DA">
      <w:pPr>
        <w:numPr>
          <w:ilvl w:val="0"/>
          <w:numId w:val="2"/>
        </w:numPr>
      </w:pPr>
      <w:r w:rsidRPr="005C2CEC">
        <w:rPr>
          <w:b/>
        </w:rPr>
        <w:t>Ministerstvo</w:t>
      </w:r>
      <w:r w:rsidR="00AD79B4" w:rsidRPr="005C2CEC">
        <w:t>, ak nie je bližšie špecifikované,</w:t>
      </w:r>
      <w:r w:rsidRPr="005C2CEC">
        <w:t xml:space="preserve"> </w:t>
      </w:r>
      <w:r w:rsidR="00BC0921" w:rsidRPr="005C2CEC">
        <w:t xml:space="preserve">znamená </w:t>
      </w:r>
      <w:r w:rsidRPr="005C2CEC">
        <w:t>niektoré z ministerstiev podľa § 3 zákona č. 575/2001 Z. z. o organizácii činnosti vlády a organizácii ústrednej štátnej správy</w:t>
      </w:r>
      <w:r w:rsidR="00AC5122">
        <w:t xml:space="preserve"> v znení neskorších predpisov</w:t>
      </w:r>
      <w:r w:rsidRPr="005C2CEC">
        <w:t>.</w:t>
      </w:r>
    </w:p>
    <w:p w14:paraId="754705F3" w14:textId="77777777" w:rsidR="000955DA" w:rsidRPr="005C2CEC" w:rsidRDefault="000955DA" w:rsidP="000955DA">
      <w:pPr>
        <w:pStyle w:val="Nadpis2"/>
      </w:pPr>
      <w:bookmarkStart w:id="179" w:name="_Toc483828713"/>
      <w:bookmarkStart w:id="180" w:name="_Toc83651095"/>
      <w:r w:rsidRPr="005C2CEC">
        <w:t>Skratky</w:t>
      </w:r>
      <w:bookmarkEnd w:id="179"/>
      <w:bookmarkEnd w:id="180"/>
    </w:p>
    <w:p w14:paraId="40BC443F" w14:textId="3FA7DECA" w:rsidR="000955DA" w:rsidRPr="005C2CEC" w:rsidRDefault="000955DA" w:rsidP="000955DA">
      <w:pPr>
        <w:pStyle w:val="Popis"/>
        <w:ind w:left="426"/>
      </w:pPr>
      <w:bookmarkStart w:id="181" w:name="_Toc83651117"/>
      <w:r w:rsidRPr="005C2CEC">
        <w:t xml:space="preserve">Tabuľka </w:t>
      </w:r>
      <w:r w:rsidRPr="005C2CEC">
        <w:rPr>
          <w:noProof/>
        </w:rPr>
        <w:fldChar w:fldCharType="begin"/>
      </w:r>
      <w:r w:rsidRPr="005C2CEC">
        <w:rPr>
          <w:noProof/>
        </w:rPr>
        <w:instrText xml:space="preserve"> SEQ Tabuľka \* ARABIC </w:instrText>
      </w:r>
      <w:r w:rsidRPr="005C2CEC">
        <w:rPr>
          <w:noProof/>
        </w:rPr>
        <w:fldChar w:fldCharType="separate"/>
      </w:r>
      <w:r w:rsidR="003B5091">
        <w:rPr>
          <w:noProof/>
        </w:rPr>
        <w:t>13</w:t>
      </w:r>
      <w:r w:rsidRPr="005C2CEC">
        <w:rPr>
          <w:noProof/>
        </w:rPr>
        <w:fldChar w:fldCharType="end"/>
      </w:r>
      <w:r w:rsidRPr="005C2CEC">
        <w:t>: Zoznam použitých skratiek</w:t>
      </w:r>
      <w:bookmarkEnd w:id="181"/>
    </w:p>
    <w:tbl>
      <w:tblPr>
        <w:tblStyle w:val="Mriekatabuky"/>
        <w:tblW w:w="0" w:type="auto"/>
        <w:tblInd w:w="426" w:type="dxa"/>
        <w:tblBorders>
          <w:left w:val="none" w:sz="0" w:space="0" w:color="auto"/>
          <w:right w:val="none" w:sz="0" w:space="0" w:color="auto"/>
          <w:insideV w:val="none" w:sz="0" w:space="0" w:color="auto"/>
        </w:tblBorders>
        <w:tblLook w:val="04A0" w:firstRow="1" w:lastRow="0" w:firstColumn="1" w:lastColumn="0" w:noHBand="0" w:noVBand="1"/>
      </w:tblPr>
      <w:tblGrid>
        <w:gridCol w:w="1412"/>
        <w:gridCol w:w="7224"/>
      </w:tblGrid>
      <w:tr w:rsidR="000955DA" w:rsidRPr="005C2CEC" w14:paraId="749424B9" w14:textId="77777777" w:rsidTr="000E39F7">
        <w:trPr>
          <w:tblHeader/>
        </w:trPr>
        <w:tc>
          <w:tcPr>
            <w:tcW w:w="1412" w:type="dxa"/>
          </w:tcPr>
          <w:p w14:paraId="1193003A" w14:textId="77777777" w:rsidR="000955DA" w:rsidRPr="005C2CEC" w:rsidRDefault="000955DA" w:rsidP="000E39F7">
            <w:pPr>
              <w:spacing w:after="60"/>
              <w:jc w:val="left"/>
              <w:rPr>
                <w:rStyle w:val="Intenzvnezvraznenie"/>
                <w:b/>
                <w:i w:val="0"/>
              </w:rPr>
            </w:pPr>
            <w:r w:rsidRPr="005C2CEC">
              <w:rPr>
                <w:rStyle w:val="Intenzvnezvraznenie"/>
                <w:b/>
                <w:i w:val="0"/>
              </w:rPr>
              <w:t>Skratka</w:t>
            </w:r>
          </w:p>
        </w:tc>
        <w:tc>
          <w:tcPr>
            <w:tcW w:w="7224" w:type="dxa"/>
          </w:tcPr>
          <w:p w14:paraId="4F7C74A8" w14:textId="77777777" w:rsidR="000955DA" w:rsidRPr="005C2CEC" w:rsidRDefault="000955DA" w:rsidP="000E39F7">
            <w:pPr>
              <w:spacing w:after="60"/>
              <w:jc w:val="left"/>
              <w:rPr>
                <w:rStyle w:val="Intenzvnezvraznenie"/>
                <w:b/>
                <w:i w:val="0"/>
              </w:rPr>
            </w:pPr>
            <w:r w:rsidRPr="005C2CEC">
              <w:rPr>
                <w:rStyle w:val="Intenzvnezvraznenie"/>
                <w:b/>
                <w:i w:val="0"/>
              </w:rPr>
              <w:t>Vysvetlenie</w:t>
            </w:r>
          </w:p>
        </w:tc>
      </w:tr>
      <w:tr w:rsidR="000955DA" w:rsidRPr="005C2CEC" w14:paraId="19EB9968" w14:textId="77777777" w:rsidTr="000E39F7">
        <w:tc>
          <w:tcPr>
            <w:tcW w:w="1412" w:type="dxa"/>
          </w:tcPr>
          <w:p w14:paraId="7251C949" w14:textId="77777777" w:rsidR="000955DA" w:rsidRPr="005C2CEC" w:rsidRDefault="000955DA" w:rsidP="000E39F7">
            <w:pPr>
              <w:spacing w:after="60"/>
              <w:jc w:val="left"/>
            </w:pPr>
            <w:r w:rsidRPr="005C2CEC">
              <w:t>AJ</w:t>
            </w:r>
          </w:p>
        </w:tc>
        <w:tc>
          <w:tcPr>
            <w:tcW w:w="7224" w:type="dxa"/>
          </w:tcPr>
          <w:p w14:paraId="46A3EDEE" w14:textId="77777777" w:rsidR="000955DA" w:rsidRPr="005C2CEC" w:rsidRDefault="000955DA" w:rsidP="000E39F7">
            <w:pPr>
              <w:spacing w:after="60"/>
              <w:jc w:val="left"/>
              <w:rPr>
                <w:color w:val="000000"/>
              </w:rPr>
            </w:pPr>
            <w:r w:rsidRPr="005C2CEC">
              <w:rPr>
                <w:color w:val="000000"/>
              </w:rPr>
              <w:t>analytická jednotka</w:t>
            </w:r>
          </w:p>
        </w:tc>
      </w:tr>
      <w:tr w:rsidR="000955DA" w:rsidRPr="005C2CEC" w14:paraId="01A22BA4" w14:textId="77777777" w:rsidTr="000E39F7">
        <w:tc>
          <w:tcPr>
            <w:tcW w:w="1412" w:type="dxa"/>
          </w:tcPr>
          <w:p w14:paraId="7E68EB5E" w14:textId="77777777" w:rsidR="000955DA" w:rsidRPr="005C2CEC" w:rsidRDefault="000955DA" w:rsidP="000E39F7">
            <w:pPr>
              <w:spacing w:after="60"/>
              <w:jc w:val="left"/>
              <w:rPr>
                <w:rStyle w:val="Intenzvnezvraznenie"/>
                <w:i w:val="0"/>
              </w:rPr>
            </w:pPr>
            <w:r w:rsidRPr="005C2CEC">
              <w:t xml:space="preserve">BCR </w:t>
            </w:r>
          </w:p>
        </w:tc>
        <w:tc>
          <w:tcPr>
            <w:tcW w:w="7224" w:type="dxa"/>
          </w:tcPr>
          <w:p w14:paraId="1A1A6505" w14:textId="244B3003" w:rsidR="000955DA" w:rsidRPr="005C2CEC" w:rsidRDefault="000955DA" w:rsidP="00A4715A">
            <w:pPr>
              <w:spacing w:after="60"/>
              <w:jc w:val="left"/>
              <w:rPr>
                <w:rStyle w:val="Intenzvnezvraznenie"/>
                <w:i w:val="0"/>
              </w:rPr>
            </w:pPr>
            <w:r w:rsidRPr="005C2CEC">
              <w:rPr>
                <w:color w:val="000000"/>
              </w:rPr>
              <w:t>angl. Benefits to Costs Ratio, pomer medzi ekonomickými prínosmi a nákladmi</w:t>
            </w:r>
          </w:p>
        </w:tc>
      </w:tr>
      <w:tr w:rsidR="000955DA" w:rsidRPr="005C2CEC" w14:paraId="3BBA4867" w14:textId="77777777" w:rsidTr="000E39F7">
        <w:tc>
          <w:tcPr>
            <w:tcW w:w="1412" w:type="dxa"/>
          </w:tcPr>
          <w:p w14:paraId="4570D63E" w14:textId="77777777" w:rsidR="000955DA" w:rsidRPr="005C2CEC" w:rsidRDefault="000955DA" w:rsidP="000E39F7">
            <w:pPr>
              <w:spacing w:after="60"/>
              <w:jc w:val="left"/>
              <w:rPr>
                <w:rStyle w:val="Intenzvnezvraznenie"/>
                <w:i w:val="0"/>
              </w:rPr>
            </w:pPr>
            <w:r w:rsidRPr="005C2CEC">
              <w:t xml:space="preserve">CBA </w:t>
            </w:r>
          </w:p>
        </w:tc>
        <w:tc>
          <w:tcPr>
            <w:tcW w:w="7224" w:type="dxa"/>
          </w:tcPr>
          <w:p w14:paraId="14D7F40D" w14:textId="77777777" w:rsidR="000955DA" w:rsidRPr="005C2CEC" w:rsidRDefault="000955DA" w:rsidP="000E39F7">
            <w:pPr>
              <w:spacing w:after="60"/>
              <w:jc w:val="left"/>
              <w:rPr>
                <w:rStyle w:val="Intenzvnezvraznenie"/>
                <w:i w:val="0"/>
              </w:rPr>
            </w:pPr>
            <w:r w:rsidRPr="005C2CEC">
              <w:rPr>
                <w:color w:val="000000"/>
              </w:rPr>
              <w:t>angl. Cost Benefit Analysis, analýza nákladov a prínosov</w:t>
            </w:r>
          </w:p>
        </w:tc>
      </w:tr>
      <w:tr w:rsidR="000B0B3F" w:rsidRPr="005C2CEC" w14:paraId="7FE25F2D" w14:textId="77777777" w:rsidTr="000E39F7">
        <w:tc>
          <w:tcPr>
            <w:tcW w:w="1412" w:type="dxa"/>
          </w:tcPr>
          <w:p w14:paraId="6CB8AF27" w14:textId="68A93E60" w:rsidR="000B0B3F" w:rsidRPr="005C2CEC" w:rsidRDefault="000B0B3F" w:rsidP="000E39F7">
            <w:pPr>
              <w:spacing w:after="60"/>
              <w:jc w:val="left"/>
            </w:pPr>
            <w:r>
              <w:t>DALY</w:t>
            </w:r>
          </w:p>
        </w:tc>
        <w:tc>
          <w:tcPr>
            <w:tcW w:w="7224" w:type="dxa"/>
          </w:tcPr>
          <w:p w14:paraId="04244E74" w14:textId="0ED5F944" w:rsidR="000B0B3F" w:rsidRPr="005C2CEC" w:rsidRDefault="000B0B3F" w:rsidP="000B0B3F">
            <w:pPr>
              <w:spacing w:after="60"/>
              <w:jc w:val="left"/>
              <w:rPr>
                <w:color w:val="000000"/>
              </w:rPr>
            </w:pPr>
            <w:r>
              <w:rPr>
                <w:color w:val="000000"/>
              </w:rPr>
              <w:t xml:space="preserve">angl. Disability-adjusted life year, </w:t>
            </w:r>
            <w:r w:rsidR="00595661">
              <w:t>počet rokov života zasiahnutých postihnutím</w:t>
            </w:r>
          </w:p>
        </w:tc>
      </w:tr>
      <w:tr w:rsidR="000955DA" w:rsidRPr="005C2CEC" w14:paraId="47AA01CE" w14:textId="77777777" w:rsidTr="000E39F7">
        <w:tc>
          <w:tcPr>
            <w:tcW w:w="1412" w:type="dxa"/>
          </w:tcPr>
          <w:p w14:paraId="74785B4D" w14:textId="77777777" w:rsidR="000955DA" w:rsidRPr="005C2CEC" w:rsidRDefault="000955DA" w:rsidP="000E39F7">
            <w:pPr>
              <w:spacing w:after="60"/>
              <w:jc w:val="left"/>
              <w:rPr>
                <w:rStyle w:val="Intenzvnezvraznenie"/>
                <w:i w:val="0"/>
              </w:rPr>
            </w:pPr>
            <w:r w:rsidRPr="005C2CEC">
              <w:t xml:space="preserve">EIA </w:t>
            </w:r>
          </w:p>
        </w:tc>
        <w:tc>
          <w:tcPr>
            <w:tcW w:w="7224" w:type="dxa"/>
          </w:tcPr>
          <w:p w14:paraId="4853888A" w14:textId="77777777" w:rsidR="000955DA" w:rsidRPr="005C2CEC" w:rsidRDefault="000955DA" w:rsidP="000E39F7">
            <w:pPr>
              <w:spacing w:after="60"/>
              <w:jc w:val="left"/>
              <w:rPr>
                <w:rStyle w:val="Intenzvnezvraznenie"/>
                <w:i w:val="0"/>
              </w:rPr>
            </w:pPr>
            <w:r w:rsidRPr="005C2CEC">
              <w:rPr>
                <w:color w:val="000000"/>
              </w:rPr>
              <w:t>angl. Environmental Impact Assessment, posudzovanie vplyvov na životné prostredie</w:t>
            </w:r>
          </w:p>
        </w:tc>
      </w:tr>
      <w:tr w:rsidR="00295670" w:rsidRPr="005C2CEC" w14:paraId="689FBC4C" w14:textId="77777777" w:rsidTr="000E39F7">
        <w:tc>
          <w:tcPr>
            <w:tcW w:w="1412" w:type="dxa"/>
          </w:tcPr>
          <w:p w14:paraId="722A2DA5" w14:textId="6D4F8DD5" w:rsidR="00295670" w:rsidRPr="005C2CEC" w:rsidRDefault="00295670" w:rsidP="000E39F7">
            <w:pPr>
              <w:spacing w:after="60"/>
              <w:jc w:val="left"/>
            </w:pPr>
            <w:r w:rsidRPr="005C2CEC">
              <w:t>EKRK</w:t>
            </w:r>
          </w:p>
        </w:tc>
        <w:tc>
          <w:tcPr>
            <w:tcW w:w="7224" w:type="dxa"/>
          </w:tcPr>
          <w:p w14:paraId="57260522" w14:textId="1C26BFA9" w:rsidR="00295670" w:rsidRPr="005C2CEC" w:rsidRDefault="00295670" w:rsidP="00295670">
            <w:pPr>
              <w:spacing w:after="60"/>
              <w:jc w:val="left"/>
              <w:rPr>
                <w:color w:val="000000"/>
              </w:rPr>
            </w:pPr>
            <w:r w:rsidRPr="005C2CEC">
              <w:rPr>
                <w:color w:val="000000"/>
              </w:rPr>
              <w:t>Ekonomická klasifikácia rozpočtovej klasifikácie</w:t>
            </w:r>
          </w:p>
        </w:tc>
      </w:tr>
      <w:tr w:rsidR="000955DA" w:rsidRPr="005C2CEC" w14:paraId="072703BA" w14:textId="77777777" w:rsidTr="000E39F7">
        <w:tc>
          <w:tcPr>
            <w:tcW w:w="1412" w:type="dxa"/>
          </w:tcPr>
          <w:p w14:paraId="60141659" w14:textId="77777777" w:rsidR="000955DA" w:rsidRPr="005C2CEC" w:rsidRDefault="000955DA" w:rsidP="000E39F7">
            <w:pPr>
              <w:spacing w:after="60"/>
              <w:jc w:val="left"/>
              <w:rPr>
                <w:rStyle w:val="Intenzvnezvraznenie"/>
                <w:i w:val="0"/>
              </w:rPr>
            </w:pPr>
            <w:r w:rsidRPr="005C2CEC">
              <w:t xml:space="preserve">EŠIF </w:t>
            </w:r>
          </w:p>
        </w:tc>
        <w:tc>
          <w:tcPr>
            <w:tcW w:w="7224" w:type="dxa"/>
          </w:tcPr>
          <w:p w14:paraId="7DAA3E5A" w14:textId="77777777" w:rsidR="000955DA" w:rsidRPr="005C2CEC" w:rsidRDefault="000955DA" w:rsidP="000E39F7">
            <w:pPr>
              <w:spacing w:after="60"/>
              <w:jc w:val="left"/>
              <w:rPr>
                <w:rStyle w:val="Intenzvnezvraznenie"/>
                <w:i w:val="0"/>
              </w:rPr>
            </w:pPr>
            <w:r w:rsidRPr="005C2CEC">
              <w:rPr>
                <w:color w:val="000000"/>
              </w:rPr>
              <w:t>Európske štrukturálne a investičné fondy</w:t>
            </w:r>
          </w:p>
        </w:tc>
      </w:tr>
      <w:tr w:rsidR="000955DA" w:rsidRPr="005C2CEC" w14:paraId="209A4042" w14:textId="77777777" w:rsidTr="000E39F7">
        <w:tc>
          <w:tcPr>
            <w:tcW w:w="1412" w:type="dxa"/>
          </w:tcPr>
          <w:p w14:paraId="7EC6A1F3" w14:textId="77777777" w:rsidR="000955DA" w:rsidRPr="005C2CEC" w:rsidRDefault="000955DA" w:rsidP="000E39F7">
            <w:pPr>
              <w:spacing w:after="60"/>
              <w:jc w:val="left"/>
              <w:rPr>
                <w:rStyle w:val="Intenzvnezvraznenie"/>
                <w:i w:val="0"/>
              </w:rPr>
            </w:pPr>
            <w:r w:rsidRPr="005C2CEC">
              <w:t xml:space="preserve">IA </w:t>
            </w:r>
          </w:p>
        </w:tc>
        <w:tc>
          <w:tcPr>
            <w:tcW w:w="7224" w:type="dxa"/>
          </w:tcPr>
          <w:p w14:paraId="253FEE00" w14:textId="6950F377" w:rsidR="000955DA" w:rsidRPr="005C2CEC" w:rsidRDefault="000955DA" w:rsidP="00FB4ED0">
            <w:pPr>
              <w:spacing w:after="60"/>
              <w:jc w:val="left"/>
              <w:rPr>
                <w:rStyle w:val="Intenzvnezvraznenie"/>
                <w:i w:val="0"/>
              </w:rPr>
            </w:pPr>
            <w:r w:rsidRPr="005C2CEC">
              <w:rPr>
                <w:color w:val="000000"/>
              </w:rPr>
              <w:t xml:space="preserve">investičná </w:t>
            </w:r>
            <w:r w:rsidR="00FB4ED0">
              <w:rPr>
                <w:color w:val="000000"/>
              </w:rPr>
              <w:t>akcia</w:t>
            </w:r>
          </w:p>
        </w:tc>
      </w:tr>
      <w:tr w:rsidR="000955DA" w:rsidRPr="005C2CEC" w14:paraId="3BC498A0" w14:textId="77777777" w:rsidTr="000E39F7">
        <w:tc>
          <w:tcPr>
            <w:tcW w:w="1412" w:type="dxa"/>
          </w:tcPr>
          <w:p w14:paraId="589FD7AD" w14:textId="77777777" w:rsidR="000955DA" w:rsidRPr="005C2CEC" w:rsidRDefault="000955DA" w:rsidP="000E39F7">
            <w:pPr>
              <w:spacing w:after="60"/>
              <w:jc w:val="left"/>
            </w:pPr>
            <w:r w:rsidRPr="005C2CEC">
              <w:t>KPI</w:t>
            </w:r>
          </w:p>
        </w:tc>
        <w:tc>
          <w:tcPr>
            <w:tcW w:w="7224" w:type="dxa"/>
          </w:tcPr>
          <w:p w14:paraId="0721EE6E" w14:textId="77777777" w:rsidR="000955DA" w:rsidRPr="005C2CEC" w:rsidRDefault="000955DA" w:rsidP="000E39F7">
            <w:pPr>
              <w:spacing w:after="60"/>
              <w:jc w:val="left"/>
              <w:rPr>
                <w:color w:val="000000"/>
              </w:rPr>
            </w:pPr>
            <w:r w:rsidRPr="005C2CEC">
              <w:rPr>
                <w:color w:val="000000"/>
              </w:rPr>
              <w:t>angl. Key Performance Indicator, kľúčový merateľný ukazovateľ</w:t>
            </w:r>
          </w:p>
        </w:tc>
      </w:tr>
      <w:tr w:rsidR="000955DA" w:rsidRPr="005C2CEC" w14:paraId="099A641F" w14:textId="77777777" w:rsidTr="000E39F7">
        <w:tc>
          <w:tcPr>
            <w:tcW w:w="1412" w:type="dxa"/>
          </w:tcPr>
          <w:p w14:paraId="0020017A" w14:textId="77777777" w:rsidR="000955DA" w:rsidRPr="005C2CEC" w:rsidRDefault="000955DA" w:rsidP="000E39F7">
            <w:pPr>
              <w:spacing w:after="60"/>
              <w:jc w:val="left"/>
            </w:pPr>
            <w:r w:rsidRPr="005C2CEC">
              <w:t>MF SR</w:t>
            </w:r>
          </w:p>
        </w:tc>
        <w:tc>
          <w:tcPr>
            <w:tcW w:w="7224" w:type="dxa"/>
          </w:tcPr>
          <w:p w14:paraId="66E56682" w14:textId="77777777" w:rsidR="000955DA" w:rsidRPr="005C2CEC" w:rsidRDefault="000955DA" w:rsidP="000E39F7">
            <w:pPr>
              <w:spacing w:after="60"/>
              <w:jc w:val="left"/>
              <w:rPr>
                <w:color w:val="000000"/>
              </w:rPr>
            </w:pPr>
            <w:r w:rsidRPr="005C2CEC">
              <w:rPr>
                <w:color w:val="000000"/>
              </w:rPr>
              <w:t>Ministerstvo financií Slovenskej republiky</w:t>
            </w:r>
          </w:p>
        </w:tc>
      </w:tr>
      <w:tr w:rsidR="000955DA" w:rsidRPr="005C2CEC" w14:paraId="799540C7" w14:textId="77777777" w:rsidTr="000E39F7">
        <w:tc>
          <w:tcPr>
            <w:tcW w:w="1412" w:type="dxa"/>
          </w:tcPr>
          <w:p w14:paraId="02FFA16D" w14:textId="77777777" w:rsidR="000955DA" w:rsidRPr="005C2CEC" w:rsidRDefault="000955DA" w:rsidP="000E39F7">
            <w:pPr>
              <w:spacing w:after="60"/>
              <w:jc w:val="left"/>
            </w:pPr>
            <w:r w:rsidRPr="005C2CEC">
              <w:t>MIRRI SR</w:t>
            </w:r>
          </w:p>
        </w:tc>
        <w:tc>
          <w:tcPr>
            <w:tcW w:w="7224" w:type="dxa"/>
          </w:tcPr>
          <w:p w14:paraId="23E093DD" w14:textId="77777777" w:rsidR="000955DA" w:rsidRPr="005C2CEC" w:rsidRDefault="000955DA" w:rsidP="000E39F7">
            <w:pPr>
              <w:spacing w:after="60"/>
              <w:jc w:val="left"/>
              <w:rPr>
                <w:color w:val="000000"/>
              </w:rPr>
            </w:pPr>
            <w:r w:rsidRPr="005C2CEC">
              <w:rPr>
                <w:color w:val="000000"/>
              </w:rPr>
              <w:t>Ministerstvo investícií, regionálneho rozvoja a informatizácie Slovenskej republiky</w:t>
            </w:r>
          </w:p>
        </w:tc>
      </w:tr>
      <w:tr w:rsidR="000955DA" w:rsidRPr="005C2CEC" w14:paraId="567F319D" w14:textId="77777777" w:rsidTr="000E39F7">
        <w:tc>
          <w:tcPr>
            <w:tcW w:w="1412" w:type="dxa"/>
          </w:tcPr>
          <w:p w14:paraId="6DE30BAD" w14:textId="77777777" w:rsidR="000955DA" w:rsidRPr="005C2CEC" w:rsidRDefault="000955DA" w:rsidP="000E39F7">
            <w:pPr>
              <w:spacing w:after="60"/>
              <w:jc w:val="left"/>
              <w:rPr>
                <w:rStyle w:val="Intenzvnezvraznenie"/>
                <w:i w:val="0"/>
              </w:rPr>
            </w:pPr>
            <w:r w:rsidRPr="005C2CEC">
              <w:t xml:space="preserve">MŽP SR </w:t>
            </w:r>
          </w:p>
        </w:tc>
        <w:tc>
          <w:tcPr>
            <w:tcW w:w="7224" w:type="dxa"/>
          </w:tcPr>
          <w:p w14:paraId="3A43CF94" w14:textId="77777777" w:rsidR="000955DA" w:rsidRPr="005C2CEC" w:rsidRDefault="000955DA" w:rsidP="000E39F7">
            <w:pPr>
              <w:spacing w:after="60"/>
              <w:jc w:val="left"/>
              <w:rPr>
                <w:rStyle w:val="Intenzvnezvraznenie"/>
                <w:i w:val="0"/>
              </w:rPr>
            </w:pPr>
            <w:r w:rsidRPr="005C2CEC">
              <w:rPr>
                <w:color w:val="000000"/>
              </w:rPr>
              <w:t>Ministerstvo životného prostredia Slovenskej republiky</w:t>
            </w:r>
          </w:p>
        </w:tc>
      </w:tr>
      <w:tr w:rsidR="000955DA" w:rsidRPr="005C2CEC" w14:paraId="726DE04B" w14:textId="77777777" w:rsidTr="000E39F7">
        <w:tc>
          <w:tcPr>
            <w:tcW w:w="1412" w:type="dxa"/>
          </w:tcPr>
          <w:p w14:paraId="689F2D7F" w14:textId="77777777" w:rsidR="000955DA" w:rsidRPr="005C2CEC" w:rsidRDefault="000955DA" w:rsidP="000E39F7">
            <w:pPr>
              <w:spacing w:after="60"/>
              <w:jc w:val="left"/>
              <w:rPr>
                <w:rStyle w:val="Intenzvnezvraznenie"/>
                <w:i w:val="0"/>
              </w:rPr>
            </w:pPr>
            <w:r w:rsidRPr="005C2CEC">
              <w:t xml:space="preserve">NDS </w:t>
            </w:r>
          </w:p>
        </w:tc>
        <w:tc>
          <w:tcPr>
            <w:tcW w:w="7224" w:type="dxa"/>
          </w:tcPr>
          <w:p w14:paraId="3DA15CB2" w14:textId="77777777" w:rsidR="000955DA" w:rsidRPr="005C2CEC" w:rsidRDefault="000955DA" w:rsidP="000E39F7">
            <w:pPr>
              <w:spacing w:after="60"/>
              <w:jc w:val="left"/>
              <w:rPr>
                <w:rStyle w:val="Intenzvnezvraznenie"/>
                <w:i w:val="0"/>
              </w:rPr>
            </w:pPr>
            <w:r w:rsidRPr="005C2CEC">
              <w:rPr>
                <w:color w:val="000000"/>
              </w:rPr>
              <w:t>Národná diaľničná spoločnosť, a. s.</w:t>
            </w:r>
          </w:p>
        </w:tc>
      </w:tr>
      <w:tr w:rsidR="00A4715A" w:rsidRPr="005C2CEC" w14:paraId="6A42BBBB" w14:textId="77777777" w:rsidTr="000E39F7">
        <w:tc>
          <w:tcPr>
            <w:tcW w:w="1412" w:type="dxa"/>
          </w:tcPr>
          <w:p w14:paraId="68666306" w14:textId="03C4E606" w:rsidR="00A4715A" w:rsidRPr="005C2CEC" w:rsidRDefault="00A4715A" w:rsidP="000E39F7">
            <w:pPr>
              <w:spacing w:after="60"/>
              <w:jc w:val="left"/>
            </w:pPr>
            <w:r>
              <w:t>NFP</w:t>
            </w:r>
          </w:p>
        </w:tc>
        <w:tc>
          <w:tcPr>
            <w:tcW w:w="7224" w:type="dxa"/>
          </w:tcPr>
          <w:p w14:paraId="3AF1D344" w14:textId="0ACB0C8C" w:rsidR="00A4715A" w:rsidRPr="005C2CEC" w:rsidRDefault="00A4715A" w:rsidP="000E39F7">
            <w:pPr>
              <w:spacing w:after="60"/>
              <w:jc w:val="left"/>
              <w:rPr>
                <w:color w:val="000000"/>
              </w:rPr>
            </w:pPr>
            <w:r>
              <w:rPr>
                <w:color w:val="000000"/>
              </w:rPr>
              <w:t>nenávratný finančný príspevok</w:t>
            </w:r>
          </w:p>
        </w:tc>
      </w:tr>
      <w:tr w:rsidR="000955DA" w:rsidRPr="005C2CEC" w14:paraId="42AD7ECB" w14:textId="77777777" w:rsidTr="000E39F7">
        <w:tc>
          <w:tcPr>
            <w:tcW w:w="1412" w:type="dxa"/>
          </w:tcPr>
          <w:p w14:paraId="7C428FF5" w14:textId="77777777" w:rsidR="000955DA" w:rsidRPr="005C2CEC" w:rsidRDefault="000955DA" w:rsidP="000E39F7">
            <w:pPr>
              <w:spacing w:after="60"/>
              <w:jc w:val="left"/>
              <w:rPr>
                <w:rStyle w:val="Intenzvnezvraznenie"/>
                <w:i w:val="0"/>
              </w:rPr>
            </w:pPr>
            <w:r w:rsidRPr="005C2CEC">
              <w:t xml:space="preserve">NKÚ </w:t>
            </w:r>
          </w:p>
        </w:tc>
        <w:tc>
          <w:tcPr>
            <w:tcW w:w="7224" w:type="dxa"/>
          </w:tcPr>
          <w:p w14:paraId="2099ADCE" w14:textId="77777777" w:rsidR="000955DA" w:rsidRPr="005C2CEC" w:rsidRDefault="000955DA" w:rsidP="000E39F7">
            <w:pPr>
              <w:spacing w:after="60"/>
              <w:jc w:val="left"/>
              <w:rPr>
                <w:rStyle w:val="Intenzvnezvraznenie"/>
                <w:i w:val="0"/>
              </w:rPr>
            </w:pPr>
            <w:r w:rsidRPr="005C2CEC">
              <w:rPr>
                <w:color w:val="000000"/>
              </w:rPr>
              <w:t>Najvyšší kontrolný úrad</w:t>
            </w:r>
          </w:p>
        </w:tc>
      </w:tr>
      <w:tr w:rsidR="000955DA" w:rsidRPr="005C2CEC" w14:paraId="2BD848E2" w14:textId="77777777" w:rsidTr="000E39F7">
        <w:tc>
          <w:tcPr>
            <w:tcW w:w="1412" w:type="dxa"/>
          </w:tcPr>
          <w:p w14:paraId="14E60C1D" w14:textId="77777777" w:rsidR="000955DA" w:rsidRPr="005C2CEC" w:rsidRDefault="000955DA" w:rsidP="000E39F7">
            <w:pPr>
              <w:spacing w:after="60"/>
              <w:jc w:val="left"/>
              <w:rPr>
                <w:rStyle w:val="Intenzvnezvraznenie"/>
                <w:i w:val="0"/>
              </w:rPr>
            </w:pPr>
            <w:r w:rsidRPr="005C2CEC">
              <w:t xml:space="preserve">NPV </w:t>
            </w:r>
          </w:p>
        </w:tc>
        <w:tc>
          <w:tcPr>
            <w:tcW w:w="7224" w:type="dxa"/>
          </w:tcPr>
          <w:p w14:paraId="586B6A42" w14:textId="77777777" w:rsidR="000955DA" w:rsidRPr="005C2CEC" w:rsidRDefault="000955DA" w:rsidP="000E39F7">
            <w:pPr>
              <w:spacing w:after="60"/>
              <w:jc w:val="left"/>
              <w:rPr>
                <w:rStyle w:val="Intenzvnezvraznenie"/>
                <w:i w:val="0"/>
              </w:rPr>
            </w:pPr>
            <w:r w:rsidRPr="005C2CEC">
              <w:rPr>
                <w:color w:val="000000"/>
              </w:rPr>
              <w:t>angl. Net Present Value, čistá súčasná hodnota</w:t>
            </w:r>
          </w:p>
        </w:tc>
      </w:tr>
      <w:tr w:rsidR="000955DA" w:rsidRPr="005C2CEC" w14:paraId="1796AB38" w14:textId="77777777" w:rsidTr="000E39F7">
        <w:tc>
          <w:tcPr>
            <w:tcW w:w="1412" w:type="dxa"/>
          </w:tcPr>
          <w:p w14:paraId="2370D6F4" w14:textId="77777777" w:rsidR="000955DA" w:rsidRPr="005C2CEC" w:rsidRDefault="000955DA" w:rsidP="000E39F7">
            <w:pPr>
              <w:spacing w:after="60"/>
              <w:jc w:val="left"/>
              <w:rPr>
                <w:rStyle w:val="Intenzvnezvraznenie"/>
                <w:i w:val="0"/>
              </w:rPr>
            </w:pPr>
            <w:r w:rsidRPr="005C2CEC">
              <w:t xml:space="preserve">OECD </w:t>
            </w:r>
          </w:p>
        </w:tc>
        <w:tc>
          <w:tcPr>
            <w:tcW w:w="7224" w:type="dxa"/>
          </w:tcPr>
          <w:p w14:paraId="3AF301BE" w14:textId="77777777" w:rsidR="000955DA" w:rsidRPr="005C2CEC" w:rsidRDefault="000955DA" w:rsidP="000E39F7">
            <w:pPr>
              <w:spacing w:after="60"/>
              <w:jc w:val="left"/>
              <w:rPr>
                <w:rStyle w:val="Intenzvnezvraznenie"/>
                <w:i w:val="0"/>
              </w:rPr>
            </w:pPr>
            <w:r w:rsidRPr="005C2CEC">
              <w:rPr>
                <w:color w:val="000000"/>
              </w:rPr>
              <w:t>Organizácia pre hospodársku spoluprácu a rozvoj</w:t>
            </w:r>
          </w:p>
        </w:tc>
      </w:tr>
      <w:tr w:rsidR="000955DA" w:rsidRPr="005C2CEC" w14:paraId="082EE659" w14:textId="77777777" w:rsidTr="000E39F7">
        <w:tc>
          <w:tcPr>
            <w:tcW w:w="1412" w:type="dxa"/>
          </w:tcPr>
          <w:p w14:paraId="0A334AFB" w14:textId="77777777" w:rsidR="000955DA" w:rsidRPr="005C2CEC" w:rsidRDefault="000955DA" w:rsidP="000E39F7">
            <w:pPr>
              <w:spacing w:after="60"/>
              <w:jc w:val="left"/>
            </w:pPr>
            <w:r w:rsidRPr="005C2CEC">
              <w:t>PD</w:t>
            </w:r>
          </w:p>
        </w:tc>
        <w:tc>
          <w:tcPr>
            <w:tcW w:w="7224" w:type="dxa"/>
          </w:tcPr>
          <w:p w14:paraId="6CD0252B" w14:textId="77777777" w:rsidR="000955DA" w:rsidRPr="005C2CEC" w:rsidRDefault="000955DA" w:rsidP="000E39F7">
            <w:pPr>
              <w:spacing w:after="60"/>
              <w:jc w:val="left"/>
              <w:rPr>
                <w:color w:val="000000"/>
              </w:rPr>
            </w:pPr>
            <w:r w:rsidRPr="005C2CEC">
              <w:rPr>
                <w:color w:val="000000"/>
              </w:rPr>
              <w:t>projektová dokumentácia</w:t>
            </w:r>
          </w:p>
        </w:tc>
      </w:tr>
      <w:tr w:rsidR="000955DA" w:rsidRPr="005C2CEC" w14:paraId="6FC50F08" w14:textId="77777777" w:rsidTr="000E39F7">
        <w:tc>
          <w:tcPr>
            <w:tcW w:w="1412" w:type="dxa"/>
          </w:tcPr>
          <w:p w14:paraId="0A47A466" w14:textId="77777777" w:rsidR="000955DA" w:rsidRPr="005C2CEC" w:rsidRDefault="000955DA" w:rsidP="000E39F7">
            <w:pPr>
              <w:spacing w:after="60"/>
              <w:jc w:val="left"/>
            </w:pPr>
            <w:r w:rsidRPr="005C2CEC">
              <w:t>PHZ</w:t>
            </w:r>
          </w:p>
        </w:tc>
        <w:tc>
          <w:tcPr>
            <w:tcW w:w="7224" w:type="dxa"/>
          </w:tcPr>
          <w:p w14:paraId="797A9C24" w14:textId="77777777" w:rsidR="000955DA" w:rsidRPr="005C2CEC" w:rsidRDefault="000955DA" w:rsidP="000E39F7">
            <w:pPr>
              <w:spacing w:after="60"/>
              <w:jc w:val="left"/>
              <w:rPr>
                <w:color w:val="000000"/>
              </w:rPr>
            </w:pPr>
            <w:r w:rsidRPr="005C2CEC">
              <w:rPr>
                <w:color w:val="000000"/>
              </w:rPr>
              <w:t>predpokladaná hodnota zákazky</w:t>
            </w:r>
          </w:p>
        </w:tc>
      </w:tr>
      <w:tr w:rsidR="00FB4ED0" w:rsidRPr="005C2CEC" w14:paraId="1439E752" w14:textId="77777777" w:rsidTr="000E39F7">
        <w:tc>
          <w:tcPr>
            <w:tcW w:w="1412" w:type="dxa"/>
          </w:tcPr>
          <w:p w14:paraId="0D7A4E78" w14:textId="3EFDA8DB" w:rsidR="00FB4ED0" w:rsidRPr="005C2CEC" w:rsidRDefault="00FB4ED0" w:rsidP="000E39F7">
            <w:pPr>
              <w:spacing w:after="60"/>
              <w:jc w:val="left"/>
            </w:pPr>
            <w:r>
              <w:t>POO</w:t>
            </w:r>
          </w:p>
        </w:tc>
        <w:tc>
          <w:tcPr>
            <w:tcW w:w="7224" w:type="dxa"/>
          </w:tcPr>
          <w:p w14:paraId="2820FA95" w14:textId="5BAECE22" w:rsidR="00FB4ED0" w:rsidRPr="005C2CEC" w:rsidRDefault="00FB4ED0" w:rsidP="000E39F7">
            <w:pPr>
              <w:spacing w:after="60"/>
              <w:jc w:val="left"/>
              <w:rPr>
                <w:color w:val="000000"/>
              </w:rPr>
            </w:pPr>
            <w:r>
              <w:rPr>
                <w:color w:val="000000"/>
              </w:rPr>
              <w:t>Plán obnovy a odolnosti</w:t>
            </w:r>
          </w:p>
        </w:tc>
      </w:tr>
      <w:tr w:rsidR="000955DA" w:rsidRPr="005C2CEC" w14:paraId="2436B5C3" w14:textId="77777777" w:rsidTr="000E39F7">
        <w:tc>
          <w:tcPr>
            <w:tcW w:w="1412" w:type="dxa"/>
          </w:tcPr>
          <w:p w14:paraId="75DE8CC8" w14:textId="77777777" w:rsidR="000955DA" w:rsidRPr="005C2CEC" w:rsidRDefault="000955DA" w:rsidP="000E39F7">
            <w:pPr>
              <w:spacing w:after="60"/>
              <w:jc w:val="left"/>
              <w:rPr>
                <w:rStyle w:val="Intenzvnezvraznenie"/>
                <w:i w:val="0"/>
              </w:rPr>
            </w:pPr>
            <w:r w:rsidRPr="005C2CEC">
              <w:t xml:space="preserve">PPP </w:t>
            </w:r>
          </w:p>
        </w:tc>
        <w:tc>
          <w:tcPr>
            <w:tcW w:w="7224" w:type="dxa"/>
          </w:tcPr>
          <w:p w14:paraId="75CBBDA1" w14:textId="77777777" w:rsidR="000955DA" w:rsidRPr="005C2CEC" w:rsidRDefault="000955DA" w:rsidP="000E39F7">
            <w:pPr>
              <w:spacing w:after="60"/>
              <w:jc w:val="left"/>
              <w:rPr>
                <w:rStyle w:val="Intenzvnezvraznenie"/>
                <w:i w:val="0"/>
              </w:rPr>
            </w:pPr>
            <w:r w:rsidRPr="005C2CEC">
              <w:rPr>
                <w:color w:val="000000"/>
              </w:rPr>
              <w:t>angl. Public Private Partnership, verejno-súkromné partnerstvo</w:t>
            </w:r>
          </w:p>
        </w:tc>
      </w:tr>
      <w:tr w:rsidR="000955DA" w:rsidRPr="005C2CEC" w14:paraId="62AF8803" w14:textId="77777777" w:rsidTr="000E39F7">
        <w:tc>
          <w:tcPr>
            <w:tcW w:w="1412" w:type="dxa"/>
          </w:tcPr>
          <w:p w14:paraId="61E7BF72" w14:textId="77777777" w:rsidR="000955DA" w:rsidRPr="005C2CEC" w:rsidRDefault="000955DA" w:rsidP="000E39F7">
            <w:pPr>
              <w:spacing w:after="60"/>
              <w:jc w:val="left"/>
              <w:rPr>
                <w:rStyle w:val="Intenzvnezvraznenie"/>
                <w:i w:val="0"/>
              </w:rPr>
            </w:pPr>
            <w:r w:rsidRPr="005C2CEC">
              <w:t xml:space="preserve">RI </w:t>
            </w:r>
          </w:p>
        </w:tc>
        <w:tc>
          <w:tcPr>
            <w:tcW w:w="7224" w:type="dxa"/>
          </w:tcPr>
          <w:p w14:paraId="12A86ECE" w14:textId="77777777" w:rsidR="000955DA" w:rsidRPr="005C2CEC" w:rsidRDefault="000955DA" w:rsidP="000E39F7">
            <w:pPr>
              <w:spacing w:after="60"/>
              <w:jc w:val="left"/>
              <w:rPr>
                <w:rStyle w:val="Intenzvnezvraznenie"/>
                <w:i w:val="0"/>
              </w:rPr>
            </w:pPr>
            <w:r w:rsidRPr="005C2CEC">
              <w:rPr>
                <w:color w:val="000000"/>
              </w:rPr>
              <w:t>Register investícií (modul RIS)</w:t>
            </w:r>
          </w:p>
        </w:tc>
      </w:tr>
      <w:tr w:rsidR="000955DA" w:rsidRPr="005C2CEC" w14:paraId="72D8245A" w14:textId="77777777" w:rsidTr="000E39F7">
        <w:tc>
          <w:tcPr>
            <w:tcW w:w="1412" w:type="dxa"/>
          </w:tcPr>
          <w:p w14:paraId="0301B741" w14:textId="77777777" w:rsidR="000955DA" w:rsidRPr="005C2CEC" w:rsidRDefault="000955DA" w:rsidP="000E39F7">
            <w:pPr>
              <w:spacing w:after="60"/>
              <w:jc w:val="left"/>
              <w:rPr>
                <w:rStyle w:val="Intenzvnezvraznenie"/>
                <w:i w:val="0"/>
              </w:rPr>
            </w:pPr>
            <w:r w:rsidRPr="005C2CEC">
              <w:t xml:space="preserve">RIS </w:t>
            </w:r>
          </w:p>
        </w:tc>
        <w:tc>
          <w:tcPr>
            <w:tcW w:w="7224" w:type="dxa"/>
          </w:tcPr>
          <w:p w14:paraId="73DFFC1F" w14:textId="77777777" w:rsidR="000955DA" w:rsidRPr="005C2CEC" w:rsidRDefault="000955DA" w:rsidP="000E39F7">
            <w:pPr>
              <w:spacing w:after="60"/>
              <w:jc w:val="left"/>
              <w:rPr>
                <w:rStyle w:val="Intenzvnezvraznenie"/>
                <w:i w:val="0"/>
              </w:rPr>
            </w:pPr>
            <w:r w:rsidRPr="005C2CEC">
              <w:rPr>
                <w:color w:val="000000"/>
              </w:rPr>
              <w:t>Rozpočtový informačný systém</w:t>
            </w:r>
          </w:p>
        </w:tc>
      </w:tr>
      <w:tr w:rsidR="00596CE8" w:rsidRPr="005C2CEC" w14:paraId="0540412B" w14:textId="77777777" w:rsidTr="000E39F7">
        <w:tc>
          <w:tcPr>
            <w:tcW w:w="1412" w:type="dxa"/>
          </w:tcPr>
          <w:p w14:paraId="3583881A" w14:textId="0D10C206" w:rsidR="00596CE8" w:rsidRPr="005C2CEC" w:rsidRDefault="00596CE8" w:rsidP="000E39F7">
            <w:pPr>
              <w:spacing w:after="60"/>
              <w:jc w:val="left"/>
            </w:pPr>
            <w:r>
              <w:t>SIH</w:t>
            </w:r>
          </w:p>
        </w:tc>
        <w:tc>
          <w:tcPr>
            <w:tcW w:w="7224" w:type="dxa"/>
          </w:tcPr>
          <w:p w14:paraId="12092E41" w14:textId="56F02AE2" w:rsidR="00596CE8" w:rsidRPr="005C2CEC" w:rsidRDefault="00596CE8" w:rsidP="000E39F7">
            <w:pPr>
              <w:spacing w:after="60"/>
              <w:jc w:val="left"/>
              <w:rPr>
                <w:color w:val="000000"/>
              </w:rPr>
            </w:pPr>
            <w:r>
              <w:rPr>
                <w:color w:val="000000"/>
              </w:rPr>
              <w:t>Slovak Investment Holding</w:t>
            </w:r>
          </w:p>
        </w:tc>
      </w:tr>
      <w:tr w:rsidR="00AC5122" w:rsidRPr="005C2CEC" w14:paraId="6EC92FC8" w14:textId="77777777" w:rsidTr="000E39F7">
        <w:tc>
          <w:tcPr>
            <w:tcW w:w="1412" w:type="dxa"/>
          </w:tcPr>
          <w:p w14:paraId="104E8D32" w14:textId="373B0EDB" w:rsidR="00AC5122" w:rsidRPr="005C2CEC" w:rsidRDefault="00AC5122" w:rsidP="000E39F7">
            <w:pPr>
              <w:spacing w:after="60"/>
              <w:jc w:val="left"/>
            </w:pPr>
            <w:r>
              <w:t>ŠU</w:t>
            </w:r>
          </w:p>
        </w:tc>
        <w:tc>
          <w:tcPr>
            <w:tcW w:w="7224" w:type="dxa"/>
          </w:tcPr>
          <w:p w14:paraId="308B65B2" w14:textId="2B19B41B" w:rsidR="00AC5122" w:rsidRPr="005C2CEC" w:rsidRDefault="00AC5122" w:rsidP="000E39F7">
            <w:pPr>
              <w:spacing w:after="60"/>
              <w:jc w:val="left"/>
              <w:rPr>
                <w:color w:val="000000"/>
              </w:rPr>
            </w:pPr>
            <w:r>
              <w:rPr>
                <w:color w:val="000000"/>
              </w:rPr>
              <w:t>štúdia uskutočniteľnosti</w:t>
            </w:r>
          </w:p>
        </w:tc>
      </w:tr>
      <w:tr w:rsidR="000955DA" w:rsidRPr="005C2CEC" w14:paraId="3FAF9DA3" w14:textId="77777777" w:rsidTr="000E39F7">
        <w:tc>
          <w:tcPr>
            <w:tcW w:w="1412" w:type="dxa"/>
          </w:tcPr>
          <w:p w14:paraId="68F7819C" w14:textId="77777777" w:rsidR="000955DA" w:rsidRPr="005C2CEC" w:rsidRDefault="000955DA" w:rsidP="000E39F7">
            <w:pPr>
              <w:spacing w:after="60"/>
              <w:jc w:val="left"/>
              <w:rPr>
                <w:rStyle w:val="Intenzvnezvraznenie"/>
                <w:i w:val="0"/>
              </w:rPr>
            </w:pPr>
            <w:r w:rsidRPr="005C2CEC">
              <w:t xml:space="preserve">ŠÚ SR </w:t>
            </w:r>
          </w:p>
        </w:tc>
        <w:tc>
          <w:tcPr>
            <w:tcW w:w="7224" w:type="dxa"/>
          </w:tcPr>
          <w:p w14:paraId="7A3433AE" w14:textId="77777777" w:rsidR="000955DA" w:rsidRPr="005C2CEC" w:rsidRDefault="000955DA" w:rsidP="000E39F7">
            <w:pPr>
              <w:spacing w:after="60"/>
              <w:jc w:val="left"/>
              <w:rPr>
                <w:rStyle w:val="Intenzvnezvraznenie"/>
                <w:i w:val="0"/>
              </w:rPr>
            </w:pPr>
            <w:r w:rsidRPr="005C2CEC">
              <w:rPr>
                <w:color w:val="000000"/>
              </w:rPr>
              <w:t>Štatistický úrad Slovenskej republiky</w:t>
            </w:r>
          </w:p>
        </w:tc>
      </w:tr>
      <w:tr w:rsidR="000955DA" w:rsidRPr="005C2CEC" w14:paraId="6CFA5C2B" w14:textId="77777777" w:rsidTr="000E39F7">
        <w:tc>
          <w:tcPr>
            <w:tcW w:w="1412" w:type="dxa"/>
          </w:tcPr>
          <w:p w14:paraId="4F3F40C5" w14:textId="77777777" w:rsidR="000955DA" w:rsidRPr="005C2CEC" w:rsidRDefault="000955DA" w:rsidP="000E39F7">
            <w:pPr>
              <w:spacing w:after="60"/>
              <w:jc w:val="left"/>
              <w:rPr>
                <w:rStyle w:val="Intenzvnezvraznenie"/>
                <w:i w:val="0"/>
              </w:rPr>
            </w:pPr>
            <w:r w:rsidRPr="005C2CEC">
              <w:t xml:space="preserve">ÚOŠS </w:t>
            </w:r>
          </w:p>
        </w:tc>
        <w:tc>
          <w:tcPr>
            <w:tcW w:w="7224" w:type="dxa"/>
          </w:tcPr>
          <w:p w14:paraId="48A49524" w14:textId="77777777" w:rsidR="000955DA" w:rsidRPr="005C2CEC" w:rsidRDefault="000955DA" w:rsidP="000E39F7">
            <w:pPr>
              <w:spacing w:after="60"/>
              <w:jc w:val="left"/>
              <w:rPr>
                <w:rStyle w:val="Intenzvnezvraznenie"/>
                <w:i w:val="0"/>
              </w:rPr>
            </w:pPr>
            <w:r w:rsidRPr="005C2CEC">
              <w:rPr>
                <w:color w:val="000000"/>
              </w:rPr>
              <w:t>ústredné orgány štátnej správy</w:t>
            </w:r>
          </w:p>
        </w:tc>
      </w:tr>
      <w:tr w:rsidR="000955DA" w:rsidRPr="005C2CEC" w14:paraId="7FCA090C" w14:textId="77777777" w:rsidTr="000E39F7">
        <w:tc>
          <w:tcPr>
            <w:tcW w:w="1412" w:type="dxa"/>
          </w:tcPr>
          <w:p w14:paraId="5BAED282" w14:textId="77777777" w:rsidR="000955DA" w:rsidRPr="005C2CEC" w:rsidRDefault="000955DA" w:rsidP="000E39F7">
            <w:pPr>
              <w:spacing w:after="60"/>
              <w:jc w:val="left"/>
              <w:rPr>
                <w:rStyle w:val="Intenzvnezvraznenie"/>
                <w:i w:val="0"/>
              </w:rPr>
            </w:pPr>
            <w:r w:rsidRPr="005C2CEC">
              <w:lastRenderedPageBreak/>
              <w:t xml:space="preserve">ÚPPVII </w:t>
            </w:r>
          </w:p>
        </w:tc>
        <w:tc>
          <w:tcPr>
            <w:tcW w:w="7224" w:type="dxa"/>
          </w:tcPr>
          <w:p w14:paraId="5CCEACDA" w14:textId="77777777" w:rsidR="000955DA" w:rsidRPr="005C2CEC" w:rsidRDefault="000955DA" w:rsidP="000E39F7">
            <w:pPr>
              <w:spacing w:after="60"/>
              <w:jc w:val="left"/>
              <w:rPr>
                <w:rStyle w:val="Intenzvnezvraznenie"/>
                <w:i w:val="0"/>
              </w:rPr>
            </w:pPr>
            <w:r w:rsidRPr="005C2CEC">
              <w:rPr>
                <w:color w:val="000000"/>
              </w:rPr>
              <w:t>Úrad podpredsedu vlády SR pre investície a informatizáciu</w:t>
            </w:r>
          </w:p>
        </w:tc>
      </w:tr>
      <w:tr w:rsidR="000955DA" w:rsidRPr="005C2CEC" w14:paraId="4D41AE58" w14:textId="77777777" w:rsidTr="000E39F7">
        <w:tc>
          <w:tcPr>
            <w:tcW w:w="1412" w:type="dxa"/>
          </w:tcPr>
          <w:p w14:paraId="04CA1A1C" w14:textId="77777777" w:rsidR="000955DA" w:rsidRPr="005C2CEC" w:rsidRDefault="000955DA" w:rsidP="000E39F7">
            <w:pPr>
              <w:spacing w:after="60"/>
              <w:jc w:val="left"/>
              <w:rPr>
                <w:rStyle w:val="Intenzvnezvraznenie"/>
                <w:i w:val="0"/>
              </w:rPr>
            </w:pPr>
            <w:r w:rsidRPr="005C2CEC">
              <w:t xml:space="preserve">ÚVO </w:t>
            </w:r>
          </w:p>
        </w:tc>
        <w:tc>
          <w:tcPr>
            <w:tcW w:w="7224" w:type="dxa"/>
          </w:tcPr>
          <w:p w14:paraId="58584451" w14:textId="77777777" w:rsidR="000955DA" w:rsidRPr="005C2CEC" w:rsidRDefault="000955DA" w:rsidP="000E39F7">
            <w:pPr>
              <w:spacing w:after="60"/>
              <w:jc w:val="left"/>
              <w:rPr>
                <w:rStyle w:val="Intenzvnezvraznenie"/>
                <w:i w:val="0"/>
              </w:rPr>
            </w:pPr>
            <w:r w:rsidRPr="005C2CEC">
              <w:rPr>
                <w:color w:val="000000"/>
              </w:rPr>
              <w:t>Úrad pre verejné obstarávanie</w:t>
            </w:r>
          </w:p>
        </w:tc>
      </w:tr>
      <w:tr w:rsidR="000955DA" w:rsidRPr="005C2CEC" w14:paraId="755E9A2B" w14:textId="77777777" w:rsidTr="000E39F7">
        <w:tc>
          <w:tcPr>
            <w:tcW w:w="1412" w:type="dxa"/>
          </w:tcPr>
          <w:p w14:paraId="6BCA346B" w14:textId="77777777" w:rsidR="000955DA" w:rsidRPr="005C2CEC" w:rsidRDefault="000955DA" w:rsidP="000E39F7">
            <w:pPr>
              <w:spacing w:after="60"/>
              <w:jc w:val="left"/>
            </w:pPr>
            <w:r w:rsidRPr="005C2CEC">
              <w:t>VO</w:t>
            </w:r>
          </w:p>
        </w:tc>
        <w:tc>
          <w:tcPr>
            <w:tcW w:w="7224" w:type="dxa"/>
          </w:tcPr>
          <w:p w14:paraId="4749CD87" w14:textId="77777777" w:rsidR="000955DA" w:rsidRPr="005C2CEC" w:rsidRDefault="000955DA" w:rsidP="000E39F7">
            <w:pPr>
              <w:spacing w:after="60"/>
              <w:jc w:val="left"/>
              <w:rPr>
                <w:color w:val="000000"/>
              </w:rPr>
            </w:pPr>
            <w:r w:rsidRPr="005C2CEC">
              <w:rPr>
                <w:color w:val="000000"/>
              </w:rPr>
              <w:t>verejné obstarávanie</w:t>
            </w:r>
          </w:p>
        </w:tc>
      </w:tr>
      <w:tr w:rsidR="000B0B3F" w:rsidRPr="005C2CEC" w14:paraId="003A0069" w14:textId="77777777" w:rsidTr="000E39F7">
        <w:tc>
          <w:tcPr>
            <w:tcW w:w="1412" w:type="dxa"/>
          </w:tcPr>
          <w:p w14:paraId="23369588" w14:textId="0722D536" w:rsidR="000B0B3F" w:rsidRPr="005C2CEC" w:rsidRDefault="000B0B3F" w:rsidP="000E39F7">
            <w:pPr>
              <w:spacing w:after="60"/>
              <w:jc w:val="left"/>
            </w:pPr>
            <w:r>
              <w:t>YLD</w:t>
            </w:r>
          </w:p>
        </w:tc>
        <w:tc>
          <w:tcPr>
            <w:tcW w:w="7224" w:type="dxa"/>
          </w:tcPr>
          <w:p w14:paraId="001351E9" w14:textId="352C96E3" w:rsidR="000B0B3F" w:rsidRPr="005C2CEC" w:rsidRDefault="000B0B3F" w:rsidP="00595661">
            <w:pPr>
              <w:spacing w:after="60"/>
              <w:jc w:val="left"/>
              <w:rPr>
                <w:color w:val="000000"/>
              </w:rPr>
            </w:pPr>
            <w:r>
              <w:rPr>
                <w:color w:val="000000"/>
              </w:rPr>
              <w:t xml:space="preserve">angl. years </w:t>
            </w:r>
            <w:r w:rsidR="00595661">
              <w:rPr>
                <w:color w:val="000000"/>
              </w:rPr>
              <w:t xml:space="preserve">lived with </w:t>
            </w:r>
            <w:r>
              <w:rPr>
                <w:color w:val="000000"/>
              </w:rPr>
              <w:t xml:space="preserve">disability, </w:t>
            </w:r>
            <w:r w:rsidR="00595661">
              <w:t>počet rokov odžitých s postihnutím</w:t>
            </w:r>
          </w:p>
        </w:tc>
      </w:tr>
      <w:tr w:rsidR="000955DA" w:rsidRPr="005C2CEC" w14:paraId="04AC23EB" w14:textId="77777777" w:rsidTr="000E39F7">
        <w:tc>
          <w:tcPr>
            <w:tcW w:w="1412" w:type="dxa"/>
          </w:tcPr>
          <w:p w14:paraId="7251DC25" w14:textId="77777777" w:rsidR="000955DA" w:rsidRPr="005C2CEC" w:rsidRDefault="000955DA" w:rsidP="000E39F7">
            <w:pPr>
              <w:spacing w:after="60"/>
              <w:jc w:val="left"/>
              <w:rPr>
                <w:rStyle w:val="Intenzvnezvraznenie"/>
                <w:i w:val="0"/>
              </w:rPr>
            </w:pPr>
            <w:r w:rsidRPr="005C2CEC">
              <w:t xml:space="preserve">ŽSR </w:t>
            </w:r>
          </w:p>
        </w:tc>
        <w:tc>
          <w:tcPr>
            <w:tcW w:w="7224" w:type="dxa"/>
          </w:tcPr>
          <w:p w14:paraId="497766B6" w14:textId="77777777" w:rsidR="000955DA" w:rsidRPr="005C2CEC" w:rsidRDefault="000955DA" w:rsidP="000E39F7">
            <w:pPr>
              <w:spacing w:after="60"/>
              <w:jc w:val="left"/>
              <w:rPr>
                <w:rStyle w:val="Intenzvnezvraznenie"/>
                <w:i w:val="0"/>
              </w:rPr>
            </w:pPr>
            <w:r w:rsidRPr="005C2CEC">
              <w:rPr>
                <w:color w:val="000000"/>
              </w:rPr>
              <w:t>Železnice Slovenskej republiky</w:t>
            </w:r>
          </w:p>
        </w:tc>
      </w:tr>
    </w:tbl>
    <w:p w14:paraId="5AEAB301" w14:textId="77777777" w:rsidR="000955DA" w:rsidRPr="005C2CEC" w:rsidRDefault="000955DA" w:rsidP="000955DA">
      <w:pPr>
        <w:rPr>
          <w:rStyle w:val="Intenzvnezvraznenie"/>
          <w:szCs w:val="24"/>
        </w:rPr>
      </w:pPr>
    </w:p>
    <w:p w14:paraId="78E215E3" w14:textId="77777777" w:rsidR="000955DA" w:rsidRPr="005C2CEC" w:rsidRDefault="000955DA" w:rsidP="000955DA">
      <w:pPr>
        <w:spacing w:after="160" w:line="259" w:lineRule="auto"/>
        <w:jc w:val="left"/>
        <w:rPr>
          <w:rStyle w:val="Intenzvnezvraznenie"/>
          <w:szCs w:val="24"/>
        </w:rPr>
      </w:pPr>
      <w:r w:rsidRPr="005C2CEC">
        <w:rPr>
          <w:rStyle w:val="Intenzvnezvraznenie"/>
          <w:szCs w:val="24"/>
        </w:rPr>
        <w:br w:type="page"/>
      </w:r>
    </w:p>
    <w:p w14:paraId="275522C4" w14:textId="53A82E63" w:rsidR="00EB771D" w:rsidRPr="005C2CEC" w:rsidRDefault="00EB771D" w:rsidP="00EB771D">
      <w:pPr>
        <w:pStyle w:val="Nadpis1"/>
      </w:pPr>
      <w:bookmarkStart w:id="182" w:name="_Toc83651096"/>
      <w:r w:rsidRPr="005C2CEC">
        <w:lastRenderedPageBreak/>
        <w:t>Prílohy</w:t>
      </w:r>
      <w:bookmarkEnd w:id="182"/>
    </w:p>
    <w:p w14:paraId="3240D592" w14:textId="602380EB" w:rsidR="00F50C11" w:rsidRPr="005C2CEC" w:rsidRDefault="00F50C11" w:rsidP="00F50C11">
      <w:pPr>
        <w:pStyle w:val="Popis"/>
        <w:rPr>
          <w:sz w:val="22"/>
        </w:rPr>
      </w:pPr>
      <w:bookmarkStart w:id="183" w:name="_Ref44947013"/>
      <w:bookmarkStart w:id="184" w:name="_Ref480271909"/>
      <w:bookmarkStart w:id="185" w:name="_Toc483828761"/>
      <w:r w:rsidRPr="005C2CEC">
        <w:rPr>
          <w:sz w:val="22"/>
        </w:rPr>
        <w:t xml:space="preserve">Príloha </w:t>
      </w:r>
      <w:bookmarkStart w:id="186" w:name="Priloha1"/>
      <w:r w:rsidRPr="005C2CEC">
        <w:rPr>
          <w:sz w:val="22"/>
        </w:rPr>
        <w:fldChar w:fldCharType="begin"/>
      </w:r>
      <w:r w:rsidRPr="005C2CEC">
        <w:rPr>
          <w:sz w:val="22"/>
        </w:rPr>
        <w:instrText xml:space="preserve"> SEQ Príloha \* ARABIC </w:instrText>
      </w:r>
      <w:r w:rsidRPr="005C2CEC">
        <w:rPr>
          <w:sz w:val="22"/>
        </w:rPr>
        <w:fldChar w:fldCharType="separate"/>
      </w:r>
      <w:r w:rsidR="000D2AF7">
        <w:rPr>
          <w:noProof/>
          <w:sz w:val="22"/>
        </w:rPr>
        <w:t>1</w:t>
      </w:r>
      <w:r w:rsidRPr="005C2CEC">
        <w:rPr>
          <w:sz w:val="22"/>
        </w:rPr>
        <w:fldChar w:fldCharType="end"/>
      </w:r>
      <w:bookmarkEnd w:id="183"/>
      <w:bookmarkEnd w:id="186"/>
      <w:r w:rsidRPr="005C2CEC">
        <w:rPr>
          <w:sz w:val="22"/>
        </w:rPr>
        <w:t xml:space="preserve"> Dotazník pre vyhodnotenie potenciálu na financovanie formou PPP</w:t>
      </w:r>
    </w:p>
    <w:p w14:paraId="3EC3E365" w14:textId="77777777" w:rsidR="00CE18C0" w:rsidRPr="005C2CEC" w:rsidRDefault="00CE18C0" w:rsidP="00CE18C0">
      <w:r w:rsidRPr="005C2CEC">
        <w:t xml:space="preserve">Dotazník obsahuje zoznam otázok, pomocou ktorých Investor vyhodnocuje vhodnosť modelu obstarávania preferovanej alternatívy projektu, ktorý sa na základe ekonomickej analýzy ukázal ako najvýhodnejší. Pomocou Dotazníka môže Investor analyzovať rôzne varianty financovania projektu. </w:t>
      </w:r>
    </w:p>
    <w:p w14:paraId="7BF76896" w14:textId="0873630D" w:rsidR="00CE18C0" w:rsidRPr="005C2CEC" w:rsidRDefault="00CE18C0" w:rsidP="00CE18C0">
      <w:r w:rsidRPr="005C2CEC">
        <w:t xml:space="preserve">Výsledkom testu je bodové hodnotenie, ktoré umožňuje prvotnú kategorizáciu projektu z pohľadu financovania. Súčasťou Dotazníka je aj otázka o špecifických právnych prekážkach a obmedzeniach vzťahujúcich sa na navrhovaný projekt, ktorá nie </w:t>
      </w:r>
      <w:r w:rsidR="00146477" w:rsidRPr="005C2CEC">
        <w:t>je bodovaná, Investor</w:t>
      </w:r>
      <w:r w:rsidRPr="005C2CEC">
        <w:t xml:space="preserve"> ju ale musí zodpovedať. Súčasťou vypracovania dotazníka je popis k otázke č. 6 a otázke č. 8, ako aj zoznam príkladov úspešných projektov realizovaných na relevantných trhoch, z ktorých zadávateľ vychádzal pri zodpovedaní otázky č. 5.</w:t>
      </w:r>
    </w:p>
    <w:p w14:paraId="35635282" w14:textId="0EFCF888" w:rsidR="00D34531" w:rsidRPr="005C2CEC" w:rsidRDefault="00D34531" w:rsidP="00D34531">
      <w:pPr>
        <w:pStyle w:val="Popis"/>
      </w:pPr>
      <w:bookmarkStart w:id="187" w:name="_Toc83651118"/>
      <w:r w:rsidRPr="005C2CEC">
        <w:t xml:space="preserve">Tabuľka </w:t>
      </w:r>
      <w:r w:rsidR="001F2F09" w:rsidRPr="005C2CEC">
        <w:rPr>
          <w:noProof/>
        </w:rPr>
        <w:fldChar w:fldCharType="begin"/>
      </w:r>
      <w:r w:rsidR="001F2F09" w:rsidRPr="005C2CEC">
        <w:rPr>
          <w:noProof/>
        </w:rPr>
        <w:instrText xml:space="preserve"> SEQ Tabuľka \* ARABIC </w:instrText>
      </w:r>
      <w:r w:rsidR="001F2F09" w:rsidRPr="005C2CEC">
        <w:rPr>
          <w:noProof/>
        </w:rPr>
        <w:fldChar w:fldCharType="separate"/>
      </w:r>
      <w:r w:rsidR="003B5091">
        <w:rPr>
          <w:noProof/>
        </w:rPr>
        <w:t>14</w:t>
      </w:r>
      <w:r w:rsidR="001F2F09" w:rsidRPr="005C2CEC">
        <w:rPr>
          <w:noProof/>
        </w:rPr>
        <w:fldChar w:fldCharType="end"/>
      </w:r>
      <w:r w:rsidRPr="005C2CEC">
        <w:t>: Dotazník pre vyhodnotenie potenciálu na financovanie formou PPP</w:t>
      </w:r>
      <w:bookmarkEnd w:id="187"/>
    </w:p>
    <w:tbl>
      <w:tblPr>
        <w:tblStyle w:val="Mriekatabuky"/>
        <w:tblW w:w="92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39"/>
        <w:gridCol w:w="308"/>
        <w:gridCol w:w="1231"/>
        <w:gridCol w:w="616"/>
        <w:gridCol w:w="924"/>
        <w:gridCol w:w="923"/>
        <w:gridCol w:w="616"/>
        <w:gridCol w:w="1231"/>
        <w:gridCol w:w="308"/>
        <w:gridCol w:w="1540"/>
      </w:tblGrid>
      <w:tr w:rsidR="00CE18C0" w:rsidRPr="005C2CEC" w14:paraId="51B9469E" w14:textId="77777777" w:rsidTr="00A828A9">
        <w:trPr>
          <w:trHeight w:val="227"/>
        </w:trPr>
        <w:tc>
          <w:tcPr>
            <w:tcW w:w="9236" w:type="dxa"/>
            <w:gridSpan w:val="10"/>
            <w:tcBorders>
              <w:bottom w:val="single" w:sz="4" w:space="0" w:color="auto"/>
            </w:tcBorders>
          </w:tcPr>
          <w:p w14:paraId="5D744CF5" w14:textId="77777777" w:rsidR="00CE18C0" w:rsidRPr="005C2CEC" w:rsidRDefault="00CE18C0" w:rsidP="00B7508E">
            <w:pPr>
              <w:numPr>
                <w:ilvl w:val="0"/>
                <w:numId w:val="17"/>
              </w:numPr>
              <w:spacing w:line="240" w:lineRule="auto"/>
              <w:rPr>
                <w:b/>
              </w:rPr>
            </w:pPr>
            <w:r w:rsidRPr="005C2CEC">
              <w:rPr>
                <w:b/>
              </w:rPr>
              <w:t>Aká je odhadovaná výška kapitálových výdavkov v rámci uvedeného projektu</w:t>
            </w:r>
          </w:p>
        </w:tc>
      </w:tr>
      <w:tr w:rsidR="00CE18C0" w:rsidRPr="005C2CEC" w14:paraId="1407E0AD" w14:textId="77777777" w:rsidTr="00146477">
        <w:trPr>
          <w:trHeight w:val="227"/>
        </w:trPr>
        <w:tc>
          <w:tcPr>
            <w:tcW w:w="1539" w:type="dxa"/>
            <w:tcBorders>
              <w:top w:val="single" w:sz="4" w:space="0" w:color="auto"/>
              <w:bottom w:val="single" w:sz="4" w:space="0" w:color="BFBFBF" w:themeColor="background1" w:themeShade="BF"/>
            </w:tcBorders>
            <w:vAlign w:val="center"/>
          </w:tcPr>
          <w:p w14:paraId="4BD6FFA7" w14:textId="77777777" w:rsidR="00CE18C0" w:rsidRPr="005C2CEC" w:rsidRDefault="00CE18C0" w:rsidP="00B7508E">
            <w:pPr>
              <w:spacing w:line="240" w:lineRule="auto"/>
              <w:jc w:val="center"/>
            </w:pPr>
            <w:r w:rsidRPr="005C2CEC">
              <w:t>5 bodov</w:t>
            </w:r>
          </w:p>
        </w:tc>
        <w:tc>
          <w:tcPr>
            <w:tcW w:w="1539" w:type="dxa"/>
            <w:gridSpan w:val="2"/>
            <w:tcBorders>
              <w:top w:val="single" w:sz="4" w:space="0" w:color="auto"/>
              <w:bottom w:val="single" w:sz="4" w:space="0" w:color="BFBFBF" w:themeColor="background1" w:themeShade="BF"/>
            </w:tcBorders>
            <w:vAlign w:val="center"/>
          </w:tcPr>
          <w:p w14:paraId="121A84DC" w14:textId="77777777" w:rsidR="00CE18C0" w:rsidRPr="005C2CEC" w:rsidRDefault="00CE18C0" w:rsidP="00B7508E">
            <w:pPr>
              <w:spacing w:line="240" w:lineRule="auto"/>
              <w:jc w:val="center"/>
            </w:pPr>
          </w:p>
        </w:tc>
        <w:tc>
          <w:tcPr>
            <w:tcW w:w="1540" w:type="dxa"/>
            <w:gridSpan w:val="2"/>
            <w:tcBorders>
              <w:top w:val="single" w:sz="4" w:space="0" w:color="auto"/>
              <w:bottom w:val="single" w:sz="4" w:space="0" w:color="BFBFBF" w:themeColor="background1" w:themeShade="BF"/>
            </w:tcBorders>
            <w:vAlign w:val="center"/>
          </w:tcPr>
          <w:p w14:paraId="1E67A193" w14:textId="77777777" w:rsidR="00CE18C0" w:rsidRPr="005C2CEC" w:rsidRDefault="00CE18C0" w:rsidP="00B7508E">
            <w:pPr>
              <w:spacing w:line="240" w:lineRule="auto"/>
              <w:jc w:val="center"/>
            </w:pPr>
            <w:r w:rsidRPr="005C2CEC">
              <w:t>3 body</w:t>
            </w:r>
          </w:p>
        </w:tc>
        <w:tc>
          <w:tcPr>
            <w:tcW w:w="1539" w:type="dxa"/>
            <w:gridSpan w:val="2"/>
            <w:tcBorders>
              <w:top w:val="single" w:sz="4" w:space="0" w:color="auto"/>
              <w:bottom w:val="single" w:sz="4" w:space="0" w:color="BFBFBF" w:themeColor="background1" w:themeShade="BF"/>
            </w:tcBorders>
            <w:vAlign w:val="center"/>
          </w:tcPr>
          <w:p w14:paraId="08AE39FB" w14:textId="77777777" w:rsidR="00CE18C0" w:rsidRPr="005C2CEC" w:rsidRDefault="00CE18C0" w:rsidP="00B7508E">
            <w:pPr>
              <w:spacing w:line="240" w:lineRule="auto"/>
              <w:jc w:val="center"/>
            </w:pPr>
          </w:p>
        </w:tc>
        <w:tc>
          <w:tcPr>
            <w:tcW w:w="1539" w:type="dxa"/>
            <w:gridSpan w:val="2"/>
            <w:tcBorders>
              <w:top w:val="single" w:sz="4" w:space="0" w:color="auto"/>
              <w:bottom w:val="single" w:sz="4" w:space="0" w:color="BFBFBF" w:themeColor="background1" w:themeShade="BF"/>
            </w:tcBorders>
            <w:vAlign w:val="center"/>
          </w:tcPr>
          <w:p w14:paraId="1EF300CB" w14:textId="77777777" w:rsidR="00CE18C0" w:rsidRPr="005C2CEC" w:rsidRDefault="00CE18C0" w:rsidP="00B7508E">
            <w:pPr>
              <w:spacing w:line="240" w:lineRule="auto"/>
              <w:jc w:val="center"/>
            </w:pPr>
          </w:p>
        </w:tc>
        <w:tc>
          <w:tcPr>
            <w:tcW w:w="1540" w:type="dxa"/>
            <w:tcBorders>
              <w:top w:val="single" w:sz="4" w:space="0" w:color="auto"/>
              <w:bottom w:val="single" w:sz="4" w:space="0" w:color="BFBFBF" w:themeColor="background1" w:themeShade="BF"/>
            </w:tcBorders>
            <w:vAlign w:val="center"/>
          </w:tcPr>
          <w:p w14:paraId="6B721E78" w14:textId="77777777" w:rsidR="00CE18C0" w:rsidRPr="005C2CEC" w:rsidRDefault="00CE18C0" w:rsidP="00B7508E">
            <w:pPr>
              <w:spacing w:line="240" w:lineRule="auto"/>
              <w:jc w:val="center"/>
            </w:pPr>
            <w:r w:rsidRPr="005C2CEC">
              <w:t>0 bodov</w:t>
            </w:r>
          </w:p>
        </w:tc>
      </w:tr>
      <w:tr w:rsidR="00CE18C0" w:rsidRPr="005C2CEC" w14:paraId="19589C4D" w14:textId="77777777" w:rsidTr="00146477">
        <w:trPr>
          <w:trHeight w:val="227"/>
        </w:trPr>
        <w:tc>
          <w:tcPr>
            <w:tcW w:w="1539" w:type="dxa"/>
            <w:tcBorders>
              <w:top w:val="single" w:sz="4" w:space="0" w:color="BFBFBF" w:themeColor="background1" w:themeShade="BF"/>
            </w:tcBorders>
            <w:vAlign w:val="center"/>
          </w:tcPr>
          <w:p w14:paraId="0D4302B9" w14:textId="77777777" w:rsidR="00CE18C0" w:rsidRPr="005C2CEC" w:rsidRDefault="00CE18C0" w:rsidP="00B7508E">
            <w:pPr>
              <w:spacing w:line="240" w:lineRule="auto"/>
              <w:jc w:val="center"/>
            </w:pPr>
            <w:r w:rsidRPr="005C2CEC">
              <w:t>&gt;€85m</w:t>
            </w:r>
          </w:p>
        </w:tc>
        <w:tc>
          <w:tcPr>
            <w:tcW w:w="1539" w:type="dxa"/>
            <w:gridSpan w:val="2"/>
            <w:tcBorders>
              <w:top w:val="single" w:sz="4" w:space="0" w:color="BFBFBF" w:themeColor="background1" w:themeShade="BF"/>
            </w:tcBorders>
            <w:vAlign w:val="center"/>
          </w:tcPr>
          <w:p w14:paraId="5ECC3DAF" w14:textId="77777777" w:rsidR="00CE18C0" w:rsidRPr="005C2CEC" w:rsidRDefault="00CE18C0" w:rsidP="00B7508E">
            <w:pPr>
              <w:spacing w:line="240" w:lineRule="auto"/>
              <w:jc w:val="center"/>
            </w:pPr>
          </w:p>
        </w:tc>
        <w:tc>
          <w:tcPr>
            <w:tcW w:w="1540" w:type="dxa"/>
            <w:gridSpan w:val="2"/>
            <w:tcBorders>
              <w:top w:val="single" w:sz="4" w:space="0" w:color="BFBFBF" w:themeColor="background1" w:themeShade="BF"/>
            </w:tcBorders>
            <w:vAlign w:val="center"/>
          </w:tcPr>
          <w:p w14:paraId="5C67518B" w14:textId="09D02F90" w:rsidR="00CE18C0" w:rsidRPr="005C2CEC" w:rsidRDefault="00CE18C0" w:rsidP="00B7508E">
            <w:pPr>
              <w:spacing w:line="240" w:lineRule="auto"/>
              <w:jc w:val="center"/>
            </w:pPr>
            <w:r w:rsidRPr="005C2CEC">
              <w:t>medzi €85-40m</w:t>
            </w:r>
          </w:p>
        </w:tc>
        <w:tc>
          <w:tcPr>
            <w:tcW w:w="1539" w:type="dxa"/>
            <w:gridSpan w:val="2"/>
            <w:tcBorders>
              <w:top w:val="single" w:sz="4" w:space="0" w:color="BFBFBF" w:themeColor="background1" w:themeShade="BF"/>
            </w:tcBorders>
            <w:vAlign w:val="center"/>
          </w:tcPr>
          <w:p w14:paraId="02B01BB7" w14:textId="77777777" w:rsidR="00CE18C0" w:rsidRPr="005C2CEC" w:rsidRDefault="00CE18C0" w:rsidP="00B7508E">
            <w:pPr>
              <w:spacing w:line="240" w:lineRule="auto"/>
              <w:jc w:val="center"/>
            </w:pPr>
          </w:p>
        </w:tc>
        <w:tc>
          <w:tcPr>
            <w:tcW w:w="1539" w:type="dxa"/>
            <w:gridSpan w:val="2"/>
            <w:tcBorders>
              <w:top w:val="single" w:sz="4" w:space="0" w:color="BFBFBF" w:themeColor="background1" w:themeShade="BF"/>
            </w:tcBorders>
            <w:vAlign w:val="center"/>
          </w:tcPr>
          <w:p w14:paraId="3923E345" w14:textId="77777777" w:rsidR="00CE18C0" w:rsidRPr="005C2CEC" w:rsidRDefault="00CE18C0" w:rsidP="00B7508E">
            <w:pPr>
              <w:spacing w:line="240" w:lineRule="auto"/>
              <w:jc w:val="center"/>
            </w:pPr>
          </w:p>
        </w:tc>
        <w:tc>
          <w:tcPr>
            <w:tcW w:w="1540" w:type="dxa"/>
            <w:tcBorders>
              <w:top w:val="single" w:sz="4" w:space="0" w:color="BFBFBF" w:themeColor="background1" w:themeShade="BF"/>
            </w:tcBorders>
            <w:vAlign w:val="center"/>
          </w:tcPr>
          <w:p w14:paraId="30D292DB" w14:textId="77777777" w:rsidR="00CE18C0" w:rsidRPr="005C2CEC" w:rsidRDefault="00CE18C0" w:rsidP="00B7508E">
            <w:pPr>
              <w:spacing w:line="240" w:lineRule="auto"/>
              <w:jc w:val="center"/>
            </w:pPr>
            <w:r w:rsidRPr="005C2CEC">
              <w:t>&lt; €40m</w:t>
            </w:r>
          </w:p>
        </w:tc>
      </w:tr>
      <w:tr w:rsidR="00CE18C0" w:rsidRPr="005C2CEC" w14:paraId="518E6487" w14:textId="77777777" w:rsidTr="00A828A9">
        <w:trPr>
          <w:trHeight w:val="227"/>
        </w:trPr>
        <w:tc>
          <w:tcPr>
            <w:tcW w:w="9236" w:type="dxa"/>
            <w:gridSpan w:val="10"/>
            <w:tcBorders>
              <w:top w:val="single" w:sz="4" w:space="0" w:color="auto"/>
              <w:bottom w:val="single" w:sz="4" w:space="0" w:color="auto"/>
            </w:tcBorders>
          </w:tcPr>
          <w:p w14:paraId="5194B91D" w14:textId="77777777" w:rsidR="00CE18C0" w:rsidRPr="005C2CEC" w:rsidRDefault="00CE18C0" w:rsidP="00B7508E">
            <w:pPr>
              <w:numPr>
                <w:ilvl w:val="0"/>
                <w:numId w:val="17"/>
              </w:numPr>
              <w:spacing w:line="240" w:lineRule="auto"/>
              <w:rPr>
                <w:b/>
              </w:rPr>
            </w:pPr>
            <w:r w:rsidRPr="005C2CEC">
              <w:rPr>
                <w:b/>
              </w:rPr>
              <w:t>Aká je odhadovaná výška výdavkov na prevádzku, údržbu a opravy infraštruktúry počas celej dĺžky projektu?</w:t>
            </w:r>
          </w:p>
        </w:tc>
      </w:tr>
      <w:tr w:rsidR="00CE18C0" w:rsidRPr="005C2CEC" w14:paraId="68319D33" w14:textId="77777777" w:rsidTr="00146477">
        <w:trPr>
          <w:trHeight w:val="227"/>
        </w:trPr>
        <w:tc>
          <w:tcPr>
            <w:tcW w:w="1539" w:type="dxa"/>
            <w:tcBorders>
              <w:top w:val="single" w:sz="4" w:space="0" w:color="auto"/>
              <w:bottom w:val="single" w:sz="4" w:space="0" w:color="BFBFBF" w:themeColor="background1" w:themeShade="BF"/>
            </w:tcBorders>
            <w:vAlign w:val="center"/>
          </w:tcPr>
          <w:p w14:paraId="5EB36476" w14:textId="77777777" w:rsidR="00CE18C0" w:rsidRPr="005C2CEC" w:rsidRDefault="00CE18C0" w:rsidP="00B7508E">
            <w:pPr>
              <w:spacing w:line="240" w:lineRule="auto"/>
              <w:jc w:val="center"/>
            </w:pPr>
            <w:r w:rsidRPr="005C2CEC">
              <w:t>5 bodov</w:t>
            </w:r>
          </w:p>
        </w:tc>
        <w:tc>
          <w:tcPr>
            <w:tcW w:w="1539" w:type="dxa"/>
            <w:gridSpan w:val="2"/>
            <w:tcBorders>
              <w:top w:val="single" w:sz="4" w:space="0" w:color="auto"/>
              <w:bottom w:val="single" w:sz="4" w:space="0" w:color="BFBFBF" w:themeColor="background1" w:themeShade="BF"/>
            </w:tcBorders>
            <w:vAlign w:val="center"/>
          </w:tcPr>
          <w:p w14:paraId="2321DF68" w14:textId="77777777" w:rsidR="00CE18C0" w:rsidRPr="005C2CEC" w:rsidRDefault="00CE18C0" w:rsidP="00B7508E">
            <w:pPr>
              <w:spacing w:line="240" w:lineRule="auto"/>
              <w:jc w:val="center"/>
            </w:pPr>
          </w:p>
        </w:tc>
        <w:tc>
          <w:tcPr>
            <w:tcW w:w="1540" w:type="dxa"/>
            <w:gridSpan w:val="2"/>
            <w:tcBorders>
              <w:top w:val="single" w:sz="4" w:space="0" w:color="auto"/>
              <w:bottom w:val="single" w:sz="4" w:space="0" w:color="BFBFBF" w:themeColor="background1" w:themeShade="BF"/>
            </w:tcBorders>
            <w:vAlign w:val="center"/>
          </w:tcPr>
          <w:p w14:paraId="658458C5" w14:textId="77777777" w:rsidR="00CE18C0" w:rsidRPr="005C2CEC" w:rsidRDefault="00CE18C0" w:rsidP="00B7508E">
            <w:pPr>
              <w:spacing w:line="240" w:lineRule="auto"/>
              <w:jc w:val="center"/>
            </w:pPr>
            <w:r w:rsidRPr="005C2CEC">
              <w:t>3 body</w:t>
            </w:r>
          </w:p>
        </w:tc>
        <w:tc>
          <w:tcPr>
            <w:tcW w:w="1539" w:type="dxa"/>
            <w:gridSpan w:val="2"/>
            <w:tcBorders>
              <w:top w:val="single" w:sz="4" w:space="0" w:color="auto"/>
              <w:bottom w:val="single" w:sz="4" w:space="0" w:color="BFBFBF" w:themeColor="background1" w:themeShade="BF"/>
            </w:tcBorders>
            <w:vAlign w:val="center"/>
          </w:tcPr>
          <w:p w14:paraId="214E5C0E" w14:textId="77777777" w:rsidR="00CE18C0" w:rsidRPr="005C2CEC" w:rsidRDefault="00CE18C0" w:rsidP="00B7508E">
            <w:pPr>
              <w:spacing w:line="240" w:lineRule="auto"/>
              <w:jc w:val="center"/>
            </w:pPr>
          </w:p>
        </w:tc>
        <w:tc>
          <w:tcPr>
            <w:tcW w:w="1539" w:type="dxa"/>
            <w:gridSpan w:val="2"/>
            <w:tcBorders>
              <w:top w:val="single" w:sz="4" w:space="0" w:color="auto"/>
              <w:bottom w:val="single" w:sz="4" w:space="0" w:color="BFBFBF" w:themeColor="background1" w:themeShade="BF"/>
            </w:tcBorders>
            <w:vAlign w:val="center"/>
          </w:tcPr>
          <w:p w14:paraId="562E3A6F" w14:textId="77777777" w:rsidR="00CE18C0" w:rsidRPr="005C2CEC" w:rsidRDefault="00CE18C0" w:rsidP="00B7508E">
            <w:pPr>
              <w:spacing w:line="240" w:lineRule="auto"/>
              <w:jc w:val="center"/>
            </w:pPr>
          </w:p>
        </w:tc>
        <w:tc>
          <w:tcPr>
            <w:tcW w:w="1540" w:type="dxa"/>
            <w:tcBorders>
              <w:top w:val="single" w:sz="4" w:space="0" w:color="auto"/>
              <w:bottom w:val="single" w:sz="4" w:space="0" w:color="BFBFBF" w:themeColor="background1" w:themeShade="BF"/>
            </w:tcBorders>
            <w:vAlign w:val="center"/>
          </w:tcPr>
          <w:p w14:paraId="46849AC0" w14:textId="77777777" w:rsidR="00CE18C0" w:rsidRPr="005C2CEC" w:rsidRDefault="00CE18C0" w:rsidP="00B7508E">
            <w:pPr>
              <w:spacing w:line="240" w:lineRule="auto"/>
              <w:jc w:val="center"/>
            </w:pPr>
            <w:r w:rsidRPr="005C2CEC">
              <w:t>0 bodov</w:t>
            </w:r>
          </w:p>
        </w:tc>
      </w:tr>
      <w:tr w:rsidR="00CE18C0" w:rsidRPr="005C2CEC" w14:paraId="1EEC6AE0" w14:textId="77777777" w:rsidTr="00146477">
        <w:trPr>
          <w:trHeight w:val="227"/>
        </w:trPr>
        <w:tc>
          <w:tcPr>
            <w:tcW w:w="1539" w:type="dxa"/>
            <w:tcBorders>
              <w:top w:val="single" w:sz="4" w:space="0" w:color="BFBFBF" w:themeColor="background1" w:themeShade="BF"/>
            </w:tcBorders>
            <w:vAlign w:val="center"/>
          </w:tcPr>
          <w:p w14:paraId="5268AB7B" w14:textId="77777777" w:rsidR="00CE18C0" w:rsidRPr="005C2CEC" w:rsidRDefault="00CE18C0" w:rsidP="00B7508E">
            <w:pPr>
              <w:spacing w:line="240" w:lineRule="auto"/>
              <w:jc w:val="center"/>
            </w:pPr>
            <w:r w:rsidRPr="005C2CEC">
              <w:t>&gt;€200m</w:t>
            </w:r>
          </w:p>
        </w:tc>
        <w:tc>
          <w:tcPr>
            <w:tcW w:w="1539" w:type="dxa"/>
            <w:gridSpan w:val="2"/>
            <w:tcBorders>
              <w:top w:val="single" w:sz="4" w:space="0" w:color="BFBFBF" w:themeColor="background1" w:themeShade="BF"/>
            </w:tcBorders>
            <w:vAlign w:val="center"/>
          </w:tcPr>
          <w:p w14:paraId="1487747D" w14:textId="77777777" w:rsidR="00CE18C0" w:rsidRPr="005C2CEC" w:rsidRDefault="00CE18C0" w:rsidP="00B7508E">
            <w:pPr>
              <w:spacing w:line="240" w:lineRule="auto"/>
              <w:jc w:val="center"/>
            </w:pPr>
          </w:p>
        </w:tc>
        <w:tc>
          <w:tcPr>
            <w:tcW w:w="1540" w:type="dxa"/>
            <w:gridSpan w:val="2"/>
            <w:tcBorders>
              <w:top w:val="single" w:sz="4" w:space="0" w:color="BFBFBF" w:themeColor="background1" w:themeShade="BF"/>
            </w:tcBorders>
            <w:vAlign w:val="center"/>
          </w:tcPr>
          <w:p w14:paraId="2B8C9AFB" w14:textId="77777777" w:rsidR="00CE18C0" w:rsidRPr="005C2CEC" w:rsidRDefault="00CE18C0" w:rsidP="00B7508E">
            <w:pPr>
              <w:spacing w:line="240" w:lineRule="auto"/>
              <w:jc w:val="center"/>
            </w:pPr>
            <w:r w:rsidRPr="005C2CEC">
              <w:t>medzi €199-51m</w:t>
            </w:r>
          </w:p>
        </w:tc>
        <w:tc>
          <w:tcPr>
            <w:tcW w:w="1539" w:type="dxa"/>
            <w:gridSpan w:val="2"/>
            <w:tcBorders>
              <w:top w:val="single" w:sz="4" w:space="0" w:color="BFBFBF" w:themeColor="background1" w:themeShade="BF"/>
            </w:tcBorders>
            <w:vAlign w:val="center"/>
          </w:tcPr>
          <w:p w14:paraId="4C22522B" w14:textId="77777777" w:rsidR="00CE18C0" w:rsidRPr="005C2CEC" w:rsidRDefault="00CE18C0" w:rsidP="00B7508E">
            <w:pPr>
              <w:spacing w:line="240" w:lineRule="auto"/>
              <w:jc w:val="center"/>
            </w:pPr>
          </w:p>
        </w:tc>
        <w:tc>
          <w:tcPr>
            <w:tcW w:w="1539" w:type="dxa"/>
            <w:gridSpan w:val="2"/>
            <w:tcBorders>
              <w:top w:val="single" w:sz="4" w:space="0" w:color="BFBFBF" w:themeColor="background1" w:themeShade="BF"/>
            </w:tcBorders>
            <w:vAlign w:val="center"/>
          </w:tcPr>
          <w:p w14:paraId="5BB7244B" w14:textId="77777777" w:rsidR="00CE18C0" w:rsidRPr="005C2CEC" w:rsidRDefault="00CE18C0" w:rsidP="00B7508E">
            <w:pPr>
              <w:spacing w:line="240" w:lineRule="auto"/>
              <w:jc w:val="center"/>
            </w:pPr>
          </w:p>
        </w:tc>
        <w:tc>
          <w:tcPr>
            <w:tcW w:w="1540" w:type="dxa"/>
            <w:tcBorders>
              <w:top w:val="single" w:sz="4" w:space="0" w:color="BFBFBF" w:themeColor="background1" w:themeShade="BF"/>
            </w:tcBorders>
            <w:vAlign w:val="center"/>
          </w:tcPr>
          <w:p w14:paraId="1BF847EF" w14:textId="77777777" w:rsidR="00CE18C0" w:rsidRPr="005C2CEC" w:rsidRDefault="00CE18C0" w:rsidP="00B7508E">
            <w:pPr>
              <w:spacing w:line="240" w:lineRule="auto"/>
              <w:jc w:val="center"/>
            </w:pPr>
            <w:r w:rsidRPr="005C2CEC">
              <w:t>pod €50m</w:t>
            </w:r>
          </w:p>
        </w:tc>
      </w:tr>
      <w:tr w:rsidR="00CE18C0" w:rsidRPr="005C2CEC" w14:paraId="4495E118" w14:textId="77777777" w:rsidTr="00A828A9">
        <w:trPr>
          <w:trHeight w:val="227"/>
        </w:trPr>
        <w:tc>
          <w:tcPr>
            <w:tcW w:w="9236" w:type="dxa"/>
            <w:gridSpan w:val="10"/>
            <w:tcBorders>
              <w:top w:val="single" w:sz="4" w:space="0" w:color="auto"/>
              <w:bottom w:val="single" w:sz="4" w:space="0" w:color="auto"/>
            </w:tcBorders>
          </w:tcPr>
          <w:p w14:paraId="6ECCDF0D" w14:textId="77777777" w:rsidR="00CE18C0" w:rsidRPr="005C2CEC" w:rsidRDefault="00CE18C0" w:rsidP="00B7508E">
            <w:pPr>
              <w:numPr>
                <w:ilvl w:val="0"/>
                <w:numId w:val="17"/>
              </w:numPr>
              <w:spacing w:line="240" w:lineRule="auto"/>
              <w:rPr>
                <w:b/>
              </w:rPr>
            </w:pPr>
            <w:r w:rsidRPr="005C2CEC">
              <w:rPr>
                <w:b/>
              </w:rPr>
              <w:t>Aká je predpokladaná dĺžka životnosti aktív v rámci projektu?</w:t>
            </w:r>
          </w:p>
        </w:tc>
      </w:tr>
      <w:tr w:rsidR="00CE18C0" w:rsidRPr="005C2CEC" w14:paraId="013D482A" w14:textId="77777777" w:rsidTr="00146477">
        <w:trPr>
          <w:trHeight w:val="227"/>
        </w:trPr>
        <w:tc>
          <w:tcPr>
            <w:tcW w:w="1539" w:type="dxa"/>
            <w:tcBorders>
              <w:top w:val="single" w:sz="4" w:space="0" w:color="auto"/>
              <w:bottom w:val="single" w:sz="4" w:space="0" w:color="BFBFBF" w:themeColor="background1" w:themeShade="BF"/>
            </w:tcBorders>
            <w:vAlign w:val="center"/>
          </w:tcPr>
          <w:p w14:paraId="44E93ACC" w14:textId="77777777" w:rsidR="00CE18C0" w:rsidRPr="005C2CEC" w:rsidRDefault="00CE18C0" w:rsidP="00B7508E">
            <w:pPr>
              <w:spacing w:line="240" w:lineRule="auto"/>
              <w:jc w:val="center"/>
            </w:pPr>
            <w:r w:rsidRPr="005C2CEC">
              <w:t>5 bodov</w:t>
            </w:r>
          </w:p>
        </w:tc>
        <w:tc>
          <w:tcPr>
            <w:tcW w:w="1539" w:type="dxa"/>
            <w:gridSpan w:val="2"/>
            <w:tcBorders>
              <w:top w:val="single" w:sz="4" w:space="0" w:color="auto"/>
              <w:bottom w:val="single" w:sz="4" w:space="0" w:color="BFBFBF" w:themeColor="background1" w:themeShade="BF"/>
            </w:tcBorders>
            <w:vAlign w:val="center"/>
          </w:tcPr>
          <w:p w14:paraId="42817F39" w14:textId="77777777" w:rsidR="00CE18C0" w:rsidRPr="005C2CEC" w:rsidRDefault="00CE18C0" w:rsidP="00B7508E">
            <w:pPr>
              <w:spacing w:line="240" w:lineRule="auto"/>
              <w:jc w:val="center"/>
            </w:pPr>
          </w:p>
        </w:tc>
        <w:tc>
          <w:tcPr>
            <w:tcW w:w="1540" w:type="dxa"/>
            <w:gridSpan w:val="2"/>
            <w:tcBorders>
              <w:top w:val="single" w:sz="4" w:space="0" w:color="auto"/>
              <w:bottom w:val="single" w:sz="4" w:space="0" w:color="BFBFBF" w:themeColor="background1" w:themeShade="BF"/>
            </w:tcBorders>
            <w:vAlign w:val="center"/>
          </w:tcPr>
          <w:p w14:paraId="7CFA82BF" w14:textId="77777777" w:rsidR="00CE18C0" w:rsidRPr="005C2CEC" w:rsidRDefault="00CE18C0" w:rsidP="00B7508E">
            <w:pPr>
              <w:spacing w:line="240" w:lineRule="auto"/>
              <w:jc w:val="center"/>
            </w:pPr>
            <w:r w:rsidRPr="005C2CEC">
              <w:t>3 body</w:t>
            </w:r>
          </w:p>
        </w:tc>
        <w:tc>
          <w:tcPr>
            <w:tcW w:w="1539" w:type="dxa"/>
            <w:gridSpan w:val="2"/>
            <w:tcBorders>
              <w:top w:val="single" w:sz="4" w:space="0" w:color="auto"/>
              <w:bottom w:val="single" w:sz="4" w:space="0" w:color="BFBFBF" w:themeColor="background1" w:themeShade="BF"/>
            </w:tcBorders>
            <w:vAlign w:val="center"/>
          </w:tcPr>
          <w:p w14:paraId="3176DFCF" w14:textId="77777777" w:rsidR="00CE18C0" w:rsidRPr="005C2CEC" w:rsidRDefault="00CE18C0" w:rsidP="00B7508E">
            <w:pPr>
              <w:spacing w:line="240" w:lineRule="auto"/>
              <w:jc w:val="center"/>
            </w:pPr>
          </w:p>
        </w:tc>
        <w:tc>
          <w:tcPr>
            <w:tcW w:w="1539" w:type="dxa"/>
            <w:gridSpan w:val="2"/>
            <w:tcBorders>
              <w:top w:val="single" w:sz="4" w:space="0" w:color="auto"/>
              <w:bottom w:val="single" w:sz="4" w:space="0" w:color="BFBFBF" w:themeColor="background1" w:themeShade="BF"/>
            </w:tcBorders>
            <w:vAlign w:val="center"/>
          </w:tcPr>
          <w:p w14:paraId="3874DCF2" w14:textId="77777777" w:rsidR="00CE18C0" w:rsidRPr="005C2CEC" w:rsidRDefault="00CE18C0" w:rsidP="00B7508E">
            <w:pPr>
              <w:spacing w:line="240" w:lineRule="auto"/>
              <w:jc w:val="center"/>
            </w:pPr>
          </w:p>
        </w:tc>
        <w:tc>
          <w:tcPr>
            <w:tcW w:w="1540" w:type="dxa"/>
            <w:tcBorders>
              <w:top w:val="single" w:sz="4" w:space="0" w:color="auto"/>
              <w:bottom w:val="single" w:sz="4" w:space="0" w:color="BFBFBF" w:themeColor="background1" w:themeShade="BF"/>
            </w:tcBorders>
            <w:vAlign w:val="center"/>
          </w:tcPr>
          <w:p w14:paraId="764CF419" w14:textId="77777777" w:rsidR="00CE18C0" w:rsidRPr="005C2CEC" w:rsidRDefault="00CE18C0" w:rsidP="00B7508E">
            <w:pPr>
              <w:spacing w:line="240" w:lineRule="auto"/>
              <w:jc w:val="center"/>
            </w:pPr>
            <w:r w:rsidRPr="005C2CEC">
              <w:t>0 bodov</w:t>
            </w:r>
          </w:p>
        </w:tc>
      </w:tr>
      <w:tr w:rsidR="00CE18C0" w:rsidRPr="005C2CEC" w14:paraId="54550194" w14:textId="77777777" w:rsidTr="00146477">
        <w:trPr>
          <w:trHeight w:val="227"/>
        </w:trPr>
        <w:tc>
          <w:tcPr>
            <w:tcW w:w="1539" w:type="dxa"/>
            <w:tcBorders>
              <w:top w:val="single" w:sz="4" w:space="0" w:color="BFBFBF" w:themeColor="background1" w:themeShade="BF"/>
            </w:tcBorders>
            <w:vAlign w:val="center"/>
          </w:tcPr>
          <w:p w14:paraId="27062816" w14:textId="77777777" w:rsidR="00CE18C0" w:rsidRPr="005C2CEC" w:rsidRDefault="00CE18C0" w:rsidP="00B7508E">
            <w:pPr>
              <w:spacing w:line="240" w:lineRule="auto"/>
              <w:jc w:val="center"/>
            </w:pPr>
            <w:r w:rsidRPr="005C2CEC">
              <w:t>&gt;=20 rokov</w:t>
            </w:r>
          </w:p>
        </w:tc>
        <w:tc>
          <w:tcPr>
            <w:tcW w:w="1539" w:type="dxa"/>
            <w:gridSpan w:val="2"/>
            <w:tcBorders>
              <w:top w:val="single" w:sz="4" w:space="0" w:color="BFBFBF" w:themeColor="background1" w:themeShade="BF"/>
            </w:tcBorders>
            <w:vAlign w:val="center"/>
          </w:tcPr>
          <w:p w14:paraId="323C89A5" w14:textId="77777777" w:rsidR="00CE18C0" w:rsidRPr="005C2CEC" w:rsidRDefault="00CE18C0" w:rsidP="00B7508E">
            <w:pPr>
              <w:spacing w:line="240" w:lineRule="auto"/>
              <w:jc w:val="center"/>
            </w:pPr>
          </w:p>
        </w:tc>
        <w:tc>
          <w:tcPr>
            <w:tcW w:w="1540" w:type="dxa"/>
            <w:gridSpan w:val="2"/>
            <w:tcBorders>
              <w:top w:val="single" w:sz="4" w:space="0" w:color="BFBFBF" w:themeColor="background1" w:themeShade="BF"/>
            </w:tcBorders>
            <w:vAlign w:val="center"/>
          </w:tcPr>
          <w:p w14:paraId="57794004" w14:textId="77777777" w:rsidR="00CE18C0" w:rsidRPr="005C2CEC" w:rsidRDefault="00CE18C0" w:rsidP="00B7508E">
            <w:pPr>
              <w:spacing w:line="240" w:lineRule="auto"/>
              <w:jc w:val="center"/>
            </w:pPr>
            <w:r w:rsidRPr="005C2CEC">
              <w:t>19-12 rokov</w:t>
            </w:r>
          </w:p>
        </w:tc>
        <w:tc>
          <w:tcPr>
            <w:tcW w:w="1539" w:type="dxa"/>
            <w:gridSpan w:val="2"/>
            <w:tcBorders>
              <w:top w:val="single" w:sz="4" w:space="0" w:color="BFBFBF" w:themeColor="background1" w:themeShade="BF"/>
            </w:tcBorders>
            <w:vAlign w:val="center"/>
          </w:tcPr>
          <w:p w14:paraId="6199BD12" w14:textId="77777777" w:rsidR="00CE18C0" w:rsidRPr="005C2CEC" w:rsidRDefault="00CE18C0" w:rsidP="00B7508E">
            <w:pPr>
              <w:spacing w:line="240" w:lineRule="auto"/>
              <w:jc w:val="center"/>
            </w:pPr>
          </w:p>
        </w:tc>
        <w:tc>
          <w:tcPr>
            <w:tcW w:w="1539" w:type="dxa"/>
            <w:gridSpan w:val="2"/>
            <w:tcBorders>
              <w:top w:val="single" w:sz="4" w:space="0" w:color="BFBFBF" w:themeColor="background1" w:themeShade="BF"/>
            </w:tcBorders>
            <w:vAlign w:val="center"/>
          </w:tcPr>
          <w:p w14:paraId="61F73500" w14:textId="77777777" w:rsidR="00CE18C0" w:rsidRPr="005C2CEC" w:rsidRDefault="00CE18C0" w:rsidP="00B7508E">
            <w:pPr>
              <w:spacing w:line="240" w:lineRule="auto"/>
              <w:jc w:val="center"/>
            </w:pPr>
          </w:p>
        </w:tc>
        <w:tc>
          <w:tcPr>
            <w:tcW w:w="1540" w:type="dxa"/>
            <w:tcBorders>
              <w:top w:val="single" w:sz="4" w:space="0" w:color="BFBFBF" w:themeColor="background1" w:themeShade="BF"/>
            </w:tcBorders>
            <w:vAlign w:val="center"/>
          </w:tcPr>
          <w:p w14:paraId="63B93C8E" w14:textId="77777777" w:rsidR="00CE18C0" w:rsidRPr="005C2CEC" w:rsidRDefault="00CE18C0" w:rsidP="00B7508E">
            <w:pPr>
              <w:spacing w:line="240" w:lineRule="auto"/>
              <w:jc w:val="center"/>
            </w:pPr>
            <w:r w:rsidRPr="005C2CEC">
              <w:t>11 a menej rokov</w:t>
            </w:r>
          </w:p>
        </w:tc>
      </w:tr>
      <w:tr w:rsidR="00CE18C0" w:rsidRPr="005C2CEC" w14:paraId="651CB50B" w14:textId="77777777" w:rsidTr="00A828A9">
        <w:trPr>
          <w:trHeight w:val="227"/>
        </w:trPr>
        <w:tc>
          <w:tcPr>
            <w:tcW w:w="9236" w:type="dxa"/>
            <w:gridSpan w:val="10"/>
            <w:tcBorders>
              <w:top w:val="single" w:sz="4" w:space="0" w:color="auto"/>
              <w:bottom w:val="single" w:sz="4" w:space="0" w:color="auto"/>
            </w:tcBorders>
          </w:tcPr>
          <w:p w14:paraId="5C2A7D7B" w14:textId="77777777" w:rsidR="00CE18C0" w:rsidRPr="005C2CEC" w:rsidRDefault="00CE18C0" w:rsidP="00B7508E">
            <w:pPr>
              <w:numPr>
                <w:ilvl w:val="0"/>
                <w:numId w:val="17"/>
              </w:numPr>
              <w:spacing w:line="240" w:lineRule="auto"/>
            </w:pPr>
            <w:r w:rsidRPr="005C2CEC">
              <w:rPr>
                <w:b/>
              </w:rPr>
              <w:t>Aké sú doterajšie skúsenosti Investora s obstarávaním a prevádzkovaním podobného typu infraštruktúry? (za posledných 5 rokov)</w:t>
            </w:r>
          </w:p>
        </w:tc>
      </w:tr>
      <w:tr w:rsidR="00CE18C0" w:rsidRPr="005C2CEC" w14:paraId="5D838A6F" w14:textId="77777777" w:rsidTr="00146477">
        <w:trPr>
          <w:trHeight w:val="227"/>
        </w:trPr>
        <w:tc>
          <w:tcPr>
            <w:tcW w:w="1539" w:type="dxa"/>
            <w:tcBorders>
              <w:top w:val="single" w:sz="4" w:space="0" w:color="auto"/>
              <w:bottom w:val="single" w:sz="4" w:space="0" w:color="BFBFBF" w:themeColor="background1" w:themeShade="BF"/>
            </w:tcBorders>
            <w:vAlign w:val="center"/>
          </w:tcPr>
          <w:p w14:paraId="195A4D47" w14:textId="77777777" w:rsidR="00CE18C0" w:rsidRPr="005C2CEC" w:rsidRDefault="00CE18C0" w:rsidP="00B7508E">
            <w:pPr>
              <w:spacing w:line="240" w:lineRule="auto"/>
              <w:jc w:val="center"/>
            </w:pPr>
            <w:r w:rsidRPr="005C2CEC">
              <w:t>5 bodov</w:t>
            </w:r>
          </w:p>
        </w:tc>
        <w:tc>
          <w:tcPr>
            <w:tcW w:w="1539" w:type="dxa"/>
            <w:gridSpan w:val="2"/>
            <w:tcBorders>
              <w:top w:val="single" w:sz="4" w:space="0" w:color="auto"/>
              <w:bottom w:val="single" w:sz="4" w:space="0" w:color="BFBFBF" w:themeColor="background1" w:themeShade="BF"/>
            </w:tcBorders>
            <w:vAlign w:val="center"/>
          </w:tcPr>
          <w:p w14:paraId="38534DF2" w14:textId="77777777" w:rsidR="00CE18C0" w:rsidRPr="005C2CEC" w:rsidRDefault="00CE18C0" w:rsidP="00B7508E">
            <w:pPr>
              <w:spacing w:line="240" w:lineRule="auto"/>
              <w:jc w:val="center"/>
            </w:pPr>
          </w:p>
        </w:tc>
        <w:tc>
          <w:tcPr>
            <w:tcW w:w="1540" w:type="dxa"/>
            <w:gridSpan w:val="2"/>
            <w:tcBorders>
              <w:top w:val="single" w:sz="4" w:space="0" w:color="auto"/>
              <w:bottom w:val="single" w:sz="4" w:space="0" w:color="BFBFBF" w:themeColor="background1" w:themeShade="BF"/>
            </w:tcBorders>
            <w:vAlign w:val="center"/>
          </w:tcPr>
          <w:p w14:paraId="6EE21CBF" w14:textId="77777777" w:rsidR="00CE18C0" w:rsidRPr="005C2CEC" w:rsidRDefault="00CE18C0" w:rsidP="00B7508E">
            <w:pPr>
              <w:spacing w:line="240" w:lineRule="auto"/>
              <w:jc w:val="center"/>
            </w:pPr>
            <w:r w:rsidRPr="005C2CEC">
              <w:t>3 body</w:t>
            </w:r>
          </w:p>
        </w:tc>
        <w:tc>
          <w:tcPr>
            <w:tcW w:w="1539" w:type="dxa"/>
            <w:gridSpan w:val="2"/>
            <w:tcBorders>
              <w:top w:val="single" w:sz="4" w:space="0" w:color="auto"/>
              <w:bottom w:val="single" w:sz="4" w:space="0" w:color="BFBFBF" w:themeColor="background1" w:themeShade="BF"/>
            </w:tcBorders>
            <w:vAlign w:val="center"/>
          </w:tcPr>
          <w:p w14:paraId="7375B170" w14:textId="77777777" w:rsidR="00CE18C0" w:rsidRPr="005C2CEC" w:rsidRDefault="00CE18C0" w:rsidP="00B7508E">
            <w:pPr>
              <w:spacing w:line="240" w:lineRule="auto"/>
              <w:jc w:val="center"/>
            </w:pPr>
            <w:r w:rsidRPr="005C2CEC">
              <w:t>2 body</w:t>
            </w:r>
          </w:p>
        </w:tc>
        <w:tc>
          <w:tcPr>
            <w:tcW w:w="1539" w:type="dxa"/>
            <w:gridSpan w:val="2"/>
            <w:tcBorders>
              <w:top w:val="single" w:sz="4" w:space="0" w:color="auto"/>
              <w:bottom w:val="single" w:sz="4" w:space="0" w:color="BFBFBF" w:themeColor="background1" w:themeShade="BF"/>
            </w:tcBorders>
            <w:vAlign w:val="center"/>
          </w:tcPr>
          <w:p w14:paraId="0524FED1" w14:textId="77777777" w:rsidR="00CE18C0" w:rsidRPr="005C2CEC" w:rsidRDefault="00CE18C0" w:rsidP="00B7508E">
            <w:pPr>
              <w:spacing w:line="240" w:lineRule="auto"/>
              <w:jc w:val="center"/>
            </w:pPr>
          </w:p>
        </w:tc>
        <w:tc>
          <w:tcPr>
            <w:tcW w:w="1540" w:type="dxa"/>
            <w:tcBorders>
              <w:top w:val="single" w:sz="4" w:space="0" w:color="auto"/>
              <w:bottom w:val="single" w:sz="4" w:space="0" w:color="BFBFBF" w:themeColor="background1" w:themeShade="BF"/>
            </w:tcBorders>
            <w:vAlign w:val="center"/>
          </w:tcPr>
          <w:p w14:paraId="77504567" w14:textId="77777777" w:rsidR="00CE18C0" w:rsidRPr="005C2CEC" w:rsidRDefault="00CE18C0" w:rsidP="00B7508E">
            <w:pPr>
              <w:spacing w:line="240" w:lineRule="auto"/>
              <w:jc w:val="center"/>
            </w:pPr>
          </w:p>
        </w:tc>
      </w:tr>
      <w:tr w:rsidR="00CE18C0" w:rsidRPr="005C2CEC" w14:paraId="4019C8AF" w14:textId="77777777" w:rsidTr="00146477">
        <w:trPr>
          <w:trHeight w:val="227"/>
        </w:trPr>
        <w:tc>
          <w:tcPr>
            <w:tcW w:w="1539" w:type="dxa"/>
            <w:vAlign w:val="center"/>
          </w:tcPr>
          <w:p w14:paraId="1A62B4A5" w14:textId="15D6D9AD" w:rsidR="00CE18C0" w:rsidRPr="005C2CEC" w:rsidRDefault="00EE655E" w:rsidP="00B7508E">
            <w:pPr>
              <w:spacing w:line="240" w:lineRule="auto"/>
              <w:jc w:val="center"/>
            </w:pPr>
            <w:r w:rsidRPr="005C2CEC">
              <w:t>Investor má skúsenosť s obstaraním ako aj prevádzkou podobného projektu.</w:t>
            </w:r>
          </w:p>
        </w:tc>
        <w:tc>
          <w:tcPr>
            <w:tcW w:w="1539" w:type="dxa"/>
            <w:gridSpan w:val="2"/>
            <w:vAlign w:val="center"/>
          </w:tcPr>
          <w:p w14:paraId="57B8DC21" w14:textId="77777777" w:rsidR="00CE18C0" w:rsidRPr="005C2CEC" w:rsidRDefault="00CE18C0" w:rsidP="00B7508E">
            <w:pPr>
              <w:spacing w:line="240" w:lineRule="auto"/>
              <w:jc w:val="center"/>
            </w:pPr>
          </w:p>
        </w:tc>
        <w:tc>
          <w:tcPr>
            <w:tcW w:w="1540" w:type="dxa"/>
            <w:gridSpan w:val="2"/>
            <w:vAlign w:val="center"/>
          </w:tcPr>
          <w:p w14:paraId="69E1D50C" w14:textId="77777777" w:rsidR="00CE18C0" w:rsidRPr="005C2CEC" w:rsidRDefault="00CE18C0" w:rsidP="00B7508E">
            <w:pPr>
              <w:spacing w:line="240" w:lineRule="auto"/>
              <w:jc w:val="center"/>
            </w:pPr>
            <w:r w:rsidRPr="005C2CEC">
              <w:t>Investor má skúsenosť s obstaraním podobného projektu, nemá však skúsenosť s jeho prevádzkou.</w:t>
            </w:r>
          </w:p>
        </w:tc>
        <w:tc>
          <w:tcPr>
            <w:tcW w:w="1539" w:type="dxa"/>
            <w:gridSpan w:val="2"/>
            <w:vAlign w:val="center"/>
          </w:tcPr>
          <w:p w14:paraId="17B71F41" w14:textId="5DFD8BE0" w:rsidR="00CE18C0" w:rsidRPr="005C2CEC" w:rsidRDefault="00EE655E" w:rsidP="00B7508E">
            <w:pPr>
              <w:spacing w:line="240" w:lineRule="auto"/>
              <w:jc w:val="center"/>
            </w:pPr>
            <w:r w:rsidRPr="005C2CEC">
              <w:t>Investor zatiaľ nemá skúsenosti s obstaraním ani prevádzkou podobného projektu.</w:t>
            </w:r>
          </w:p>
        </w:tc>
        <w:tc>
          <w:tcPr>
            <w:tcW w:w="1539" w:type="dxa"/>
            <w:gridSpan w:val="2"/>
            <w:vAlign w:val="center"/>
          </w:tcPr>
          <w:p w14:paraId="6736B7AF" w14:textId="7FBADA79" w:rsidR="00CE18C0" w:rsidRPr="005C2CEC" w:rsidRDefault="00CE18C0" w:rsidP="00B7508E">
            <w:pPr>
              <w:spacing w:line="240" w:lineRule="auto"/>
              <w:jc w:val="center"/>
            </w:pPr>
          </w:p>
        </w:tc>
        <w:tc>
          <w:tcPr>
            <w:tcW w:w="1540" w:type="dxa"/>
            <w:vAlign w:val="center"/>
          </w:tcPr>
          <w:p w14:paraId="3931A1D2" w14:textId="77777777" w:rsidR="00CE18C0" w:rsidRPr="005C2CEC" w:rsidRDefault="00CE18C0" w:rsidP="00B7508E">
            <w:pPr>
              <w:spacing w:line="240" w:lineRule="auto"/>
              <w:jc w:val="center"/>
            </w:pPr>
          </w:p>
        </w:tc>
      </w:tr>
      <w:tr w:rsidR="00CE18C0" w:rsidRPr="005C2CEC" w14:paraId="5AFAF830" w14:textId="77777777" w:rsidTr="00A828A9">
        <w:trPr>
          <w:trHeight w:val="227"/>
        </w:trPr>
        <w:tc>
          <w:tcPr>
            <w:tcW w:w="9236" w:type="dxa"/>
            <w:gridSpan w:val="10"/>
            <w:tcBorders>
              <w:top w:val="single" w:sz="4" w:space="0" w:color="auto"/>
              <w:bottom w:val="single" w:sz="4" w:space="0" w:color="auto"/>
            </w:tcBorders>
          </w:tcPr>
          <w:p w14:paraId="3834C1C8" w14:textId="77777777" w:rsidR="00CE18C0" w:rsidRPr="005C2CEC" w:rsidRDefault="00CE18C0" w:rsidP="00B7508E">
            <w:pPr>
              <w:numPr>
                <w:ilvl w:val="0"/>
                <w:numId w:val="17"/>
              </w:numPr>
              <w:spacing w:line="240" w:lineRule="auto"/>
              <w:rPr>
                <w:b/>
              </w:rPr>
            </w:pPr>
            <w:r w:rsidRPr="005C2CEC">
              <w:rPr>
                <w:b/>
              </w:rPr>
              <w:lastRenderedPageBreak/>
              <w:t>Aké sú doterajšie skúsenosti s obstarávaním podobného typu infraštruktúry cez PPP projekty?</w:t>
            </w:r>
            <w:r w:rsidRPr="005C2CEC">
              <w:rPr>
                <w:b/>
                <w:vertAlign w:val="superscript"/>
              </w:rPr>
              <w:footnoteReference w:id="55"/>
            </w:r>
            <w:r w:rsidRPr="005C2CEC">
              <w:rPr>
                <w:b/>
                <w:vertAlign w:val="superscript"/>
              </w:rPr>
              <w:t xml:space="preserve">, </w:t>
            </w:r>
            <w:r w:rsidRPr="005C2CEC">
              <w:rPr>
                <w:b/>
                <w:vertAlign w:val="superscript"/>
              </w:rPr>
              <w:footnoteReference w:id="56"/>
            </w:r>
          </w:p>
        </w:tc>
      </w:tr>
      <w:tr w:rsidR="00CE18C0" w:rsidRPr="005C2CEC" w14:paraId="5BC30AFC" w14:textId="77777777" w:rsidTr="00146477">
        <w:trPr>
          <w:trHeight w:val="227"/>
        </w:trPr>
        <w:tc>
          <w:tcPr>
            <w:tcW w:w="1539" w:type="dxa"/>
            <w:tcBorders>
              <w:top w:val="single" w:sz="4" w:space="0" w:color="auto"/>
              <w:bottom w:val="single" w:sz="4" w:space="0" w:color="BFBFBF" w:themeColor="background1" w:themeShade="BF"/>
            </w:tcBorders>
            <w:vAlign w:val="center"/>
          </w:tcPr>
          <w:p w14:paraId="69101DCE" w14:textId="77777777" w:rsidR="00CE18C0" w:rsidRPr="005C2CEC" w:rsidRDefault="00CE18C0" w:rsidP="00B7508E">
            <w:pPr>
              <w:spacing w:line="240" w:lineRule="auto"/>
              <w:jc w:val="center"/>
            </w:pPr>
            <w:r w:rsidRPr="005C2CEC">
              <w:t>5 bodov</w:t>
            </w:r>
          </w:p>
        </w:tc>
        <w:tc>
          <w:tcPr>
            <w:tcW w:w="1539" w:type="dxa"/>
            <w:gridSpan w:val="2"/>
            <w:tcBorders>
              <w:top w:val="single" w:sz="4" w:space="0" w:color="auto"/>
              <w:bottom w:val="single" w:sz="4" w:space="0" w:color="BFBFBF" w:themeColor="background1" w:themeShade="BF"/>
            </w:tcBorders>
            <w:vAlign w:val="center"/>
          </w:tcPr>
          <w:p w14:paraId="2A5455E8" w14:textId="77777777" w:rsidR="00CE18C0" w:rsidRPr="005C2CEC" w:rsidRDefault="00CE18C0" w:rsidP="00B7508E">
            <w:pPr>
              <w:spacing w:line="240" w:lineRule="auto"/>
              <w:jc w:val="center"/>
            </w:pPr>
          </w:p>
        </w:tc>
        <w:tc>
          <w:tcPr>
            <w:tcW w:w="1540" w:type="dxa"/>
            <w:gridSpan w:val="2"/>
            <w:tcBorders>
              <w:top w:val="single" w:sz="4" w:space="0" w:color="auto"/>
              <w:bottom w:val="single" w:sz="4" w:space="0" w:color="BFBFBF" w:themeColor="background1" w:themeShade="BF"/>
            </w:tcBorders>
            <w:vAlign w:val="center"/>
          </w:tcPr>
          <w:p w14:paraId="0070789B" w14:textId="77777777" w:rsidR="00CE18C0" w:rsidRPr="005C2CEC" w:rsidRDefault="00CE18C0" w:rsidP="00B7508E">
            <w:pPr>
              <w:spacing w:line="240" w:lineRule="auto"/>
              <w:jc w:val="center"/>
            </w:pPr>
            <w:r w:rsidRPr="005C2CEC">
              <w:t>3 body</w:t>
            </w:r>
          </w:p>
        </w:tc>
        <w:tc>
          <w:tcPr>
            <w:tcW w:w="1539" w:type="dxa"/>
            <w:gridSpan w:val="2"/>
            <w:tcBorders>
              <w:top w:val="single" w:sz="4" w:space="0" w:color="auto"/>
              <w:bottom w:val="single" w:sz="4" w:space="0" w:color="BFBFBF" w:themeColor="background1" w:themeShade="BF"/>
            </w:tcBorders>
            <w:vAlign w:val="center"/>
          </w:tcPr>
          <w:p w14:paraId="75CF852F" w14:textId="77777777" w:rsidR="00CE18C0" w:rsidRPr="005C2CEC" w:rsidRDefault="00CE18C0" w:rsidP="00B7508E">
            <w:pPr>
              <w:spacing w:line="240" w:lineRule="auto"/>
              <w:jc w:val="center"/>
            </w:pPr>
          </w:p>
        </w:tc>
        <w:tc>
          <w:tcPr>
            <w:tcW w:w="1539" w:type="dxa"/>
            <w:gridSpan w:val="2"/>
            <w:tcBorders>
              <w:top w:val="single" w:sz="4" w:space="0" w:color="auto"/>
              <w:bottom w:val="single" w:sz="4" w:space="0" w:color="BFBFBF" w:themeColor="background1" w:themeShade="BF"/>
            </w:tcBorders>
            <w:vAlign w:val="center"/>
          </w:tcPr>
          <w:p w14:paraId="353542BA" w14:textId="77777777" w:rsidR="00CE18C0" w:rsidRPr="005C2CEC" w:rsidRDefault="00CE18C0" w:rsidP="00B7508E">
            <w:pPr>
              <w:spacing w:line="240" w:lineRule="auto"/>
              <w:jc w:val="center"/>
            </w:pPr>
          </w:p>
        </w:tc>
        <w:tc>
          <w:tcPr>
            <w:tcW w:w="1540" w:type="dxa"/>
            <w:tcBorders>
              <w:top w:val="single" w:sz="4" w:space="0" w:color="auto"/>
              <w:bottom w:val="single" w:sz="4" w:space="0" w:color="BFBFBF" w:themeColor="background1" w:themeShade="BF"/>
            </w:tcBorders>
            <w:vAlign w:val="center"/>
          </w:tcPr>
          <w:p w14:paraId="574DB91A" w14:textId="77777777" w:rsidR="00CE18C0" w:rsidRPr="005C2CEC" w:rsidRDefault="00CE18C0" w:rsidP="00B7508E">
            <w:pPr>
              <w:spacing w:line="240" w:lineRule="auto"/>
              <w:jc w:val="center"/>
            </w:pPr>
            <w:r w:rsidRPr="005C2CEC">
              <w:t>0 bodov</w:t>
            </w:r>
          </w:p>
        </w:tc>
      </w:tr>
      <w:tr w:rsidR="00CE18C0" w:rsidRPr="005C2CEC" w14:paraId="375E6A18" w14:textId="77777777" w:rsidTr="00146477">
        <w:trPr>
          <w:trHeight w:val="227"/>
        </w:trPr>
        <w:tc>
          <w:tcPr>
            <w:tcW w:w="1539" w:type="dxa"/>
            <w:tcBorders>
              <w:top w:val="single" w:sz="4" w:space="0" w:color="BFBFBF" w:themeColor="background1" w:themeShade="BF"/>
              <w:bottom w:val="single" w:sz="4" w:space="0" w:color="auto"/>
            </w:tcBorders>
          </w:tcPr>
          <w:p w14:paraId="64895F01" w14:textId="77777777" w:rsidR="00CE18C0" w:rsidRPr="005C2CEC" w:rsidRDefault="00CE18C0" w:rsidP="00B7508E">
            <w:pPr>
              <w:spacing w:line="240" w:lineRule="auto"/>
              <w:jc w:val="center"/>
            </w:pPr>
            <w:r w:rsidRPr="005C2CEC">
              <w:t>V rámci členských štátov EÚ existuje viacero obdobných úspešných PPP projektov porovnateľnej veľkosti a rozsahu.</w:t>
            </w:r>
          </w:p>
        </w:tc>
        <w:tc>
          <w:tcPr>
            <w:tcW w:w="1539" w:type="dxa"/>
            <w:gridSpan w:val="2"/>
            <w:tcBorders>
              <w:top w:val="single" w:sz="4" w:space="0" w:color="BFBFBF" w:themeColor="background1" w:themeShade="BF"/>
              <w:bottom w:val="single" w:sz="4" w:space="0" w:color="auto"/>
            </w:tcBorders>
          </w:tcPr>
          <w:p w14:paraId="050E9411" w14:textId="77777777" w:rsidR="00CE18C0" w:rsidRPr="005C2CEC" w:rsidRDefault="00CE18C0" w:rsidP="00B7508E">
            <w:pPr>
              <w:spacing w:line="240" w:lineRule="auto"/>
              <w:jc w:val="center"/>
            </w:pPr>
          </w:p>
        </w:tc>
        <w:tc>
          <w:tcPr>
            <w:tcW w:w="1540" w:type="dxa"/>
            <w:gridSpan w:val="2"/>
            <w:tcBorders>
              <w:top w:val="single" w:sz="4" w:space="0" w:color="BFBFBF" w:themeColor="background1" w:themeShade="BF"/>
              <w:bottom w:val="single" w:sz="4" w:space="0" w:color="auto"/>
            </w:tcBorders>
          </w:tcPr>
          <w:p w14:paraId="1B52F677" w14:textId="53071539" w:rsidR="00CE18C0" w:rsidRPr="005C2CEC" w:rsidRDefault="00CE18C0" w:rsidP="00B7508E">
            <w:pPr>
              <w:spacing w:line="240" w:lineRule="auto"/>
              <w:jc w:val="center"/>
            </w:pPr>
            <w:r w:rsidRPr="005C2CEC">
              <w:t>V rámci členských štátov EÚ existujú príklady obdobných úspešných PPP projektov, avšak líšia sa veľkosťou alebo rozsahom.</w:t>
            </w:r>
          </w:p>
        </w:tc>
        <w:tc>
          <w:tcPr>
            <w:tcW w:w="1539" w:type="dxa"/>
            <w:gridSpan w:val="2"/>
            <w:tcBorders>
              <w:top w:val="single" w:sz="4" w:space="0" w:color="BFBFBF" w:themeColor="background1" w:themeShade="BF"/>
              <w:bottom w:val="single" w:sz="4" w:space="0" w:color="auto"/>
            </w:tcBorders>
          </w:tcPr>
          <w:p w14:paraId="58C6061A" w14:textId="77777777" w:rsidR="00CE18C0" w:rsidRPr="005C2CEC" w:rsidRDefault="00CE18C0" w:rsidP="00B7508E">
            <w:pPr>
              <w:spacing w:line="240" w:lineRule="auto"/>
              <w:jc w:val="center"/>
            </w:pPr>
          </w:p>
        </w:tc>
        <w:tc>
          <w:tcPr>
            <w:tcW w:w="1539" w:type="dxa"/>
            <w:gridSpan w:val="2"/>
            <w:tcBorders>
              <w:top w:val="single" w:sz="4" w:space="0" w:color="BFBFBF" w:themeColor="background1" w:themeShade="BF"/>
              <w:bottom w:val="single" w:sz="4" w:space="0" w:color="auto"/>
            </w:tcBorders>
          </w:tcPr>
          <w:p w14:paraId="3FE4E93D" w14:textId="77777777" w:rsidR="00CE18C0" w:rsidRPr="005C2CEC" w:rsidRDefault="00CE18C0" w:rsidP="00B7508E">
            <w:pPr>
              <w:spacing w:line="240" w:lineRule="auto"/>
              <w:jc w:val="center"/>
            </w:pPr>
          </w:p>
        </w:tc>
        <w:tc>
          <w:tcPr>
            <w:tcW w:w="1540" w:type="dxa"/>
            <w:tcBorders>
              <w:top w:val="single" w:sz="4" w:space="0" w:color="BFBFBF" w:themeColor="background1" w:themeShade="BF"/>
              <w:bottom w:val="single" w:sz="4" w:space="0" w:color="auto"/>
            </w:tcBorders>
          </w:tcPr>
          <w:p w14:paraId="4BD4A22D" w14:textId="77777777" w:rsidR="00CE18C0" w:rsidRPr="005C2CEC" w:rsidRDefault="00CE18C0" w:rsidP="00B7508E">
            <w:pPr>
              <w:spacing w:line="240" w:lineRule="auto"/>
              <w:jc w:val="center"/>
            </w:pPr>
            <w:r w:rsidRPr="005C2CEC">
              <w:t>V rámci členských štátov EÚ neexistuje príklad na obdobný projekt realizovaný formou PPP.</w:t>
            </w:r>
          </w:p>
        </w:tc>
      </w:tr>
      <w:tr w:rsidR="00CE18C0" w:rsidRPr="005C2CEC" w14:paraId="2564F85F" w14:textId="77777777" w:rsidTr="00A828A9">
        <w:trPr>
          <w:trHeight w:val="227"/>
        </w:trPr>
        <w:tc>
          <w:tcPr>
            <w:tcW w:w="9236" w:type="dxa"/>
            <w:gridSpan w:val="10"/>
            <w:tcBorders>
              <w:top w:val="single" w:sz="4" w:space="0" w:color="BFBFBF" w:themeColor="background1" w:themeShade="BF"/>
              <w:bottom w:val="single" w:sz="4" w:space="0" w:color="auto"/>
            </w:tcBorders>
          </w:tcPr>
          <w:p w14:paraId="3C18FB14" w14:textId="77777777" w:rsidR="00CE18C0" w:rsidRPr="005C2CEC" w:rsidRDefault="00CE18C0" w:rsidP="00B7508E">
            <w:pPr>
              <w:numPr>
                <w:ilvl w:val="0"/>
                <w:numId w:val="17"/>
              </w:numPr>
              <w:spacing w:line="240" w:lineRule="auto"/>
              <w:rPr>
                <w:b/>
              </w:rPr>
            </w:pPr>
            <w:r w:rsidRPr="005C2CEC">
              <w:rPr>
                <w:b/>
              </w:rPr>
              <w:t>Disponuje Investor v rámci svojich kapacít expertmi so skúsenosťami v oblasti PPP projektov?</w:t>
            </w:r>
            <w:r w:rsidRPr="005C2CEC">
              <w:rPr>
                <w:b/>
                <w:vertAlign w:val="superscript"/>
              </w:rPr>
              <w:footnoteReference w:id="57"/>
            </w:r>
          </w:p>
        </w:tc>
      </w:tr>
      <w:tr w:rsidR="00CE18C0" w:rsidRPr="005C2CEC" w14:paraId="665E52C4" w14:textId="77777777" w:rsidTr="00146477">
        <w:trPr>
          <w:trHeight w:val="227"/>
        </w:trPr>
        <w:tc>
          <w:tcPr>
            <w:tcW w:w="1539" w:type="dxa"/>
            <w:tcBorders>
              <w:top w:val="single" w:sz="4" w:space="0" w:color="auto"/>
              <w:bottom w:val="single" w:sz="4" w:space="0" w:color="BFBFBF" w:themeColor="background1" w:themeShade="BF"/>
            </w:tcBorders>
            <w:vAlign w:val="center"/>
          </w:tcPr>
          <w:p w14:paraId="2D9920A4" w14:textId="77777777" w:rsidR="00CE18C0" w:rsidRPr="005C2CEC" w:rsidRDefault="00CE18C0" w:rsidP="00B7508E">
            <w:pPr>
              <w:spacing w:line="240" w:lineRule="auto"/>
              <w:jc w:val="center"/>
            </w:pPr>
            <w:r w:rsidRPr="005C2CEC">
              <w:t>5 bodov</w:t>
            </w:r>
          </w:p>
        </w:tc>
        <w:tc>
          <w:tcPr>
            <w:tcW w:w="1539" w:type="dxa"/>
            <w:gridSpan w:val="2"/>
            <w:tcBorders>
              <w:top w:val="single" w:sz="4" w:space="0" w:color="auto"/>
              <w:bottom w:val="single" w:sz="4" w:space="0" w:color="BFBFBF" w:themeColor="background1" w:themeShade="BF"/>
            </w:tcBorders>
            <w:vAlign w:val="center"/>
          </w:tcPr>
          <w:p w14:paraId="6685FC08" w14:textId="77777777" w:rsidR="00CE18C0" w:rsidRPr="005C2CEC" w:rsidRDefault="00CE18C0" w:rsidP="00B7508E">
            <w:pPr>
              <w:spacing w:line="240" w:lineRule="auto"/>
              <w:jc w:val="center"/>
            </w:pPr>
            <w:r w:rsidRPr="005C2CEC">
              <w:t>4 body</w:t>
            </w:r>
          </w:p>
        </w:tc>
        <w:tc>
          <w:tcPr>
            <w:tcW w:w="1540" w:type="dxa"/>
            <w:gridSpan w:val="2"/>
            <w:tcBorders>
              <w:top w:val="single" w:sz="4" w:space="0" w:color="auto"/>
              <w:bottom w:val="single" w:sz="4" w:space="0" w:color="BFBFBF" w:themeColor="background1" w:themeShade="BF"/>
            </w:tcBorders>
            <w:vAlign w:val="center"/>
          </w:tcPr>
          <w:p w14:paraId="3D22B18C" w14:textId="77777777" w:rsidR="00CE18C0" w:rsidRPr="005C2CEC" w:rsidRDefault="00CE18C0" w:rsidP="00B7508E">
            <w:pPr>
              <w:spacing w:line="240" w:lineRule="auto"/>
              <w:jc w:val="center"/>
            </w:pPr>
          </w:p>
        </w:tc>
        <w:tc>
          <w:tcPr>
            <w:tcW w:w="1539" w:type="dxa"/>
            <w:gridSpan w:val="2"/>
            <w:tcBorders>
              <w:top w:val="single" w:sz="4" w:space="0" w:color="auto"/>
              <w:bottom w:val="single" w:sz="4" w:space="0" w:color="BFBFBF" w:themeColor="background1" w:themeShade="BF"/>
            </w:tcBorders>
            <w:vAlign w:val="center"/>
          </w:tcPr>
          <w:p w14:paraId="77021E40" w14:textId="77777777" w:rsidR="00CE18C0" w:rsidRPr="005C2CEC" w:rsidRDefault="00CE18C0" w:rsidP="00B7508E">
            <w:pPr>
              <w:spacing w:line="240" w:lineRule="auto"/>
              <w:jc w:val="center"/>
            </w:pPr>
            <w:r w:rsidRPr="005C2CEC">
              <w:t>2 body</w:t>
            </w:r>
          </w:p>
        </w:tc>
        <w:tc>
          <w:tcPr>
            <w:tcW w:w="1539" w:type="dxa"/>
            <w:gridSpan w:val="2"/>
            <w:tcBorders>
              <w:top w:val="single" w:sz="4" w:space="0" w:color="auto"/>
              <w:bottom w:val="single" w:sz="4" w:space="0" w:color="BFBFBF" w:themeColor="background1" w:themeShade="BF"/>
            </w:tcBorders>
            <w:vAlign w:val="center"/>
          </w:tcPr>
          <w:p w14:paraId="274F67A6" w14:textId="77777777" w:rsidR="00CE18C0" w:rsidRPr="005C2CEC" w:rsidRDefault="00CE18C0" w:rsidP="00B7508E">
            <w:pPr>
              <w:spacing w:line="240" w:lineRule="auto"/>
              <w:jc w:val="center"/>
            </w:pPr>
          </w:p>
        </w:tc>
        <w:tc>
          <w:tcPr>
            <w:tcW w:w="1540" w:type="dxa"/>
            <w:tcBorders>
              <w:top w:val="single" w:sz="4" w:space="0" w:color="auto"/>
              <w:bottom w:val="single" w:sz="4" w:space="0" w:color="BFBFBF" w:themeColor="background1" w:themeShade="BF"/>
            </w:tcBorders>
            <w:vAlign w:val="center"/>
          </w:tcPr>
          <w:p w14:paraId="2C482273" w14:textId="77777777" w:rsidR="00CE18C0" w:rsidRPr="005C2CEC" w:rsidRDefault="00CE18C0" w:rsidP="00B7508E">
            <w:pPr>
              <w:spacing w:line="240" w:lineRule="auto"/>
              <w:jc w:val="center"/>
            </w:pPr>
          </w:p>
        </w:tc>
      </w:tr>
      <w:tr w:rsidR="00CE18C0" w:rsidRPr="005C2CEC" w14:paraId="21DA582D" w14:textId="77777777" w:rsidTr="00146477">
        <w:trPr>
          <w:trHeight w:val="227"/>
        </w:trPr>
        <w:tc>
          <w:tcPr>
            <w:tcW w:w="1539" w:type="dxa"/>
            <w:tcBorders>
              <w:top w:val="single" w:sz="4" w:space="0" w:color="BFBFBF" w:themeColor="background1" w:themeShade="BF"/>
            </w:tcBorders>
          </w:tcPr>
          <w:p w14:paraId="4B9A23DC" w14:textId="77777777" w:rsidR="00CE18C0" w:rsidRPr="005C2CEC" w:rsidRDefault="00CE18C0" w:rsidP="00B7508E">
            <w:pPr>
              <w:spacing w:line="240" w:lineRule="auto"/>
              <w:jc w:val="center"/>
            </w:pPr>
            <w:r w:rsidRPr="005C2CEC">
              <w:t>Investor disponuje expertmi, ktorí majú skúsenosti v oblasti PPP projektov. (Investor má historicky skúsenosť s finančne uzatvoreným/i PPP projektom/ projektami).</w:t>
            </w:r>
          </w:p>
        </w:tc>
        <w:tc>
          <w:tcPr>
            <w:tcW w:w="1539" w:type="dxa"/>
            <w:gridSpan w:val="2"/>
            <w:tcBorders>
              <w:top w:val="single" w:sz="4" w:space="0" w:color="BFBFBF" w:themeColor="background1" w:themeShade="BF"/>
            </w:tcBorders>
          </w:tcPr>
          <w:p w14:paraId="735E9605" w14:textId="77777777" w:rsidR="00CE18C0" w:rsidRPr="005C2CEC" w:rsidRDefault="00CE18C0" w:rsidP="00B7508E">
            <w:pPr>
              <w:spacing w:line="240" w:lineRule="auto"/>
              <w:jc w:val="center"/>
            </w:pPr>
            <w:r w:rsidRPr="005C2CEC">
              <w:t>Investor nedisponuje expertmi, ktorí majú skúsenosti v oblasti PPP projektov. (Investor však má historicky skúsenosť s finančne uzatvoreným/i PPP projektom/ projektami).</w:t>
            </w:r>
          </w:p>
        </w:tc>
        <w:tc>
          <w:tcPr>
            <w:tcW w:w="1540" w:type="dxa"/>
            <w:gridSpan w:val="2"/>
            <w:tcBorders>
              <w:top w:val="single" w:sz="4" w:space="0" w:color="BFBFBF" w:themeColor="background1" w:themeShade="BF"/>
            </w:tcBorders>
          </w:tcPr>
          <w:p w14:paraId="0EAE3BA0" w14:textId="77777777" w:rsidR="00CE18C0" w:rsidRPr="005C2CEC" w:rsidRDefault="00CE18C0" w:rsidP="00B7508E">
            <w:pPr>
              <w:spacing w:line="240" w:lineRule="auto"/>
              <w:jc w:val="center"/>
            </w:pPr>
          </w:p>
        </w:tc>
        <w:tc>
          <w:tcPr>
            <w:tcW w:w="1539" w:type="dxa"/>
            <w:gridSpan w:val="2"/>
            <w:tcBorders>
              <w:top w:val="single" w:sz="4" w:space="0" w:color="BFBFBF" w:themeColor="background1" w:themeShade="BF"/>
            </w:tcBorders>
          </w:tcPr>
          <w:p w14:paraId="4D321BB3" w14:textId="77777777" w:rsidR="00CE18C0" w:rsidRPr="005C2CEC" w:rsidRDefault="00CE18C0" w:rsidP="00B7508E">
            <w:pPr>
              <w:spacing w:line="240" w:lineRule="auto"/>
              <w:jc w:val="center"/>
            </w:pPr>
            <w:r w:rsidRPr="005C2CEC">
              <w:t>Investor nedisponuje expertmi, ktorí majú skúsenosti v oblasti PPP projektov. (Investor nemá historicky skúsenosť s finančne uzatvoreným/i PPP projektom/projektami).</w:t>
            </w:r>
          </w:p>
        </w:tc>
        <w:tc>
          <w:tcPr>
            <w:tcW w:w="1539" w:type="dxa"/>
            <w:gridSpan w:val="2"/>
            <w:tcBorders>
              <w:top w:val="single" w:sz="4" w:space="0" w:color="BFBFBF" w:themeColor="background1" w:themeShade="BF"/>
            </w:tcBorders>
          </w:tcPr>
          <w:p w14:paraId="165D932C" w14:textId="77777777" w:rsidR="00CE18C0" w:rsidRPr="005C2CEC" w:rsidRDefault="00CE18C0" w:rsidP="00B7508E">
            <w:pPr>
              <w:spacing w:line="240" w:lineRule="auto"/>
              <w:jc w:val="center"/>
            </w:pPr>
          </w:p>
        </w:tc>
        <w:tc>
          <w:tcPr>
            <w:tcW w:w="1540" w:type="dxa"/>
            <w:tcBorders>
              <w:top w:val="single" w:sz="4" w:space="0" w:color="BFBFBF" w:themeColor="background1" w:themeShade="BF"/>
            </w:tcBorders>
          </w:tcPr>
          <w:p w14:paraId="1EE3BD1A" w14:textId="77777777" w:rsidR="00CE18C0" w:rsidRPr="005C2CEC" w:rsidRDefault="00CE18C0" w:rsidP="00B7508E">
            <w:pPr>
              <w:spacing w:line="240" w:lineRule="auto"/>
              <w:jc w:val="center"/>
            </w:pPr>
          </w:p>
        </w:tc>
      </w:tr>
      <w:tr w:rsidR="00CE18C0" w:rsidRPr="005C2CEC" w14:paraId="47A264B3" w14:textId="77777777" w:rsidTr="00A828A9">
        <w:trPr>
          <w:trHeight w:val="227"/>
        </w:trPr>
        <w:tc>
          <w:tcPr>
            <w:tcW w:w="9236" w:type="dxa"/>
            <w:gridSpan w:val="10"/>
            <w:tcBorders>
              <w:top w:val="single" w:sz="4" w:space="0" w:color="auto"/>
              <w:bottom w:val="single" w:sz="4" w:space="0" w:color="auto"/>
            </w:tcBorders>
          </w:tcPr>
          <w:p w14:paraId="507585FF" w14:textId="77777777" w:rsidR="00CE18C0" w:rsidRPr="005C2CEC" w:rsidRDefault="00CE18C0" w:rsidP="00B7508E">
            <w:pPr>
              <w:numPr>
                <w:ilvl w:val="0"/>
                <w:numId w:val="17"/>
              </w:numPr>
              <w:spacing w:line="240" w:lineRule="auto"/>
              <w:rPr>
                <w:b/>
              </w:rPr>
            </w:pPr>
            <w:r w:rsidRPr="005C2CEC">
              <w:rPr>
                <w:b/>
              </w:rPr>
              <w:t>Existuje potenciál pre realizáciu úspešného verejného obstarávania s vysokým počtom záujemcov?</w:t>
            </w:r>
            <w:r w:rsidRPr="005C2CEC">
              <w:rPr>
                <w:b/>
                <w:vertAlign w:val="superscript"/>
              </w:rPr>
              <w:footnoteReference w:id="58"/>
            </w:r>
          </w:p>
        </w:tc>
      </w:tr>
      <w:tr w:rsidR="00CE18C0" w:rsidRPr="005C2CEC" w14:paraId="38F8DE1C" w14:textId="77777777" w:rsidTr="00146477">
        <w:trPr>
          <w:trHeight w:val="227"/>
        </w:trPr>
        <w:tc>
          <w:tcPr>
            <w:tcW w:w="1539" w:type="dxa"/>
            <w:tcBorders>
              <w:top w:val="single" w:sz="4" w:space="0" w:color="auto"/>
              <w:bottom w:val="single" w:sz="4" w:space="0" w:color="BFBFBF" w:themeColor="background1" w:themeShade="BF"/>
            </w:tcBorders>
            <w:vAlign w:val="center"/>
          </w:tcPr>
          <w:p w14:paraId="3BFDF16F" w14:textId="77777777" w:rsidR="00CE18C0" w:rsidRPr="005C2CEC" w:rsidRDefault="00CE18C0" w:rsidP="00B7508E">
            <w:pPr>
              <w:spacing w:line="240" w:lineRule="auto"/>
              <w:jc w:val="center"/>
            </w:pPr>
            <w:r w:rsidRPr="005C2CEC">
              <w:t>5 bodov</w:t>
            </w:r>
          </w:p>
        </w:tc>
        <w:tc>
          <w:tcPr>
            <w:tcW w:w="1539" w:type="dxa"/>
            <w:gridSpan w:val="2"/>
            <w:tcBorders>
              <w:top w:val="single" w:sz="4" w:space="0" w:color="auto"/>
              <w:bottom w:val="single" w:sz="4" w:space="0" w:color="BFBFBF" w:themeColor="background1" w:themeShade="BF"/>
            </w:tcBorders>
            <w:vAlign w:val="center"/>
          </w:tcPr>
          <w:p w14:paraId="1823F0F7" w14:textId="77777777" w:rsidR="00CE18C0" w:rsidRPr="005C2CEC" w:rsidRDefault="00CE18C0" w:rsidP="00B7508E">
            <w:pPr>
              <w:spacing w:line="240" w:lineRule="auto"/>
              <w:jc w:val="center"/>
            </w:pPr>
          </w:p>
        </w:tc>
        <w:tc>
          <w:tcPr>
            <w:tcW w:w="1540" w:type="dxa"/>
            <w:gridSpan w:val="2"/>
            <w:tcBorders>
              <w:top w:val="single" w:sz="4" w:space="0" w:color="auto"/>
              <w:bottom w:val="single" w:sz="4" w:space="0" w:color="BFBFBF" w:themeColor="background1" w:themeShade="BF"/>
            </w:tcBorders>
            <w:vAlign w:val="center"/>
          </w:tcPr>
          <w:p w14:paraId="35DFEBB4" w14:textId="77777777" w:rsidR="00CE18C0" w:rsidRPr="005C2CEC" w:rsidRDefault="00CE18C0" w:rsidP="00B7508E">
            <w:pPr>
              <w:spacing w:line="240" w:lineRule="auto"/>
              <w:jc w:val="center"/>
            </w:pPr>
            <w:r w:rsidRPr="005C2CEC">
              <w:t>3 body</w:t>
            </w:r>
          </w:p>
        </w:tc>
        <w:tc>
          <w:tcPr>
            <w:tcW w:w="1539" w:type="dxa"/>
            <w:gridSpan w:val="2"/>
            <w:tcBorders>
              <w:top w:val="single" w:sz="4" w:space="0" w:color="auto"/>
              <w:bottom w:val="single" w:sz="4" w:space="0" w:color="BFBFBF" w:themeColor="background1" w:themeShade="BF"/>
            </w:tcBorders>
            <w:vAlign w:val="center"/>
          </w:tcPr>
          <w:p w14:paraId="6A62262A" w14:textId="77777777" w:rsidR="00CE18C0" w:rsidRPr="005C2CEC" w:rsidRDefault="00CE18C0" w:rsidP="00B7508E">
            <w:pPr>
              <w:spacing w:line="240" w:lineRule="auto"/>
              <w:jc w:val="center"/>
            </w:pPr>
          </w:p>
        </w:tc>
        <w:tc>
          <w:tcPr>
            <w:tcW w:w="1539" w:type="dxa"/>
            <w:gridSpan w:val="2"/>
            <w:tcBorders>
              <w:top w:val="single" w:sz="4" w:space="0" w:color="auto"/>
              <w:bottom w:val="single" w:sz="4" w:space="0" w:color="BFBFBF" w:themeColor="background1" w:themeShade="BF"/>
            </w:tcBorders>
            <w:vAlign w:val="center"/>
          </w:tcPr>
          <w:p w14:paraId="525F07ED" w14:textId="77777777" w:rsidR="00CE18C0" w:rsidRPr="005C2CEC" w:rsidRDefault="00CE18C0" w:rsidP="00B7508E">
            <w:pPr>
              <w:spacing w:line="240" w:lineRule="auto"/>
              <w:jc w:val="center"/>
            </w:pPr>
          </w:p>
        </w:tc>
        <w:tc>
          <w:tcPr>
            <w:tcW w:w="1540" w:type="dxa"/>
            <w:tcBorders>
              <w:top w:val="single" w:sz="4" w:space="0" w:color="auto"/>
              <w:bottom w:val="single" w:sz="4" w:space="0" w:color="BFBFBF" w:themeColor="background1" w:themeShade="BF"/>
            </w:tcBorders>
            <w:vAlign w:val="center"/>
          </w:tcPr>
          <w:p w14:paraId="22BFF3CE" w14:textId="77777777" w:rsidR="00CE18C0" w:rsidRPr="005C2CEC" w:rsidRDefault="00CE18C0" w:rsidP="00B7508E">
            <w:pPr>
              <w:spacing w:line="240" w:lineRule="auto"/>
              <w:jc w:val="center"/>
            </w:pPr>
            <w:r w:rsidRPr="005C2CEC">
              <w:t>0 bodov</w:t>
            </w:r>
          </w:p>
        </w:tc>
      </w:tr>
      <w:tr w:rsidR="00CE18C0" w:rsidRPr="005C2CEC" w14:paraId="0DF342AC" w14:textId="77777777" w:rsidTr="00146477">
        <w:trPr>
          <w:trHeight w:val="227"/>
        </w:trPr>
        <w:tc>
          <w:tcPr>
            <w:tcW w:w="1539" w:type="dxa"/>
            <w:tcBorders>
              <w:top w:val="single" w:sz="4" w:space="0" w:color="BFBFBF" w:themeColor="background1" w:themeShade="BF"/>
            </w:tcBorders>
            <w:vAlign w:val="center"/>
          </w:tcPr>
          <w:p w14:paraId="3E6D9B75" w14:textId="77777777" w:rsidR="00CE18C0" w:rsidRPr="005C2CEC" w:rsidRDefault="00CE18C0" w:rsidP="00B7508E">
            <w:pPr>
              <w:spacing w:line="240" w:lineRule="auto"/>
              <w:jc w:val="center"/>
            </w:pPr>
            <w:r w:rsidRPr="005C2CEC">
              <w:t>4 a viac potenciálnych záujemcov</w:t>
            </w:r>
          </w:p>
          <w:p w14:paraId="0DF1B5B1" w14:textId="77777777" w:rsidR="00CE18C0" w:rsidRPr="005C2CEC" w:rsidRDefault="00CE18C0" w:rsidP="00B7508E">
            <w:pPr>
              <w:spacing w:line="240" w:lineRule="auto"/>
              <w:jc w:val="center"/>
            </w:pPr>
          </w:p>
        </w:tc>
        <w:tc>
          <w:tcPr>
            <w:tcW w:w="1539" w:type="dxa"/>
            <w:gridSpan w:val="2"/>
            <w:tcBorders>
              <w:top w:val="single" w:sz="4" w:space="0" w:color="BFBFBF" w:themeColor="background1" w:themeShade="BF"/>
            </w:tcBorders>
            <w:vAlign w:val="center"/>
          </w:tcPr>
          <w:p w14:paraId="0CD40725" w14:textId="77777777" w:rsidR="00CE18C0" w:rsidRPr="005C2CEC" w:rsidRDefault="00CE18C0" w:rsidP="00B7508E">
            <w:pPr>
              <w:spacing w:line="240" w:lineRule="auto"/>
              <w:jc w:val="center"/>
            </w:pPr>
          </w:p>
        </w:tc>
        <w:tc>
          <w:tcPr>
            <w:tcW w:w="1540" w:type="dxa"/>
            <w:gridSpan w:val="2"/>
            <w:tcBorders>
              <w:top w:val="single" w:sz="4" w:space="0" w:color="BFBFBF" w:themeColor="background1" w:themeShade="BF"/>
            </w:tcBorders>
            <w:vAlign w:val="center"/>
          </w:tcPr>
          <w:p w14:paraId="3D22C0A0" w14:textId="77777777" w:rsidR="00CE18C0" w:rsidRPr="005C2CEC" w:rsidRDefault="00CE18C0" w:rsidP="00B7508E">
            <w:pPr>
              <w:spacing w:line="240" w:lineRule="auto"/>
              <w:jc w:val="center"/>
            </w:pPr>
            <w:r w:rsidRPr="005C2CEC">
              <w:t>3-2 potenciálni záujemcovia</w:t>
            </w:r>
          </w:p>
        </w:tc>
        <w:tc>
          <w:tcPr>
            <w:tcW w:w="1539" w:type="dxa"/>
            <w:gridSpan w:val="2"/>
            <w:tcBorders>
              <w:top w:val="single" w:sz="4" w:space="0" w:color="BFBFBF" w:themeColor="background1" w:themeShade="BF"/>
            </w:tcBorders>
            <w:vAlign w:val="center"/>
          </w:tcPr>
          <w:p w14:paraId="79449E13" w14:textId="77777777" w:rsidR="00CE18C0" w:rsidRPr="005C2CEC" w:rsidRDefault="00CE18C0" w:rsidP="00B7508E">
            <w:pPr>
              <w:spacing w:line="240" w:lineRule="auto"/>
              <w:jc w:val="center"/>
            </w:pPr>
          </w:p>
        </w:tc>
        <w:tc>
          <w:tcPr>
            <w:tcW w:w="1539" w:type="dxa"/>
            <w:gridSpan w:val="2"/>
            <w:tcBorders>
              <w:top w:val="single" w:sz="4" w:space="0" w:color="BFBFBF" w:themeColor="background1" w:themeShade="BF"/>
            </w:tcBorders>
            <w:vAlign w:val="center"/>
          </w:tcPr>
          <w:p w14:paraId="58714AF1" w14:textId="77777777" w:rsidR="00CE18C0" w:rsidRPr="005C2CEC" w:rsidRDefault="00CE18C0" w:rsidP="00B7508E">
            <w:pPr>
              <w:spacing w:line="240" w:lineRule="auto"/>
              <w:jc w:val="center"/>
            </w:pPr>
          </w:p>
        </w:tc>
        <w:tc>
          <w:tcPr>
            <w:tcW w:w="1540" w:type="dxa"/>
            <w:tcBorders>
              <w:top w:val="single" w:sz="4" w:space="0" w:color="BFBFBF" w:themeColor="background1" w:themeShade="BF"/>
            </w:tcBorders>
            <w:vAlign w:val="center"/>
          </w:tcPr>
          <w:p w14:paraId="0D54EC20" w14:textId="06B818E5" w:rsidR="00CE18C0" w:rsidRPr="005C2CEC" w:rsidRDefault="00CE18C0" w:rsidP="00B7508E">
            <w:pPr>
              <w:spacing w:line="240" w:lineRule="auto"/>
              <w:jc w:val="center"/>
            </w:pPr>
            <w:r w:rsidRPr="005C2CEC">
              <w:t>1, resp. žiaden potenciálny záujemca</w:t>
            </w:r>
          </w:p>
        </w:tc>
      </w:tr>
      <w:tr w:rsidR="00CE18C0" w:rsidRPr="005C2CEC" w14:paraId="789DED3E" w14:textId="77777777" w:rsidTr="00A828A9">
        <w:trPr>
          <w:trHeight w:val="227"/>
        </w:trPr>
        <w:tc>
          <w:tcPr>
            <w:tcW w:w="9236" w:type="dxa"/>
            <w:gridSpan w:val="10"/>
            <w:tcBorders>
              <w:top w:val="single" w:sz="4" w:space="0" w:color="auto"/>
              <w:bottom w:val="single" w:sz="4" w:space="0" w:color="auto"/>
            </w:tcBorders>
          </w:tcPr>
          <w:p w14:paraId="4851790E" w14:textId="77777777" w:rsidR="00CE18C0" w:rsidRPr="005C2CEC" w:rsidRDefault="00CE18C0" w:rsidP="00B7508E">
            <w:pPr>
              <w:keepNext/>
              <w:numPr>
                <w:ilvl w:val="0"/>
                <w:numId w:val="17"/>
              </w:numPr>
              <w:spacing w:line="240" w:lineRule="auto"/>
              <w:ind w:left="714" w:hanging="357"/>
              <w:rPr>
                <w:b/>
              </w:rPr>
            </w:pPr>
            <w:r w:rsidRPr="005C2CEC">
              <w:rPr>
                <w:b/>
              </w:rPr>
              <w:lastRenderedPageBreak/>
              <w:t>Existuje priestor na úspory pri výstavbe a prevádzke projektu vďaka inováciám súkromného sektora?</w:t>
            </w:r>
            <w:r w:rsidRPr="005C2CEC">
              <w:rPr>
                <w:b/>
                <w:vertAlign w:val="superscript"/>
              </w:rPr>
              <w:footnoteReference w:id="59"/>
            </w:r>
          </w:p>
        </w:tc>
      </w:tr>
      <w:tr w:rsidR="00CE18C0" w:rsidRPr="005C2CEC" w14:paraId="7EB58F4A" w14:textId="77777777" w:rsidTr="00146477">
        <w:trPr>
          <w:trHeight w:val="227"/>
        </w:trPr>
        <w:tc>
          <w:tcPr>
            <w:tcW w:w="1539" w:type="dxa"/>
            <w:tcBorders>
              <w:top w:val="single" w:sz="4" w:space="0" w:color="BFBFBF" w:themeColor="background1" w:themeShade="BF"/>
              <w:bottom w:val="single" w:sz="4" w:space="0" w:color="BFBFBF" w:themeColor="background1" w:themeShade="BF"/>
            </w:tcBorders>
            <w:vAlign w:val="center"/>
          </w:tcPr>
          <w:p w14:paraId="5DA35796" w14:textId="77777777" w:rsidR="00CE18C0" w:rsidRPr="005C2CEC" w:rsidRDefault="00CE18C0" w:rsidP="00B7508E">
            <w:pPr>
              <w:spacing w:line="240" w:lineRule="auto"/>
              <w:jc w:val="center"/>
            </w:pPr>
            <w:r w:rsidRPr="005C2CEC">
              <w:t>5 bodov</w:t>
            </w:r>
          </w:p>
        </w:tc>
        <w:tc>
          <w:tcPr>
            <w:tcW w:w="1539" w:type="dxa"/>
            <w:gridSpan w:val="2"/>
            <w:tcBorders>
              <w:top w:val="single" w:sz="4" w:space="0" w:color="BFBFBF" w:themeColor="background1" w:themeShade="BF"/>
              <w:bottom w:val="single" w:sz="4" w:space="0" w:color="BFBFBF" w:themeColor="background1" w:themeShade="BF"/>
            </w:tcBorders>
            <w:vAlign w:val="center"/>
          </w:tcPr>
          <w:p w14:paraId="5E63FD44" w14:textId="77777777" w:rsidR="00CE18C0" w:rsidRPr="005C2CEC" w:rsidRDefault="00CE18C0" w:rsidP="00B7508E">
            <w:pPr>
              <w:spacing w:line="240" w:lineRule="auto"/>
              <w:jc w:val="center"/>
            </w:pPr>
          </w:p>
        </w:tc>
        <w:tc>
          <w:tcPr>
            <w:tcW w:w="1540" w:type="dxa"/>
            <w:gridSpan w:val="2"/>
            <w:tcBorders>
              <w:top w:val="single" w:sz="4" w:space="0" w:color="BFBFBF" w:themeColor="background1" w:themeShade="BF"/>
              <w:bottom w:val="single" w:sz="4" w:space="0" w:color="BFBFBF" w:themeColor="background1" w:themeShade="BF"/>
            </w:tcBorders>
            <w:vAlign w:val="center"/>
          </w:tcPr>
          <w:p w14:paraId="3CF8097F" w14:textId="77777777" w:rsidR="00CE18C0" w:rsidRPr="005C2CEC" w:rsidRDefault="00CE18C0" w:rsidP="00B7508E">
            <w:pPr>
              <w:spacing w:line="240" w:lineRule="auto"/>
              <w:jc w:val="center"/>
            </w:pPr>
            <w:r w:rsidRPr="005C2CEC">
              <w:t>3 body</w:t>
            </w:r>
          </w:p>
        </w:tc>
        <w:tc>
          <w:tcPr>
            <w:tcW w:w="1539" w:type="dxa"/>
            <w:gridSpan w:val="2"/>
            <w:tcBorders>
              <w:top w:val="single" w:sz="4" w:space="0" w:color="BFBFBF" w:themeColor="background1" w:themeShade="BF"/>
              <w:bottom w:val="single" w:sz="4" w:space="0" w:color="BFBFBF" w:themeColor="background1" w:themeShade="BF"/>
            </w:tcBorders>
            <w:vAlign w:val="center"/>
          </w:tcPr>
          <w:p w14:paraId="12912747" w14:textId="77777777" w:rsidR="00CE18C0" w:rsidRPr="005C2CEC" w:rsidRDefault="00CE18C0" w:rsidP="00B7508E">
            <w:pPr>
              <w:spacing w:line="240" w:lineRule="auto"/>
              <w:jc w:val="center"/>
            </w:pPr>
          </w:p>
        </w:tc>
        <w:tc>
          <w:tcPr>
            <w:tcW w:w="1539" w:type="dxa"/>
            <w:gridSpan w:val="2"/>
            <w:tcBorders>
              <w:top w:val="single" w:sz="4" w:space="0" w:color="BFBFBF" w:themeColor="background1" w:themeShade="BF"/>
              <w:bottom w:val="single" w:sz="4" w:space="0" w:color="BFBFBF" w:themeColor="background1" w:themeShade="BF"/>
            </w:tcBorders>
            <w:vAlign w:val="center"/>
          </w:tcPr>
          <w:p w14:paraId="659C95F9" w14:textId="77777777" w:rsidR="00CE18C0" w:rsidRPr="005C2CEC" w:rsidRDefault="00CE18C0" w:rsidP="00B7508E">
            <w:pPr>
              <w:spacing w:line="240" w:lineRule="auto"/>
              <w:jc w:val="center"/>
            </w:pPr>
          </w:p>
        </w:tc>
        <w:tc>
          <w:tcPr>
            <w:tcW w:w="1540" w:type="dxa"/>
            <w:tcBorders>
              <w:top w:val="single" w:sz="4" w:space="0" w:color="BFBFBF" w:themeColor="background1" w:themeShade="BF"/>
              <w:bottom w:val="single" w:sz="4" w:space="0" w:color="BFBFBF" w:themeColor="background1" w:themeShade="BF"/>
            </w:tcBorders>
            <w:vAlign w:val="center"/>
          </w:tcPr>
          <w:p w14:paraId="433260BA" w14:textId="77777777" w:rsidR="00CE18C0" w:rsidRPr="005C2CEC" w:rsidRDefault="00CE18C0" w:rsidP="00B7508E">
            <w:pPr>
              <w:spacing w:line="240" w:lineRule="auto"/>
              <w:jc w:val="center"/>
            </w:pPr>
            <w:r w:rsidRPr="005C2CEC">
              <w:t>0 bodov</w:t>
            </w:r>
          </w:p>
        </w:tc>
      </w:tr>
      <w:tr w:rsidR="00CE18C0" w:rsidRPr="005C2CEC" w14:paraId="01CF3C50" w14:textId="77777777" w:rsidTr="00146477">
        <w:trPr>
          <w:trHeight w:val="227"/>
        </w:trPr>
        <w:tc>
          <w:tcPr>
            <w:tcW w:w="1539" w:type="dxa"/>
            <w:tcBorders>
              <w:top w:val="single" w:sz="4" w:space="0" w:color="BFBFBF" w:themeColor="background1" w:themeShade="BF"/>
              <w:bottom w:val="single" w:sz="4" w:space="0" w:color="BFBFBF" w:themeColor="background1" w:themeShade="BF"/>
            </w:tcBorders>
            <w:vAlign w:val="center"/>
          </w:tcPr>
          <w:p w14:paraId="16471447" w14:textId="6B093EC5" w:rsidR="00CE18C0" w:rsidRPr="005C2CEC" w:rsidRDefault="00CE18C0" w:rsidP="00B7508E">
            <w:pPr>
              <w:spacing w:line="240" w:lineRule="auto"/>
              <w:jc w:val="center"/>
            </w:pPr>
            <w:r w:rsidRPr="005C2CEC">
              <w:t>Je možné očakávať úspory oproti výstavbe a prevádzke verejným sektorom viac ako 15</w:t>
            </w:r>
            <w:r w:rsidR="00146477" w:rsidRPr="005C2CEC">
              <w:t xml:space="preserve"> </w:t>
            </w:r>
            <w:r w:rsidRPr="005C2CEC">
              <w:t>%</w:t>
            </w:r>
          </w:p>
        </w:tc>
        <w:tc>
          <w:tcPr>
            <w:tcW w:w="1539" w:type="dxa"/>
            <w:gridSpan w:val="2"/>
            <w:tcBorders>
              <w:top w:val="single" w:sz="4" w:space="0" w:color="BFBFBF" w:themeColor="background1" w:themeShade="BF"/>
              <w:bottom w:val="single" w:sz="4" w:space="0" w:color="BFBFBF" w:themeColor="background1" w:themeShade="BF"/>
            </w:tcBorders>
            <w:vAlign w:val="center"/>
          </w:tcPr>
          <w:p w14:paraId="3FE1AE27" w14:textId="77777777" w:rsidR="00CE18C0" w:rsidRPr="005C2CEC" w:rsidRDefault="00CE18C0" w:rsidP="00B7508E">
            <w:pPr>
              <w:spacing w:line="240" w:lineRule="auto"/>
              <w:jc w:val="center"/>
            </w:pPr>
          </w:p>
        </w:tc>
        <w:tc>
          <w:tcPr>
            <w:tcW w:w="1540" w:type="dxa"/>
            <w:gridSpan w:val="2"/>
            <w:tcBorders>
              <w:top w:val="single" w:sz="4" w:space="0" w:color="BFBFBF" w:themeColor="background1" w:themeShade="BF"/>
              <w:bottom w:val="single" w:sz="4" w:space="0" w:color="BFBFBF" w:themeColor="background1" w:themeShade="BF"/>
            </w:tcBorders>
          </w:tcPr>
          <w:p w14:paraId="4FE2D726" w14:textId="5CBA0B51" w:rsidR="00CE18C0" w:rsidRPr="005C2CEC" w:rsidRDefault="00CE18C0" w:rsidP="00B7508E">
            <w:pPr>
              <w:spacing w:line="240" w:lineRule="auto"/>
              <w:jc w:val="center"/>
            </w:pPr>
            <w:r w:rsidRPr="005C2CEC">
              <w:t>Je možné očakávať úspory oproti výstavbe a prevádzke verejným sektorom menej ako 15</w:t>
            </w:r>
            <w:r w:rsidR="00146477" w:rsidRPr="005C2CEC">
              <w:t xml:space="preserve"> </w:t>
            </w:r>
            <w:r w:rsidRPr="005C2CEC">
              <w:t>%</w:t>
            </w:r>
          </w:p>
        </w:tc>
        <w:tc>
          <w:tcPr>
            <w:tcW w:w="1539" w:type="dxa"/>
            <w:gridSpan w:val="2"/>
            <w:tcBorders>
              <w:top w:val="single" w:sz="4" w:space="0" w:color="BFBFBF" w:themeColor="background1" w:themeShade="BF"/>
              <w:bottom w:val="single" w:sz="4" w:space="0" w:color="BFBFBF" w:themeColor="background1" w:themeShade="BF"/>
            </w:tcBorders>
            <w:vAlign w:val="center"/>
          </w:tcPr>
          <w:p w14:paraId="4C64A37F" w14:textId="77777777" w:rsidR="00CE18C0" w:rsidRPr="005C2CEC" w:rsidRDefault="00CE18C0" w:rsidP="00B7508E">
            <w:pPr>
              <w:spacing w:line="240" w:lineRule="auto"/>
              <w:jc w:val="center"/>
            </w:pPr>
          </w:p>
        </w:tc>
        <w:tc>
          <w:tcPr>
            <w:tcW w:w="1539" w:type="dxa"/>
            <w:gridSpan w:val="2"/>
            <w:tcBorders>
              <w:top w:val="single" w:sz="4" w:space="0" w:color="BFBFBF" w:themeColor="background1" w:themeShade="BF"/>
              <w:bottom w:val="single" w:sz="4" w:space="0" w:color="BFBFBF" w:themeColor="background1" w:themeShade="BF"/>
            </w:tcBorders>
            <w:vAlign w:val="center"/>
          </w:tcPr>
          <w:p w14:paraId="4BE11F0B" w14:textId="77777777" w:rsidR="00CE18C0" w:rsidRPr="005C2CEC" w:rsidRDefault="00CE18C0" w:rsidP="00B7508E">
            <w:pPr>
              <w:spacing w:line="240" w:lineRule="auto"/>
              <w:jc w:val="center"/>
            </w:pPr>
          </w:p>
        </w:tc>
        <w:tc>
          <w:tcPr>
            <w:tcW w:w="1540" w:type="dxa"/>
            <w:tcBorders>
              <w:top w:val="single" w:sz="4" w:space="0" w:color="BFBFBF" w:themeColor="background1" w:themeShade="BF"/>
              <w:bottom w:val="single" w:sz="4" w:space="0" w:color="BFBFBF" w:themeColor="background1" w:themeShade="BF"/>
            </w:tcBorders>
            <w:vAlign w:val="center"/>
          </w:tcPr>
          <w:p w14:paraId="1670D605" w14:textId="77777777" w:rsidR="00CE18C0" w:rsidRPr="005C2CEC" w:rsidRDefault="00CE18C0" w:rsidP="00B7508E">
            <w:pPr>
              <w:spacing w:line="240" w:lineRule="auto"/>
              <w:jc w:val="center"/>
            </w:pPr>
            <w:r w:rsidRPr="005C2CEC">
              <w:t>Zadávateľ neočakáva úspory oproti výstavbe a prevádzke verejným sektorom</w:t>
            </w:r>
          </w:p>
        </w:tc>
      </w:tr>
      <w:tr w:rsidR="00CE18C0" w:rsidRPr="005C2CEC" w14:paraId="494A6DB1" w14:textId="77777777" w:rsidTr="00A828A9">
        <w:trPr>
          <w:trHeight w:val="227"/>
        </w:trPr>
        <w:tc>
          <w:tcPr>
            <w:tcW w:w="9236" w:type="dxa"/>
            <w:gridSpan w:val="10"/>
            <w:tcBorders>
              <w:top w:val="single" w:sz="4" w:space="0" w:color="auto"/>
              <w:bottom w:val="single" w:sz="4" w:space="0" w:color="auto"/>
            </w:tcBorders>
          </w:tcPr>
          <w:p w14:paraId="064968E9" w14:textId="77777777" w:rsidR="00CE18C0" w:rsidRPr="005C2CEC" w:rsidRDefault="00CE18C0" w:rsidP="00B7508E">
            <w:pPr>
              <w:numPr>
                <w:ilvl w:val="0"/>
                <w:numId w:val="17"/>
              </w:numPr>
              <w:spacing w:line="240" w:lineRule="auto"/>
              <w:rPr>
                <w:b/>
              </w:rPr>
            </w:pPr>
            <w:r w:rsidRPr="005C2CEC">
              <w:rPr>
                <w:b/>
              </w:rPr>
              <w:t>Existuje potenciál zabezpečiť pre daný projekt dlhodobé financovanie (lokálne alebo medzinárodné financovanie vrátane komerčných bánk, medzinárodných finančných inštitúcií atď.)?</w:t>
            </w:r>
          </w:p>
        </w:tc>
      </w:tr>
      <w:tr w:rsidR="00CE18C0" w:rsidRPr="005C2CEC" w14:paraId="49094ECA" w14:textId="77777777" w:rsidTr="00146477">
        <w:trPr>
          <w:trHeight w:val="227"/>
        </w:trPr>
        <w:tc>
          <w:tcPr>
            <w:tcW w:w="1539" w:type="dxa"/>
            <w:tcBorders>
              <w:top w:val="single" w:sz="4" w:space="0" w:color="auto"/>
              <w:bottom w:val="single" w:sz="4" w:space="0" w:color="BFBFBF" w:themeColor="background1" w:themeShade="BF"/>
            </w:tcBorders>
            <w:vAlign w:val="center"/>
          </w:tcPr>
          <w:p w14:paraId="475EEEDD" w14:textId="77777777" w:rsidR="00CE18C0" w:rsidRPr="005C2CEC" w:rsidRDefault="00CE18C0" w:rsidP="00B7508E">
            <w:pPr>
              <w:spacing w:line="240" w:lineRule="auto"/>
              <w:jc w:val="center"/>
            </w:pPr>
            <w:r w:rsidRPr="005C2CEC">
              <w:t>5 bodov</w:t>
            </w:r>
          </w:p>
        </w:tc>
        <w:tc>
          <w:tcPr>
            <w:tcW w:w="1539" w:type="dxa"/>
            <w:gridSpan w:val="2"/>
            <w:tcBorders>
              <w:top w:val="single" w:sz="4" w:space="0" w:color="auto"/>
              <w:bottom w:val="single" w:sz="4" w:space="0" w:color="BFBFBF" w:themeColor="background1" w:themeShade="BF"/>
            </w:tcBorders>
            <w:vAlign w:val="center"/>
          </w:tcPr>
          <w:p w14:paraId="1FFE8175" w14:textId="77777777" w:rsidR="00CE18C0" w:rsidRPr="005C2CEC" w:rsidRDefault="00CE18C0" w:rsidP="00B7508E">
            <w:pPr>
              <w:spacing w:line="240" w:lineRule="auto"/>
              <w:jc w:val="center"/>
            </w:pPr>
          </w:p>
        </w:tc>
        <w:tc>
          <w:tcPr>
            <w:tcW w:w="1540" w:type="dxa"/>
            <w:gridSpan w:val="2"/>
            <w:tcBorders>
              <w:top w:val="single" w:sz="4" w:space="0" w:color="auto"/>
              <w:bottom w:val="single" w:sz="4" w:space="0" w:color="BFBFBF" w:themeColor="background1" w:themeShade="BF"/>
            </w:tcBorders>
            <w:vAlign w:val="center"/>
          </w:tcPr>
          <w:p w14:paraId="01B931EF" w14:textId="77777777" w:rsidR="00CE18C0" w:rsidRPr="005C2CEC" w:rsidRDefault="00CE18C0" w:rsidP="00B7508E">
            <w:pPr>
              <w:spacing w:line="240" w:lineRule="auto"/>
              <w:jc w:val="center"/>
            </w:pPr>
            <w:r w:rsidRPr="005C2CEC">
              <w:t>3 body</w:t>
            </w:r>
          </w:p>
        </w:tc>
        <w:tc>
          <w:tcPr>
            <w:tcW w:w="1539" w:type="dxa"/>
            <w:gridSpan w:val="2"/>
            <w:tcBorders>
              <w:top w:val="single" w:sz="4" w:space="0" w:color="auto"/>
              <w:bottom w:val="single" w:sz="4" w:space="0" w:color="BFBFBF" w:themeColor="background1" w:themeShade="BF"/>
            </w:tcBorders>
            <w:vAlign w:val="center"/>
          </w:tcPr>
          <w:p w14:paraId="38BD5BCA" w14:textId="77777777" w:rsidR="00CE18C0" w:rsidRPr="005C2CEC" w:rsidRDefault="00CE18C0" w:rsidP="00B7508E">
            <w:pPr>
              <w:spacing w:line="240" w:lineRule="auto"/>
              <w:jc w:val="center"/>
            </w:pPr>
          </w:p>
        </w:tc>
        <w:tc>
          <w:tcPr>
            <w:tcW w:w="1539" w:type="dxa"/>
            <w:gridSpan w:val="2"/>
            <w:tcBorders>
              <w:top w:val="single" w:sz="4" w:space="0" w:color="auto"/>
              <w:bottom w:val="single" w:sz="4" w:space="0" w:color="BFBFBF" w:themeColor="background1" w:themeShade="BF"/>
            </w:tcBorders>
            <w:vAlign w:val="center"/>
          </w:tcPr>
          <w:p w14:paraId="5377368A" w14:textId="77777777" w:rsidR="00CE18C0" w:rsidRPr="005C2CEC" w:rsidRDefault="00CE18C0" w:rsidP="00B7508E">
            <w:pPr>
              <w:spacing w:line="240" w:lineRule="auto"/>
              <w:jc w:val="center"/>
            </w:pPr>
          </w:p>
        </w:tc>
        <w:tc>
          <w:tcPr>
            <w:tcW w:w="1540" w:type="dxa"/>
            <w:tcBorders>
              <w:top w:val="single" w:sz="4" w:space="0" w:color="auto"/>
              <w:bottom w:val="single" w:sz="4" w:space="0" w:color="BFBFBF" w:themeColor="background1" w:themeShade="BF"/>
            </w:tcBorders>
            <w:vAlign w:val="center"/>
          </w:tcPr>
          <w:p w14:paraId="1F743B07" w14:textId="77777777" w:rsidR="00CE18C0" w:rsidRPr="005C2CEC" w:rsidRDefault="00CE18C0" w:rsidP="00B7508E">
            <w:pPr>
              <w:spacing w:line="240" w:lineRule="auto"/>
              <w:jc w:val="center"/>
            </w:pPr>
            <w:r w:rsidRPr="005C2CEC">
              <w:t>0 bodov</w:t>
            </w:r>
          </w:p>
        </w:tc>
      </w:tr>
      <w:tr w:rsidR="00CE18C0" w:rsidRPr="005C2CEC" w14:paraId="4EA9FB36" w14:textId="77777777" w:rsidTr="00146477">
        <w:trPr>
          <w:trHeight w:val="227"/>
        </w:trPr>
        <w:tc>
          <w:tcPr>
            <w:tcW w:w="1539" w:type="dxa"/>
            <w:tcBorders>
              <w:top w:val="single" w:sz="4" w:space="0" w:color="BFBFBF" w:themeColor="background1" w:themeShade="BF"/>
            </w:tcBorders>
            <w:vAlign w:val="center"/>
          </w:tcPr>
          <w:p w14:paraId="05206DA8" w14:textId="77777777" w:rsidR="00CE18C0" w:rsidRPr="005C2CEC" w:rsidRDefault="00CE18C0" w:rsidP="00B7508E">
            <w:pPr>
              <w:spacing w:line="240" w:lineRule="auto"/>
              <w:jc w:val="center"/>
            </w:pPr>
            <w:r w:rsidRPr="005C2CEC">
              <w:t>Existuje vysoký potenciál, že o financovanie projektu budú mať záujem tak lokálne, ako aj medzinárodné finančné inštitúcie.</w:t>
            </w:r>
          </w:p>
        </w:tc>
        <w:tc>
          <w:tcPr>
            <w:tcW w:w="1539" w:type="dxa"/>
            <w:gridSpan w:val="2"/>
            <w:tcBorders>
              <w:top w:val="single" w:sz="4" w:space="0" w:color="BFBFBF" w:themeColor="background1" w:themeShade="BF"/>
            </w:tcBorders>
            <w:vAlign w:val="center"/>
          </w:tcPr>
          <w:p w14:paraId="481B8A71" w14:textId="77777777" w:rsidR="00CE18C0" w:rsidRPr="005C2CEC" w:rsidRDefault="00CE18C0" w:rsidP="00B7508E">
            <w:pPr>
              <w:spacing w:line="240" w:lineRule="auto"/>
              <w:jc w:val="center"/>
            </w:pPr>
          </w:p>
        </w:tc>
        <w:tc>
          <w:tcPr>
            <w:tcW w:w="1540" w:type="dxa"/>
            <w:gridSpan w:val="2"/>
            <w:tcBorders>
              <w:top w:val="single" w:sz="4" w:space="0" w:color="BFBFBF" w:themeColor="background1" w:themeShade="BF"/>
            </w:tcBorders>
            <w:vAlign w:val="center"/>
          </w:tcPr>
          <w:p w14:paraId="639AE4AB" w14:textId="77777777" w:rsidR="00CE18C0" w:rsidRPr="005C2CEC" w:rsidRDefault="00CE18C0" w:rsidP="00B7508E">
            <w:pPr>
              <w:spacing w:line="240" w:lineRule="auto"/>
              <w:jc w:val="center"/>
            </w:pPr>
            <w:r w:rsidRPr="005C2CEC">
              <w:t>Lokálne finančné inštitúcie sú ochotné poskytnúť financovanie, ale predpokladá sa, že na zabezpečenie financovania projektu je nutný aj vstup medzinárodných finančných inštitúcií.</w:t>
            </w:r>
          </w:p>
        </w:tc>
        <w:tc>
          <w:tcPr>
            <w:tcW w:w="1539" w:type="dxa"/>
            <w:gridSpan w:val="2"/>
            <w:tcBorders>
              <w:top w:val="single" w:sz="4" w:space="0" w:color="BFBFBF" w:themeColor="background1" w:themeShade="BF"/>
            </w:tcBorders>
            <w:vAlign w:val="center"/>
          </w:tcPr>
          <w:p w14:paraId="4843693C" w14:textId="77777777" w:rsidR="00CE18C0" w:rsidRPr="005C2CEC" w:rsidRDefault="00CE18C0" w:rsidP="00B7508E">
            <w:pPr>
              <w:spacing w:line="240" w:lineRule="auto"/>
              <w:jc w:val="center"/>
            </w:pPr>
          </w:p>
        </w:tc>
        <w:tc>
          <w:tcPr>
            <w:tcW w:w="1539" w:type="dxa"/>
            <w:gridSpan w:val="2"/>
            <w:tcBorders>
              <w:top w:val="single" w:sz="4" w:space="0" w:color="BFBFBF" w:themeColor="background1" w:themeShade="BF"/>
            </w:tcBorders>
            <w:vAlign w:val="center"/>
          </w:tcPr>
          <w:p w14:paraId="5D28F8F7" w14:textId="77777777" w:rsidR="00CE18C0" w:rsidRPr="005C2CEC" w:rsidRDefault="00CE18C0" w:rsidP="00B7508E">
            <w:pPr>
              <w:spacing w:line="240" w:lineRule="auto"/>
              <w:jc w:val="center"/>
            </w:pPr>
          </w:p>
        </w:tc>
        <w:tc>
          <w:tcPr>
            <w:tcW w:w="1540" w:type="dxa"/>
            <w:tcBorders>
              <w:top w:val="single" w:sz="4" w:space="0" w:color="BFBFBF" w:themeColor="background1" w:themeShade="BF"/>
            </w:tcBorders>
            <w:vAlign w:val="center"/>
          </w:tcPr>
          <w:p w14:paraId="07E3F13A" w14:textId="77777777" w:rsidR="00CE18C0" w:rsidRPr="005C2CEC" w:rsidRDefault="00CE18C0" w:rsidP="00B7508E">
            <w:pPr>
              <w:spacing w:line="240" w:lineRule="auto"/>
              <w:jc w:val="center"/>
            </w:pPr>
            <w:r w:rsidRPr="005C2CEC">
              <w:t>Lokálne finančné inštitúcie ani medzinárodné finančné inštitúcie neposkytujú financie na podobné projekty.</w:t>
            </w:r>
          </w:p>
        </w:tc>
      </w:tr>
      <w:tr w:rsidR="00CE18C0" w:rsidRPr="005C2CEC" w14:paraId="1586EBB2" w14:textId="77777777" w:rsidTr="00A828A9">
        <w:trPr>
          <w:trHeight w:val="227"/>
        </w:trPr>
        <w:tc>
          <w:tcPr>
            <w:tcW w:w="9236" w:type="dxa"/>
            <w:gridSpan w:val="10"/>
            <w:tcBorders>
              <w:top w:val="single" w:sz="4" w:space="0" w:color="auto"/>
              <w:bottom w:val="single" w:sz="4" w:space="0" w:color="auto"/>
            </w:tcBorders>
          </w:tcPr>
          <w:p w14:paraId="6A1728D9" w14:textId="77777777" w:rsidR="00CE18C0" w:rsidRPr="005C2CEC" w:rsidRDefault="00CE18C0" w:rsidP="00B7508E">
            <w:pPr>
              <w:numPr>
                <w:ilvl w:val="0"/>
                <w:numId w:val="17"/>
              </w:numPr>
              <w:spacing w:line="240" w:lineRule="auto"/>
              <w:rPr>
                <w:b/>
              </w:rPr>
            </w:pPr>
            <w:r w:rsidRPr="005C2CEC">
              <w:rPr>
                <w:b/>
              </w:rPr>
              <w:t>Existuje priestor pre získanie príjmov od konečných a neštátnych užívateľov infraštruktúry v danom projekte?</w:t>
            </w:r>
          </w:p>
        </w:tc>
      </w:tr>
      <w:tr w:rsidR="00CE18C0" w:rsidRPr="005C2CEC" w14:paraId="464A865E" w14:textId="77777777" w:rsidTr="00146477">
        <w:trPr>
          <w:trHeight w:val="227"/>
        </w:trPr>
        <w:tc>
          <w:tcPr>
            <w:tcW w:w="1539" w:type="dxa"/>
            <w:tcBorders>
              <w:top w:val="single" w:sz="4" w:space="0" w:color="auto"/>
              <w:bottom w:val="single" w:sz="4" w:space="0" w:color="BFBFBF" w:themeColor="background1" w:themeShade="BF"/>
            </w:tcBorders>
            <w:vAlign w:val="center"/>
          </w:tcPr>
          <w:p w14:paraId="740CBD7D" w14:textId="77777777" w:rsidR="00CE18C0" w:rsidRPr="005C2CEC" w:rsidRDefault="00CE18C0" w:rsidP="00B7508E">
            <w:pPr>
              <w:spacing w:line="240" w:lineRule="auto"/>
              <w:jc w:val="center"/>
            </w:pPr>
            <w:r w:rsidRPr="005C2CEC">
              <w:t>5 bodov</w:t>
            </w:r>
          </w:p>
        </w:tc>
        <w:tc>
          <w:tcPr>
            <w:tcW w:w="1539" w:type="dxa"/>
            <w:gridSpan w:val="2"/>
            <w:tcBorders>
              <w:top w:val="single" w:sz="4" w:space="0" w:color="auto"/>
              <w:bottom w:val="single" w:sz="4" w:space="0" w:color="BFBFBF" w:themeColor="background1" w:themeShade="BF"/>
            </w:tcBorders>
            <w:vAlign w:val="center"/>
          </w:tcPr>
          <w:p w14:paraId="27CE5C99" w14:textId="77777777" w:rsidR="00CE18C0" w:rsidRPr="005C2CEC" w:rsidRDefault="00CE18C0" w:rsidP="00B7508E">
            <w:pPr>
              <w:spacing w:line="240" w:lineRule="auto"/>
              <w:jc w:val="center"/>
            </w:pPr>
          </w:p>
        </w:tc>
        <w:tc>
          <w:tcPr>
            <w:tcW w:w="1540" w:type="dxa"/>
            <w:gridSpan w:val="2"/>
            <w:tcBorders>
              <w:top w:val="single" w:sz="4" w:space="0" w:color="auto"/>
              <w:bottom w:val="single" w:sz="4" w:space="0" w:color="BFBFBF" w:themeColor="background1" w:themeShade="BF"/>
            </w:tcBorders>
            <w:vAlign w:val="center"/>
          </w:tcPr>
          <w:p w14:paraId="32C31A8C" w14:textId="77777777" w:rsidR="00CE18C0" w:rsidRPr="005C2CEC" w:rsidRDefault="00CE18C0" w:rsidP="00B7508E">
            <w:pPr>
              <w:spacing w:line="240" w:lineRule="auto"/>
              <w:jc w:val="center"/>
            </w:pPr>
            <w:r w:rsidRPr="005C2CEC">
              <w:t>3 body</w:t>
            </w:r>
          </w:p>
        </w:tc>
        <w:tc>
          <w:tcPr>
            <w:tcW w:w="1539" w:type="dxa"/>
            <w:gridSpan w:val="2"/>
            <w:tcBorders>
              <w:top w:val="single" w:sz="4" w:space="0" w:color="auto"/>
              <w:bottom w:val="single" w:sz="4" w:space="0" w:color="BFBFBF" w:themeColor="background1" w:themeShade="BF"/>
            </w:tcBorders>
            <w:vAlign w:val="center"/>
          </w:tcPr>
          <w:p w14:paraId="01DE32D9" w14:textId="77777777" w:rsidR="00CE18C0" w:rsidRPr="005C2CEC" w:rsidRDefault="00CE18C0" w:rsidP="00B7508E">
            <w:pPr>
              <w:spacing w:line="240" w:lineRule="auto"/>
              <w:jc w:val="center"/>
            </w:pPr>
          </w:p>
        </w:tc>
        <w:tc>
          <w:tcPr>
            <w:tcW w:w="1539" w:type="dxa"/>
            <w:gridSpan w:val="2"/>
            <w:tcBorders>
              <w:top w:val="single" w:sz="4" w:space="0" w:color="auto"/>
              <w:bottom w:val="single" w:sz="4" w:space="0" w:color="BFBFBF" w:themeColor="background1" w:themeShade="BF"/>
            </w:tcBorders>
            <w:vAlign w:val="center"/>
          </w:tcPr>
          <w:p w14:paraId="445154F8" w14:textId="77777777" w:rsidR="00CE18C0" w:rsidRPr="005C2CEC" w:rsidRDefault="00CE18C0" w:rsidP="00B7508E">
            <w:pPr>
              <w:spacing w:line="240" w:lineRule="auto"/>
              <w:jc w:val="center"/>
            </w:pPr>
          </w:p>
        </w:tc>
        <w:tc>
          <w:tcPr>
            <w:tcW w:w="1540" w:type="dxa"/>
            <w:tcBorders>
              <w:top w:val="single" w:sz="4" w:space="0" w:color="auto"/>
              <w:bottom w:val="single" w:sz="4" w:space="0" w:color="BFBFBF" w:themeColor="background1" w:themeShade="BF"/>
            </w:tcBorders>
            <w:vAlign w:val="center"/>
          </w:tcPr>
          <w:p w14:paraId="7F359964" w14:textId="77777777" w:rsidR="00CE18C0" w:rsidRPr="005C2CEC" w:rsidRDefault="00CE18C0" w:rsidP="00B7508E">
            <w:pPr>
              <w:spacing w:line="240" w:lineRule="auto"/>
              <w:jc w:val="center"/>
            </w:pPr>
            <w:r w:rsidRPr="005C2CEC">
              <w:t>0 bodov</w:t>
            </w:r>
          </w:p>
        </w:tc>
      </w:tr>
      <w:tr w:rsidR="00CE18C0" w:rsidRPr="005C2CEC" w14:paraId="7300F053" w14:textId="77777777" w:rsidTr="00146477">
        <w:trPr>
          <w:trHeight w:val="227"/>
        </w:trPr>
        <w:tc>
          <w:tcPr>
            <w:tcW w:w="1539" w:type="dxa"/>
            <w:tcBorders>
              <w:top w:val="single" w:sz="4" w:space="0" w:color="BFBFBF" w:themeColor="background1" w:themeShade="BF"/>
            </w:tcBorders>
            <w:vAlign w:val="center"/>
          </w:tcPr>
          <w:p w14:paraId="34119380" w14:textId="77777777" w:rsidR="00CE18C0" w:rsidRPr="005C2CEC" w:rsidRDefault="00CE18C0" w:rsidP="00B7508E">
            <w:pPr>
              <w:spacing w:line="240" w:lineRule="auto"/>
              <w:jc w:val="center"/>
            </w:pPr>
            <w:r w:rsidRPr="005C2CEC">
              <w:t>Aktíva projektu umožňujú získať významné príjmy od konečných užívateľov a súkromný sektor je pripravený akceptovať riziko dopytu.</w:t>
            </w:r>
          </w:p>
        </w:tc>
        <w:tc>
          <w:tcPr>
            <w:tcW w:w="1539" w:type="dxa"/>
            <w:gridSpan w:val="2"/>
            <w:tcBorders>
              <w:top w:val="single" w:sz="4" w:space="0" w:color="BFBFBF" w:themeColor="background1" w:themeShade="BF"/>
            </w:tcBorders>
            <w:vAlign w:val="center"/>
          </w:tcPr>
          <w:p w14:paraId="215456B1" w14:textId="77777777" w:rsidR="00CE18C0" w:rsidRPr="005C2CEC" w:rsidRDefault="00CE18C0" w:rsidP="00B7508E">
            <w:pPr>
              <w:spacing w:line="240" w:lineRule="auto"/>
              <w:jc w:val="center"/>
            </w:pPr>
          </w:p>
        </w:tc>
        <w:tc>
          <w:tcPr>
            <w:tcW w:w="1540" w:type="dxa"/>
            <w:gridSpan w:val="2"/>
            <w:tcBorders>
              <w:top w:val="single" w:sz="4" w:space="0" w:color="BFBFBF" w:themeColor="background1" w:themeShade="BF"/>
            </w:tcBorders>
            <w:vAlign w:val="center"/>
          </w:tcPr>
          <w:p w14:paraId="3B8E78D3" w14:textId="77777777" w:rsidR="00CE18C0" w:rsidRPr="005C2CEC" w:rsidRDefault="00CE18C0" w:rsidP="00B7508E">
            <w:pPr>
              <w:spacing w:line="240" w:lineRule="auto"/>
              <w:jc w:val="center"/>
            </w:pPr>
            <w:r w:rsidRPr="005C2CEC">
              <w:t>Aktíva projektu umožňujú získať príjmy od konečných užívateľov, ale nepredpokladá sa, že súkromný sektor bude pripravený akceptovať riziko dopytu.</w:t>
            </w:r>
          </w:p>
        </w:tc>
        <w:tc>
          <w:tcPr>
            <w:tcW w:w="1539" w:type="dxa"/>
            <w:gridSpan w:val="2"/>
            <w:tcBorders>
              <w:top w:val="single" w:sz="4" w:space="0" w:color="BFBFBF" w:themeColor="background1" w:themeShade="BF"/>
            </w:tcBorders>
            <w:vAlign w:val="center"/>
          </w:tcPr>
          <w:p w14:paraId="63BE1D27" w14:textId="77777777" w:rsidR="00CE18C0" w:rsidRPr="005C2CEC" w:rsidRDefault="00CE18C0" w:rsidP="00B7508E">
            <w:pPr>
              <w:spacing w:line="240" w:lineRule="auto"/>
              <w:jc w:val="center"/>
            </w:pPr>
          </w:p>
        </w:tc>
        <w:tc>
          <w:tcPr>
            <w:tcW w:w="1539" w:type="dxa"/>
            <w:gridSpan w:val="2"/>
            <w:tcBorders>
              <w:top w:val="single" w:sz="4" w:space="0" w:color="BFBFBF" w:themeColor="background1" w:themeShade="BF"/>
            </w:tcBorders>
            <w:vAlign w:val="center"/>
          </w:tcPr>
          <w:p w14:paraId="0F714D98" w14:textId="77777777" w:rsidR="00CE18C0" w:rsidRPr="005C2CEC" w:rsidRDefault="00CE18C0" w:rsidP="00B7508E">
            <w:pPr>
              <w:spacing w:line="240" w:lineRule="auto"/>
              <w:jc w:val="center"/>
            </w:pPr>
          </w:p>
        </w:tc>
        <w:tc>
          <w:tcPr>
            <w:tcW w:w="1540" w:type="dxa"/>
            <w:tcBorders>
              <w:top w:val="single" w:sz="4" w:space="0" w:color="BFBFBF" w:themeColor="background1" w:themeShade="BF"/>
            </w:tcBorders>
            <w:vAlign w:val="center"/>
          </w:tcPr>
          <w:p w14:paraId="08BA6D54" w14:textId="77777777" w:rsidR="00CE18C0" w:rsidRPr="005C2CEC" w:rsidRDefault="00CE18C0" w:rsidP="00B7508E">
            <w:pPr>
              <w:spacing w:line="240" w:lineRule="auto"/>
              <w:jc w:val="center"/>
            </w:pPr>
            <w:r w:rsidRPr="005C2CEC">
              <w:t>Aktíva projektu neumožňujú získať príjmy od konečných užívateľov.</w:t>
            </w:r>
          </w:p>
        </w:tc>
      </w:tr>
      <w:tr w:rsidR="00CE18C0" w:rsidRPr="005C2CEC" w14:paraId="485BB8B4" w14:textId="77777777" w:rsidTr="00146477">
        <w:trPr>
          <w:trHeight w:val="227"/>
        </w:trPr>
        <w:tc>
          <w:tcPr>
            <w:tcW w:w="1847" w:type="dxa"/>
            <w:gridSpan w:val="2"/>
            <w:tcBorders>
              <w:top w:val="single" w:sz="4" w:space="0" w:color="auto"/>
            </w:tcBorders>
          </w:tcPr>
          <w:p w14:paraId="1E059E2F" w14:textId="77777777" w:rsidR="00CE18C0" w:rsidRPr="005C2CEC" w:rsidRDefault="00CE18C0" w:rsidP="00B7508E">
            <w:pPr>
              <w:spacing w:line="240" w:lineRule="auto"/>
            </w:pPr>
          </w:p>
        </w:tc>
        <w:tc>
          <w:tcPr>
            <w:tcW w:w="1847" w:type="dxa"/>
            <w:gridSpan w:val="2"/>
            <w:tcBorders>
              <w:top w:val="single" w:sz="4" w:space="0" w:color="auto"/>
            </w:tcBorders>
          </w:tcPr>
          <w:p w14:paraId="58922765" w14:textId="77777777" w:rsidR="00CE18C0" w:rsidRPr="005C2CEC" w:rsidRDefault="00CE18C0" w:rsidP="00B7508E">
            <w:pPr>
              <w:spacing w:line="240" w:lineRule="auto"/>
            </w:pPr>
          </w:p>
        </w:tc>
        <w:tc>
          <w:tcPr>
            <w:tcW w:w="1847" w:type="dxa"/>
            <w:gridSpan w:val="2"/>
            <w:tcBorders>
              <w:top w:val="single" w:sz="4" w:space="0" w:color="auto"/>
            </w:tcBorders>
          </w:tcPr>
          <w:p w14:paraId="79FE41FA" w14:textId="77777777" w:rsidR="00CE18C0" w:rsidRPr="005C2CEC" w:rsidRDefault="00CE18C0" w:rsidP="00B7508E">
            <w:pPr>
              <w:spacing w:line="240" w:lineRule="auto"/>
            </w:pPr>
          </w:p>
        </w:tc>
        <w:tc>
          <w:tcPr>
            <w:tcW w:w="1847" w:type="dxa"/>
            <w:gridSpan w:val="2"/>
            <w:tcBorders>
              <w:top w:val="single" w:sz="4" w:space="0" w:color="auto"/>
            </w:tcBorders>
          </w:tcPr>
          <w:p w14:paraId="2A36106D" w14:textId="77777777" w:rsidR="00CE18C0" w:rsidRPr="005C2CEC" w:rsidRDefault="00CE18C0" w:rsidP="00B7508E">
            <w:pPr>
              <w:spacing w:line="240" w:lineRule="auto"/>
            </w:pPr>
          </w:p>
        </w:tc>
        <w:tc>
          <w:tcPr>
            <w:tcW w:w="1848" w:type="dxa"/>
            <w:gridSpan w:val="2"/>
            <w:tcBorders>
              <w:top w:val="single" w:sz="4" w:space="0" w:color="auto"/>
            </w:tcBorders>
          </w:tcPr>
          <w:p w14:paraId="77210222" w14:textId="77777777" w:rsidR="00CE18C0" w:rsidRPr="005C2CEC" w:rsidRDefault="00CE18C0" w:rsidP="00B7508E">
            <w:pPr>
              <w:spacing w:line="240" w:lineRule="auto"/>
            </w:pPr>
          </w:p>
        </w:tc>
      </w:tr>
    </w:tbl>
    <w:p w14:paraId="3172BFD4" w14:textId="77777777" w:rsidR="00CE18C0" w:rsidRPr="005C2CEC" w:rsidRDefault="00CE18C0" w:rsidP="00097D34">
      <w:pPr>
        <w:numPr>
          <w:ilvl w:val="0"/>
          <w:numId w:val="17"/>
        </w:numPr>
        <w:rPr>
          <w:b/>
        </w:rPr>
      </w:pPr>
      <w:r w:rsidRPr="005C2CEC">
        <w:rPr>
          <w:b/>
        </w:rPr>
        <w:lastRenderedPageBreak/>
        <w:t>Aké sú špecifické právne prekážky a obmedzenia, ktoré sa vzťahujú na navrhovaný projekt?</w:t>
      </w:r>
    </w:p>
    <w:p w14:paraId="1A360635" w14:textId="77777777" w:rsidR="00CE18C0" w:rsidRPr="005C2CEC" w:rsidRDefault="00CE18C0" w:rsidP="00CE18C0">
      <w:r w:rsidRPr="005C2CEC">
        <w:rPr>
          <w:i/>
        </w:rPr>
        <w:t>Od Investora sa očakáva, že vo svojej odpovedi na otázku č. 11 stručne popíše možné právne obmedzenia vyplývajúce z typu infraštruktúry (napr. strategický majetok, infraštruktúra využívaná silovými zložkami), typu verejného partnera a charakteru projektu (napr. či ide o zmluvu schvaľovanú vládou), a pod. Investor by mal tiež vyhodnotiť, či je v prípade uvedeného projektu možné integrovať výstavbu, financovanie, prevádzku, údržbu a opravy do jednej PPP zmluvy. Táto otázka je zvlášť dôležitá z hľadiska klasifikácie projektu podľa metodiky ESA 2010 (či sa projekt bude, resp. nebude započítavať do dlhu verejnej správy), v zmysle ktorej základnou súčasťou PPP projektov je aj údržba infraštruktúry počas koncesnej lehoty. Odpoveď na otázku č. 11 sa neboduje, ale právna realizovateľnosť projektu je rovnako dôležitá, ako jej ekonomická realizovateľnosť a opodstatnenosť.</w:t>
      </w:r>
    </w:p>
    <w:p w14:paraId="2598CFBC" w14:textId="77777777" w:rsidR="00CE18C0" w:rsidRPr="005C2CEC" w:rsidRDefault="00CE18C0" w:rsidP="00CE18C0">
      <w:r w:rsidRPr="005C2CEC">
        <w:br w:type="page"/>
      </w:r>
    </w:p>
    <w:p w14:paraId="37B241EF" w14:textId="0EACFE03" w:rsidR="00F50C11" w:rsidRPr="005C2CEC" w:rsidRDefault="00F50C11" w:rsidP="00F50C11">
      <w:pPr>
        <w:pStyle w:val="Popis"/>
        <w:rPr>
          <w:sz w:val="22"/>
        </w:rPr>
      </w:pPr>
      <w:r w:rsidRPr="005C2CEC">
        <w:rPr>
          <w:sz w:val="22"/>
        </w:rPr>
        <w:lastRenderedPageBreak/>
        <w:t xml:space="preserve">Príloha </w:t>
      </w:r>
      <w:bookmarkStart w:id="188" w:name="Priloha2"/>
      <w:r w:rsidRPr="005C2CEC">
        <w:rPr>
          <w:sz w:val="22"/>
        </w:rPr>
        <w:fldChar w:fldCharType="begin"/>
      </w:r>
      <w:r w:rsidRPr="005C2CEC">
        <w:rPr>
          <w:sz w:val="22"/>
        </w:rPr>
        <w:instrText xml:space="preserve"> SEQ Príloha \* ARABIC </w:instrText>
      </w:r>
      <w:r w:rsidRPr="005C2CEC">
        <w:rPr>
          <w:sz w:val="22"/>
        </w:rPr>
        <w:fldChar w:fldCharType="separate"/>
      </w:r>
      <w:r w:rsidR="000D2AF7">
        <w:rPr>
          <w:noProof/>
          <w:sz w:val="22"/>
        </w:rPr>
        <w:t>2</w:t>
      </w:r>
      <w:r w:rsidRPr="005C2CEC">
        <w:rPr>
          <w:sz w:val="22"/>
        </w:rPr>
        <w:fldChar w:fldCharType="end"/>
      </w:r>
      <w:bookmarkEnd w:id="188"/>
      <w:r w:rsidRPr="005C2CEC">
        <w:rPr>
          <w:sz w:val="22"/>
        </w:rPr>
        <w:t xml:space="preserve"> Faktory pre posúdenie výhodnos</w:t>
      </w:r>
      <w:r w:rsidR="00AC5122">
        <w:rPr>
          <w:sz w:val="22"/>
        </w:rPr>
        <w:t>ti</w:t>
      </w:r>
      <w:r w:rsidRPr="005C2CEC">
        <w:rPr>
          <w:sz w:val="22"/>
        </w:rPr>
        <w:t xml:space="preserve"> financovania návratnými formami</w:t>
      </w:r>
    </w:p>
    <w:p w14:paraId="53EA8512" w14:textId="77777777" w:rsidR="00CE18C0" w:rsidRPr="005C2CEC" w:rsidRDefault="00CE18C0" w:rsidP="00CE18C0">
      <w:pPr>
        <w:rPr>
          <w:u w:val="single"/>
        </w:rPr>
      </w:pPr>
      <w:r w:rsidRPr="005C2CEC">
        <w:rPr>
          <w:u w:val="single"/>
        </w:rPr>
        <w:t>PROJEKT</w:t>
      </w:r>
    </w:p>
    <w:p w14:paraId="66FFE937" w14:textId="77777777" w:rsidR="00CE18C0" w:rsidRPr="005C2CEC" w:rsidRDefault="00CE18C0" w:rsidP="00097D34">
      <w:pPr>
        <w:numPr>
          <w:ilvl w:val="0"/>
          <w:numId w:val="14"/>
        </w:numPr>
      </w:pPr>
      <w:r w:rsidRPr="005C2CEC">
        <w:t>Má projekt potenciál na vytvorenie finančných príjmov a/alebo úspor? Ak áno, v akom objeme?</w:t>
      </w:r>
    </w:p>
    <w:p w14:paraId="02A2CF7B" w14:textId="4C139B31" w:rsidR="00CE18C0" w:rsidRPr="005C2CEC" w:rsidRDefault="00CE18C0" w:rsidP="00097D34">
      <w:pPr>
        <w:numPr>
          <w:ilvl w:val="0"/>
          <w:numId w:val="14"/>
        </w:numPr>
      </w:pPr>
      <w:r w:rsidRPr="005C2CEC">
        <w:t>Aký je odhadovaný objem investičného nákladu? Aký je pomer očakávaných finančných príjmov / úspor (prepočítaných na čistú súčas</w:t>
      </w:r>
      <w:r w:rsidR="00146477" w:rsidRPr="005C2CEC">
        <w:t>nú hodnotu – net present value)</w:t>
      </w:r>
      <w:r w:rsidRPr="005C2CEC">
        <w:t xml:space="preserve"> oproti investičnému nákladu?</w:t>
      </w:r>
    </w:p>
    <w:p w14:paraId="3AFE55C2" w14:textId="77777777" w:rsidR="00CE18C0" w:rsidRPr="005C2CEC" w:rsidRDefault="00CE18C0" w:rsidP="00097D34">
      <w:pPr>
        <w:numPr>
          <w:ilvl w:val="0"/>
          <w:numId w:val="14"/>
        </w:numPr>
      </w:pPr>
      <w:r w:rsidRPr="005C2CEC">
        <w:t>Aká je očakávaná stabilita projektových príjmov / úspor? Existujú možnosti ako znížiť riziko nedosiahnutia projektových príjmov / úspor, vrátane možnosti prevádzky projektu zo strany súkromného sektora?</w:t>
      </w:r>
    </w:p>
    <w:p w14:paraId="4A2CD689" w14:textId="77777777" w:rsidR="00CE18C0" w:rsidRPr="005C2CEC" w:rsidRDefault="00CE18C0" w:rsidP="00097D34">
      <w:pPr>
        <w:numPr>
          <w:ilvl w:val="0"/>
          <w:numId w:val="14"/>
        </w:numPr>
      </w:pPr>
      <w:r w:rsidRPr="005C2CEC">
        <w:t>Aká je očakávaná vnútorná miera výnosnosti projektu (IRR – Internal Rate of Return)?</w:t>
      </w:r>
    </w:p>
    <w:p w14:paraId="352F1532" w14:textId="27357387" w:rsidR="00CE18C0" w:rsidRPr="005C2CEC" w:rsidRDefault="00CE18C0" w:rsidP="00097D34">
      <w:pPr>
        <w:numPr>
          <w:ilvl w:val="0"/>
          <w:numId w:val="14"/>
        </w:numPr>
      </w:pPr>
      <w:r w:rsidRPr="005C2CEC">
        <w:t xml:space="preserve">Aká je odhadovaná životnosť aktív plánovaných v rámci tohto projektu? </w:t>
      </w:r>
    </w:p>
    <w:p w14:paraId="6A4CE751" w14:textId="77777777" w:rsidR="00CE18C0" w:rsidRPr="005C2CEC" w:rsidRDefault="00CE18C0" w:rsidP="00097D34">
      <w:pPr>
        <w:numPr>
          <w:ilvl w:val="0"/>
          <w:numId w:val="14"/>
        </w:numPr>
      </w:pPr>
      <w:r w:rsidRPr="005C2CEC">
        <w:t>Existujú prípady financovania obdobných projektov v SR alebo v krajinách EÚ / OECD návratnou formou?</w:t>
      </w:r>
    </w:p>
    <w:p w14:paraId="43EF2D76" w14:textId="77777777" w:rsidR="00CE18C0" w:rsidRPr="005C2CEC" w:rsidRDefault="00CE18C0" w:rsidP="00CE18C0">
      <w:pPr>
        <w:rPr>
          <w:u w:val="single"/>
        </w:rPr>
      </w:pPr>
      <w:r w:rsidRPr="005C2CEC">
        <w:rPr>
          <w:u w:val="single"/>
        </w:rPr>
        <w:t>ZADÁVATEĽ PROJEKTU</w:t>
      </w:r>
    </w:p>
    <w:p w14:paraId="49AFF0C4" w14:textId="77777777" w:rsidR="00CE18C0" w:rsidRPr="005C2CEC" w:rsidRDefault="00CE18C0" w:rsidP="00097D34">
      <w:pPr>
        <w:numPr>
          <w:ilvl w:val="0"/>
          <w:numId w:val="16"/>
        </w:numPr>
      </w:pPr>
      <w:r w:rsidRPr="005C2CEC">
        <w:t>Aký je pomer investičného nákladu oproti rozpočtu Investora?</w:t>
      </w:r>
    </w:p>
    <w:p w14:paraId="7DB4746E" w14:textId="77777777" w:rsidR="00CE18C0" w:rsidRPr="005C2CEC" w:rsidRDefault="00CE18C0" w:rsidP="00097D34">
      <w:pPr>
        <w:numPr>
          <w:ilvl w:val="0"/>
          <w:numId w:val="16"/>
        </w:numPr>
      </w:pPr>
      <w:r w:rsidRPr="005C2CEC">
        <w:t xml:space="preserve">Má Investor skúsenosti s čerpaním úveru alebo iného typu návratného financovania? </w:t>
      </w:r>
    </w:p>
    <w:p w14:paraId="0EE38904" w14:textId="77777777" w:rsidR="00CE18C0" w:rsidRPr="005C2CEC" w:rsidRDefault="00CE18C0" w:rsidP="00097D34">
      <w:pPr>
        <w:numPr>
          <w:ilvl w:val="0"/>
          <w:numId w:val="16"/>
        </w:numPr>
      </w:pPr>
      <w:r w:rsidRPr="005C2CEC">
        <w:t>Má Investor priestor na čerpanie ďalšieho úveru?</w:t>
      </w:r>
    </w:p>
    <w:p w14:paraId="4A0C050A" w14:textId="77777777" w:rsidR="00CE18C0" w:rsidRPr="005C2CEC" w:rsidRDefault="00CE18C0" w:rsidP="00097D34">
      <w:pPr>
        <w:numPr>
          <w:ilvl w:val="0"/>
          <w:numId w:val="16"/>
        </w:numPr>
      </w:pPr>
      <w:r w:rsidRPr="005C2CEC">
        <w:t>V akom finančnom stave sa nachádza Investor?</w:t>
      </w:r>
    </w:p>
    <w:p w14:paraId="4A2A3F60" w14:textId="77777777" w:rsidR="00CE18C0" w:rsidRPr="005C2CEC" w:rsidRDefault="00CE18C0" w:rsidP="00097D34">
      <w:pPr>
        <w:numPr>
          <w:ilvl w:val="0"/>
          <w:numId w:val="16"/>
        </w:numPr>
      </w:pPr>
      <w:r w:rsidRPr="005C2CEC">
        <w:t>Aké prepojenie existuje medzi Investorom a štátnym rozpočtom – jedná sa o ústredný orgán štátnej správy / územnú samosprávu / príspevkovú organizáciu / rozpočtovú organizáciu / podnik vo vlastníctve alebo spoluvlastníctve SR?</w:t>
      </w:r>
    </w:p>
    <w:p w14:paraId="6E4FA25F" w14:textId="77777777" w:rsidR="00CE18C0" w:rsidRPr="005C2CEC" w:rsidRDefault="00CE18C0" w:rsidP="00CE18C0">
      <w:pPr>
        <w:rPr>
          <w:u w:val="single"/>
        </w:rPr>
      </w:pPr>
      <w:r w:rsidRPr="005C2CEC">
        <w:rPr>
          <w:u w:val="single"/>
        </w:rPr>
        <w:t>ŠTRUKTÚROVANIE FINANCOVANIA</w:t>
      </w:r>
    </w:p>
    <w:p w14:paraId="0015008A" w14:textId="77777777" w:rsidR="00CE18C0" w:rsidRPr="005C2CEC" w:rsidRDefault="00CE18C0" w:rsidP="00097D34">
      <w:pPr>
        <w:numPr>
          <w:ilvl w:val="0"/>
          <w:numId w:val="15"/>
        </w:numPr>
      </w:pPr>
      <w:r w:rsidRPr="005C2CEC">
        <w:t>Má Investor skúsenosti s projektovým financovaním?</w:t>
      </w:r>
    </w:p>
    <w:p w14:paraId="40C26282" w14:textId="77777777" w:rsidR="00CE18C0" w:rsidRPr="005C2CEC" w:rsidRDefault="00CE18C0" w:rsidP="00097D34">
      <w:pPr>
        <w:numPr>
          <w:ilvl w:val="0"/>
          <w:numId w:val="15"/>
        </w:numPr>
      </w:pPr>
      <w:r w:rsidRPr="005C2CEC">
        <w:t>Je možné oddeliť projektové príjmy / úspory od Investora do samostatného právneho subjektu?</w:t>
      </w:r>
    </w:p>
    <w:p w14:paraId="7C49EDCA" w14:textId="77777777" w:rsidR="00CE18C0" w:rsidRPr="005C2CEC" w:rsidRDefault="00CE18C0" w:rsidP="00097D34">
      <w:pPr>
        <w:numPr>
          <w:ilvl w:val="0"/>
          <w:numId w:val="15"/>
        </w:numPr>
      </w:pPr>
      <w:r w:rsidRPr="005C2CEC">
        <w:t xml:space="preserve">Dokáže Investor, prípadne jeho vlastník alebo zriaďovateľ, poskytnúť kolaterál alebo garanciu na zabezpečenie úveru? </w:t>
      </w:r>
    </w:p>
    <w:p w14:paraId="3B3460AF" w14:textId="77777777" w:rsidR="00CE18C0" w:rsidRPr="005C2CEC" w:rsidRDefault="00CE18C0" w:rsidP="00097D34">
      <w:pPr>
        <w:numPr>
          <w:ilvl w:val="0"/>
          <w:numId w:val="15"/>
        </w:numPr>
      </w:pPr>
      <w:r w:rsidRPr="005C2CEC">
        <w:t xml:space="preserve">Dokáže Investor, prípadne jeho vlastník alebo zriaďovateľ, poskytnúť vlastné zdroje vo forme investície do základného imania do zamýšľaného projektu? </w:t>
      </w:r>
    </w:p>
    <w:p w14:paraId="636DEE9E" w14:textId="77777777" w:rsidR="00CE18C0" w:rsidRPr="005C2CEC" w:rsidRDefault="00CE18C0" w:rsidP="00097D34">
      <w:pPr>
        <w:numPr>
          <w:ilvl w:val="0"/>
          <w:numId w:val="15"/>
        </w:numPr>
      </w:pPr>
      <w:r w:rsidRPr="005C2CEC">
        <w:t>Existuje potenciál na získanie nenávratnej zložky financovania?</w:t>
      </w:r>
    </w:p>
    <w:p w14:paraId="0B680376" w14:textId="77777777" w:rsidR="00CE18C0" w:rsidRPr="005C2CEC" w:rsidRDefault="00CE18C0" w:rsidP="00097D34">
      <w:pPr>
        <w:numPr>
          <w:ilvl w:val="0"/>
          <w:numId w:val="15"/>
        </w:numPr>
      </w:pPr>
      <w:r w:rsidRPr="005C2CEC">
        <w:t>Existuje potenciál na získanie súkromnej spolu-investície?</w:t>
      </w:r>
    </w:p>
    <w:p w14:paraId="72C7BFB1" w14:textId="77777777" w:rsidR="00CE18C0" w:rsidRPr="005C2CEC" w:rsidRDefault="00CE18C0" w:rsidP="00CE18C0">
      <w:pPr>
        <w:rPr>
          <w:u w:val="single"/>
        </w:rPr>
      </w:pPr>
      <w:r w:rsidRPr="005C2CEC">
        <w:rPr>
          <w:u w:val="single"/>
        </w:rPr>
        <w:t>OBLASŤ ENERGETICKEJ EFEKTÍVNOSTI</w:t>
      </w:r>
    </w:p>
    <w:p w14:paraId="4C4787E6" w14:textId="78AA275D" w:rsidR="009144FE" w:rsidRPr="005C2CEC" w:rsidRDefault="00CE18C0" w:rsidP="00F50C11">
      <w:r w:rsidRPr="005C2CEC">
        <w:t xml:space="preserve">V prípade projektov, ktoré prispievajú k zlepšovaniu energetickej efektívnosti vo verejnej infraštruktúre, vrátane verejných budov alebo verejného osvetlenia, sa odporúča objednanie energetického auditu na zhodnotenie využiteľnosti garantovaných energetických služieb na realizáciu a financovanie projektu – viď metodika pre garantované energetické služby </w:t>
      </w:r>
      <w:r w:rsidR="0020732B" w:rsidRPr="005C2CEC">
        <w:t>MF</w:t>
      </w:r>
      <w:r w:rsidRPr="005C2CEC">
        <w:t xml:space="preserve"> SR: </w:t>
      </w:r>
      <w:hyperlink r:id="rId69" w:history="1">
        <w:r w:rsidRPr="005C2CEC">
          <w:rPr>
            <w:rStyle w:val="Hypertextovprepojenie"/>
          </w:rPr>
          <w:t>https://www.mfsr.sk/sk/financie/ppp-projekty/garantovane-energeticke-sluzby/metodika-vzorova-zmluva.html</w:t>
        </w:r>
      </w:hyperlink>
      <w:r w:rsidR="009144FE" w:rsidRPr="005C2CEC">
        <w:br w:type="page"/>
      </w:r>
    </w:p>
    <w:p w14:paraId="68A95B46" w14:textId="7A7C8AE4" w:rsidR="00F50C11" w:rsidRPr="005C2CEC" w:rsidRDefault="00F50C11" w:rsidP="00F50C11">
      <w:pPr>
        <w:pStyle w:val="Popis"/>
        <w:rPr>
          <w:sz w:val="22"/>
        </w:rPr>
      </w:pPr>
      <w:bookmarkStart w:id="189" w:name="_Ref44946269"/>
      <w:r w:rsidRPr="005C2CEC">
        <w:rPr>
          <w:sz w:val="22"/>
        </w:rPr>
        <w:lastRenderedPageBreak/>
        <w:t xml:space="preserve">Príloha </w:t>
      </w:r>
      <w:bookmarkStart w:id="190" w:name="Priloha3"/>
      <w:r w:rsidRPr="005C2CEC">
        <w:rPr>
          <w:sz w:val="22"/>
        </w:rPr>
        <w:fldChar w:fldCharType="begin"/>
      </w:r>
      <w:r w:rsidRPr="005C2CEC">
        <w:rPr>
          <w:sz w:val="22"/>
        </w:rPr>
        <w:instrText xml:space="preserve"> SEQ Príloha \* ARABIC </w:instrText>
      </w:r>
      <w:r w:rsidRPr="005C2CEC">
        <w:rPr>
          <w:sz w:val="22"/>
        </w:rPr>
        <w:fldChar w:fldCharType="separate"/>
      </w:r>
      <w:r w:rsidR="000D2AF7">
        <w:rPr>
          <w:noProof/>
          <w:sz w:val="22"/>
        </w:rPr>
        <w:t>3</w:t>
      </w:r>
      <w:r w:rsidRPr="005C2CEC">
        <w:rPr>
          <w:sz w:val="22"/>
        </w:rPr>
        <w:fldChar w:fldCharType="end"/>
      </w:r>
      <w:bookmarkEnd w:id="189"/>
      <w:bookmarkEnd w:id="190"/>
      <w:r w:rsidRPr="005C2CEC">
        <w:rPr>
          <w:sz w:val="22"/>
        </w:rPr>
        <w:t xml:space="preserve"> Štandardný obsah štúdie uskutočniteľnosti</w:t>
      </w:r>
      <w:r w:rsidR="00FE1A72">
        <w:rPr>
          <w:sz w:val="22"/>
        </w:rPr>
        <w:t xml:space="preserve"> a povinné prílohy</w:t>
      </w:r>
    </w:p>
    <w:p w14:paraId="3BC34E2E" w14:textId="115C5711" w:rsidR="00F50C11" w:rsidRPr="005C2CEC" w:rsidRDefault="00FE1A72" w:rsidP="00F50C11">
      <w:r>
        <w:t>V nasledujúcich tabuľkách</w:t>
      </w:r>
      <w:r w:rsidR="00F50C11" w:rsidRPr="005C2CEC">
        <w:t xml:space="preserve"> je uvedených indikatívny obsah jednotlivých kapitol štúdie uskutočniteľnosti</w:t>
      </w:r>
      <w:r>
        <w:t xml:space="preserve"> a povinné prílohy</w:t>
      </w:r>
      <w:r w:rsidR="00F50C11" w:rsidRPr="005C2CEC">
        <w:t>.</w:t>
      </w:r>
    </w:p>
    <w:p w14:paraId="5AFCC924" w14:textId="3588365B" w:rsidR="00437FF9" w:rsidRPr="005C2CEC" w:rsidRDefault="00437FF9" w:rsidP="00437FF9">
      <w:pPr>
        <w:pStyle w:val="Popis"/>
      </w:pPr>
      <w:bookmarkStart w:id="191" w:name="_Toc83651119"/>
      <w:bookmarkEnd w:id="184"/>
      <w:bookmarkEnd w:id="185"/>
      <w:r w:rsidRPr="005C2CEC">
        <w:t xml:space="preserve">Tabuľka </w:t>
      </w:r>
      <w:r w:rsidR="004E6A45" w:rsidRPr="005C2CEC">
        <w:rPr>
          <w:noProof/>
        </w:rPr>
        <w:fldChar w:fldCharType="begin"/>
      </w:r>
      <w:r w:rsidR="004E6A45" w:rsidRPr="005C2CEC">
        <w:rPr>
          <w:noProof/>
        </w:rPr>
        <w:instrText xml:space="preserve"> SEQ Tabuľka \* ARABIC </w:instrText>
      </w:r>
      <w:r w:rsidR="004E6A45" w:rsidRPr="005C2CEC">
        <w:rPr>
          <w:noProof/>
        </w:rPr>
        <w:fldChar w:fldCharType="separate"/>
      </w:r>
      <w:r w:rsidR="003B5091">
        <w:rPr>
          <w:noProof/>
        </w:rPr>
        <w:t>15</w:t>
      </w:r>
      <w:r w:rsidR="004E6A45" w:rsidRPr="005C2CEC">
        <w:rPr>
          <w:noProof/>
        </w:rPr>
        <w:fldChar w:fldCharType="end"/>
      </w:r>
      <w:r w:rsidRPr="005C2CEC">
        <w:t>: Štandardný obsah štúdie uskutočniteľnosti</w:t>
      </w:r>
      <w:bookmarkEnd w:id="191"/>
    </w:p>
    <w:tbl>
      <w:tblPr>
        <w:tblStyle w:val="Tabukasozoznamom2zvraznenie1"/>
        <w:tblW w:w="0" w:type="auto"/>
        <w:tblLook w:val="06A0" w:firstRow="1" w:lastRow="0" w:firstColumn="1" w:lastColumn="0" w:noHBand="1" w:noVBand="1"/>
      </w:tblPr>
      <w:tblGrid>
        <w:gridCol w:w="2310"/>
        <w:gridCol w:w="6752"/>
      </w:tblGrid>
      <w:tr w:rsidR="00437FF9" w:rsidRPr="005C2CEC" w14:paraId="66EC6B28" w14:textId="77777777" w:rsidTr="00671AB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10" w:type="dxa"/>
            <w:tcBorders>
              <w:top w:val="single" w:sz="4" w:space="0" w:color="00B0F0"/>
              <w:bottom w:val="single" w:sz="4" w:space="0" w:color="00B0F0"/>
            </w:tcBorders>
            <w:noWrap/>
            <w:hideMark/>
          </w:tcPr>
          <w:p w14:paraId="1E9D4ED2" w14:textId="77777777" w:rsidR="00437FF9" w:rsidRPr="005C2CEC" w:rsidRDefault="00437FF9" w:rsidP="00146477">
            <w:pPr>
              <w:spacing w:after="120"/>
              <w:jc w:val="center"/>
              <w:rPr>
                <w:rFonts w:eastAsia="Times New Roman"/>
              </w:rPr>
            </w:pPr>
            <w:r w:rsidRPr="005C2CEC">
              <w:rPr>
                <w:rFonts w:eastAsia="Times New Roman"/>
              </w:rPr>
              <w:t>Kapitola štúdie</w:t>
            </w:r>
          </w:p>
        </w:tc>
        <w:tc>
          <w:tcPr>
            <w:tcW w:w="6752" w:type="dxa"/>
            <w:tcBorders>
              <w:top w:val="single" w:sz="4" w:space="0" w:color="00B0F0"/>
              <w:bottom w:val="single" w:sz="4" w:space="0" w:color="00B0F0"/>
            </w:tcBorders>
            <w:noWrap/>
            <w:hideMark/>
          </w:tcPr>
          <w:p w14:paraId="13E58357" w14:textId="51AF5A31" w:rsidR="00437FF9" w:rsidRPr="005C2CEC" w:rsidRDefault="00437FF9" w:rsidP="00146477">
            <w:pPr>
              <w:spacing w:after="120"/>
              <w:jc w:val="center"/>
              <w:cnfStyle w:val="100000000000" w:firstRow="1" w:lastRow="0" w:firstColumn="0" w:lastColumn="0" w:oddVBand="0" w:evenVBand="0" w:oddHBand="0" w:evenHBand="0" w:firstRowFirstColumn="0" w:firstRowLastColumn="0" w:lastRowFirstColumn="0" w:lastRowLastColumn="0"/>
              <w:rPr>
                <w:rFonts w:eastAsia="Times New Roman"/>
              </w:rPr>
            </w:pPr>
            <w:r w:rsidRPr="005C2CEC">
              <w:rPr>
                <w:rFonts w:eastAsia="Times New Roman"/>
              </w:rPr>
              <w:t>Indikatívny obsah kapitoly</w:t>
            </w:r>
          </w:p>
        </w:tc>
      </w:tr>
      <w:tr w:rsidR="00437FF9" w:rsidRPr="005C2CEC" w14:paraId="3B9AC677" w14:textId="77777777" w:rsidTr="00671AB7">
        <w:trPr>
          <w:trHeight w:val="300"/>
        </w:trPr>
        <w:tc>
          <w:tcPr>
            <w:cnfStyle w:val="001000000000" w:firstRow="0" w:lastRow="0" w:firstColumn="1" w:lastColumn="0" w:oddVBand="0" w:evenVBand="0" w:oddHBand="0" w:evenHBand="0" w:firstRowFirstColumn="0" w:firstRowLastColumn="0" w:lastRowFirstColumn="0" w:lastRowLastColumn="0"/>
            <w:tcW w:w="2310" w:type="dxa"/>
            <w:vMerge w:val="restart"/>
            <w:tcBorders>
              <w:top w:val="single" w:sz="4" w:space="0" w:color="00B0F0"/>
              <w:bottom w:val="dashed" w:sz="4" w:space="0" w:color="BFBFBF" w:themeColor="background1" w:themeShade="BF"/>
            </w:tcBorders>
            <w:noWrap/>
            <w:hideMark/>
          </w:tcPr>
          <w:p w14:paraId="16D7D379" w14:textId="77777777" w:rsidR="00437FF9" w:rsidRPr="005C2CEC" w:rsidRDefault="00437FF9" w:rsidP="00437FF9">
            <w:pPr>
              <w:spacing w:after="120"/>
              <w:jc w:val="left"/>
              <w:rPr>
                <w:rFonts w:eastAsia="Times New Roman"/>
              </w:rPr>
            </w:pPr>
            <w:r w:rsidRPr="005C2CEC">
              <w:rPr>
                <w:rFonts w:eastAsia="Times New Roman"/>
              </w:rPr>
              <w:t>Zdôvodnenie investície</w:t>
            </w:r>
          </w:p>
        </w:tc>
        <w:tc>
          <w:tcPr>
            <w:tcW w:w="6752" w:type="dxa"/>
            <w:tcBorders>
              <w:top w:val="single" w:sz="4" w:space="0" w:color="00B0F0"/>
              <w:bottom w:val="dashed" w:sz="4" w:space="0" w:color="BFBFBF" w:themeColor="background1" w:themeShade="BF"/>
            </w:tcBorders>
            <w:noWrap/>
            <w:hideMark/>
          </w:tcPr>
          <w:p w14:paraId="70D878AF" w14:textId="77777777" w:rsidR="00437FF9" w:rsidRPr="005C2CEC" w:rsidRDefault="00437FF9" w:rsidP="00437FF9">
            <w:pPr>
              <w:spacing w:after="120"/>
              <w:jc w:val="left"/>
              <w:cnfStyle w:val="000000000000" w:firstRow="0" w:lastRow="0" w:firstColumn="0" w:lastColumn="0" w:oddVBand="0" w:evenVBand="0" w:oddHBand="0" w:evenHBand="0" w:firstRowFirstColumn="0" w:firstRowLastColumn="0" w:lastRowFirstColumn="0" w:lastRowLastColumn="0"/>
              <w:rPr>
                <w:rFonts w:eastAsia="Times New Roman"/>
              </w:rPr>
            </w:pPr>
            <w:r w:rsidRPr="005C2CEC">
              <w:rPr>
                <w:rFonts w:eastAsia="Times New Roman"/>
              </w:rPr>
              <w:t>Cieľ projektu</w:t>
            </w:r>
          </w:p>
        </w:tc>
      </w:tr>
      <w:tr w:rsidR="00437FF9" w:rsidRPr="005C2CEC" w14:paraId="3D187DDF" w14:textId="77777777" w:rsidTr="00146477">
        <w:trPr>
          <w:trHeight w:val="300"/>
        </w:trPr>
        <w:tc>
          <w:tcPr>
            <w:cnfStyle w:val="001000000000" w:firstRow="0" w:lastRow="0" w:firstColumn="1" w:lastColumn="0" w:oddVBand="0" w:evenVBand="0" w:oddHBand="0" w:evenHBand="0" w:firstRowFirstColumn="0" w:firstRowLastColumn="0" w:lastRowFirstColumn="0" w:lastRowLastColumn="0"/>
            <w:tcW w:w="2310" w:type="dxa"/>
            <w:vMerge/>
            <w:tcBorders>
              <w:top w:val="dashed" w:sz="4" w:space="0" w:color="BFBFBF" w:themeColor="background1" w:themeShade="BF"/>
              <w:bottom w:val="dashed" w:sz="4" w:space="0" w:color="BFBFBF" w:themeColor="background1" w:themeShade="BF"/>
            </w:tcBorders>
            <w:noWrap/>
            <w:hideMark/>
          </w:tcPr>
          <w:p w14:paraId="3BBC847E" w14:textId="77777777" w:rsidR="00437FF9" w:rsidRPr="005C2CEC" w:rsidRDefault="00437FF9" w:rsidP="00437FF9">
            <w:pPr>
              <w:spacing w:after="120"/>
              <w:jc w:val="left"/>
              <w:rPr>
                <w:rFonts w:eastAsia="Times New Roman"/>
              </w:rPr>
            </w:pPr>
          </w:p>
        </w:tc>
        <w:tc>
          <w:tcPr>
            <w:tcW w:w="6752" w:type="dxa"/>
            <w:tcBorders>
              <w:top w:val="dashed" w:sz="4" w:space="0" w:color="BFBFBF" w:themeColor="background1" w:themeShade="BF"/>
              <w:bottom w:val="dashed" w:sz="4" w:space="0" w:color="BFBFBF" w:themeColor="background1" w:themeShade="BF"/>
            </w:tcBorders>
            <w:noWrap/>
            <w:hideMark/>
          </w:tcPr>
          <w:p w14:paraId="4A33B7A1" w14:textId="77777777" w:rsidR="00437FF9" w:rsidRPr="005C2CEC" w:rsidRDefault="00437FF9" w:rsidP="00437FF9">
            <w:pPr>
              <w:spacing w:after="120"/>
              <w:jc w:val="left"/>
              <w:cnfStyle w:val="000000000000" w:firstRow="0" w:lastRow="0" w:firstColumn="0" w:lastColumn="0" w:oddVBand="0" w:evenVBand="0" w:oddHBand="0" w:evenHBand="0" w:firstRowFirstColumn="0" w:firstRowLastColumn="0" w:lastRowFirstColumn="0" w:lastRowLastColumn="0"/>
              <w:rPr>
                <w:rFonts w:eastAsia="Times New Roman"/>
              </w:rPr>
            </w:pPr>
            <w:r w:rsidRPr="005C2CEC">
              <w:rPr>
                <w:rFonts w:eastAsia="Times New Roman"/>
              </w:rPr>
              <w:t>Kontext riešenej oblasti</w:t>
            </w:r>
          </w:p>
        </w:tc>
      </w:tr>
      <w:tr w:rsidR="00437FF9" w:rsidRPr="005C2CEC" w14:paraId="3F88DD6E" w14:textId="77777777" w:rsidTr="00146477">
        <w:trPr>
          <w:trHeight w:val="300"/>
        </w:trPr>
        <w:tc>
          <w:tcPr>
            <w:cnfStyle w:val="001000000000" w:firstRow="0" w:lastRow="0" w:firstColumn="1" w:lastColumn="0" w:oddVBand="0" w:evenVBand="0" w:oddHBand="0" w:evenHBand="0" w:firstRowFirstColumn="0" w:firstRowLastColumn="0" w:lastRowFirstColumn="0" w:lastRowLastColumn="0"/>
            <w:tcW w:w="2310" w:type="dxa"/>
            <w:vMerge/>
            <w:tcBorders>
              <w:top w:val="dashed" w:sz="4" w:space="0" w:color="BFBFBF" w:themeColor="background1" w:themeShade="BF"/>
              <w:bottom w:val="dashed" w:sz="4" w:space="0" w:color="BFBFBF" w:themeColor="background1" w:themeShade="BF"/>
            </w:tcBorders>
            <w:noWrap/>
            <w:hideMark/>
          </w:tcPr>
          <w:p w14:paraId="6FA19A71" w14:textId="77777777" w:rsidR="00437FF9" w:rsidRPr="005C2CEC" w:rsidRDefault="00437FF9" w:rsidP="00437FF9">
            <w:pPr>
              <w:spacing w:after="120"/>
              <w:jc w:val="left"/>
              <w:rPr>
                <w:rFonts w:eastAsia="Times New Roman"/>
              </w:rPr>
            </w:pPr>
          </w:p>
        </w:tc>
        <w:tc>
          <w:tcPr>
            <w:tcW w:w="6752" w:type="dxa"/>
            <w:tcBorders>
              <w:top w:val="dashed" w:sz="4" w:space="0" w:color="BFBFBF" w:themeColor="background1" w:themeShade="BF"/>
              <w:bottom w:val="dashed" w:sz="4" w:space="0" w:color="BFBFBF" w:themeColor="background1" w:themeShade="BF"/>
            </w:tcBorders>
            <w:noWrap/>
            <w:hideMark/>
          </w:tcPr>
          <w:p w14:paraId="25AED75D" w14:textId="77777777" w:rsidR="00437FF9" w:rsidRPr="005C2CEC" w:rsidRDefault="00437FF9" w:rsidP="00437FF9">
            <w:pPr>
              <w:spacing w:after="120"/>
              <w:jc w:val="left"/>
              <w:cnfStyle w:val="000000000000" w:firstRow="0" w:lastRow="0" w:firstColumn="0" w:lastColumn="0" w:oddVBand="0" w:evenVBand="0" w:oddHBand="0" w:evenHBand="0" w:firstRowFirstColumn="0" w:firstRowLastColumn="0" w:lastRowFirstColumn="0" w:lastRowLastColumn="0"/>
              <w:rPr>
                <w:rFonts w:eastAsia="Times New Roman"/>
              </w:rPr>
            </w:pPr>
            <w:r w:rsidRPr="005C2CEC">
              <w:rPr>
                <w:rFonts w:eastAsia="Times New Roman"/>
              </w:rPr>
              <w:t>Naviazanie na strategické ciele</w:t>
            </w:r>
          </w:p>
        </w:tc>
      </w:tr>
      <w:tr w:rsidR="00437FF9" w:rsidRPr="005C2CEC" w14:paraId="39B89F43" w14:textId="77777777" w:rsidTr="00146477">
        <w:trPr>
          <w:trHeight w:val="300"/>
        </w:trPr>
        <w:tc>
          <w:tcPr>
            <w:cnfStyle w:val="001000000000" w:firstRow="0" w:lastRow="0" w:firstColumn="1" w:lastColumn="0" w:oddVBand="0" w:evenVBand="0" w:oddHBand="0" w:evenHBand="0" w:firstRowFirstColumn="0" w:firstRowLastColumn="0" w:lastRowFirstColumn="0" w:lastRowLastColumn="0"/>
            <w:tcW w:w="2310" w:type="dxa"/>
            <w:vMerge/>
            <w:tcBorders>
              <w:top w:val="dashed" w:sz="4" w:space="0" w:color="BFBFBF" w:themeColor="background1" w:themeShade="BF"/>
              <w:bottom w:val="dashed" w:sz="4" w:space="0" w:color="BFBFBF" w:themeColor="background1" w:themeShade="BF"/>
            </w:tcBorders>
            <w:noWrap/>
            <w:hideMark/>
          </w:tcPr>
          <w:p w14:paraId="00A3AC37" w14:textId="77777777" w:rsidR="00437FF9" w:rsidRPr="005C2CEC" w:rsidRDefault="00437FF9" w:rsidP="00437FF9">
            <w:pPr>
              <w:spacing w:after="120"/>
              <w:jc w:val="left"/>
              <w:rPr>
                <w:rFonts w:eastAsia="Times New Roman"/>
              </w:rPr>
            </w:pPr>
          </w:p>
        </w:tc>
        <w:tc>
          <w:tcPr>
            <w:tcW w:w="6752" w:type="dxa"/>
            <w:tcBorders>
              <w:top w:val="dashed" w:sz="4" w:space="0" w:color="BFBFBF" w:themeColor="background1" w:themeShade="BF"/>
              <w:bottom w:val="dashed" w:sz="4" w:space="0" w:color="BFBFBF" w:themeColor="background1" w:themeShade="BF"/>
            </w:tcBorders>
            <w:noWrap/>
            <w:hideMark/>
          </w:tcPr>
          <w:p w14:paraId="221278FF" w14:textId="77777777" w:rsidR="00437FF9" w:rsidRPr="005C2CEC" w:rsidRDefault="00437FF9" w:rsidP="00437FF9">
            <w:pPr>
              <w:spacing w:after="120"/>
              <w:jc w:val="left"/>
              <w:cnfStyle w:val="000000000000" w:firstRow="0" w:lastRow="0" w:firstColumn="0" w:lastColumn="0" w:oddVBand="0" w:evenVBand="0" w:oddHBand="0" w:evenHBand="0" w:firstRowFirstColumn="0" w:firstRowLastColumn="0" w:lastRowFirstColumn="0" w:lastRowLastColumn="0"/>
              <w:rPr>
                <w:rFonts w:eastAsia="Times New Roman"/>
              </w:rPr>
            </w:pPr>
            <w:r w:rsidRPr="005C2CEC">
              <w:rPr>
                <w:rFonts w:eastAsia="Times New Roman"/>
              </w:rPr>
              <w:t>Zhrnutie jednotlivých variantov</w:t>
            </w:r>
          </w:p>
        </w:tc>
      </w:tr>
      <w:tr w:rsidR="00437FF9" w:rsidRPr="005C2CEC" w14:paraId="58853B58" w14:textId="77777777" w:rsidTr="00146477">
        <w:trPr>
          <w:trHeight w:val="300"/>
        </w:trPr>
        <w:tc>
          <w:tcPr>
            <w:cnfStyle w:val="001000000000" w:firstRow="0" w:lastRow="0" w:firstColumn="1" w:lastColumn="0" w:oddVBand="0" w:evenVBand="0" w:oddHBand="0" w:evenHBand="0" w:firstRowFirstColumn="0" w:firstRowLastColumn="0" w:lastRowFirstColumn="0" w:lastRowLastColumn="0"/>
            <w:tcW w:w="2310" w:type="dxa"/>
            <w:vMerge w:val="restart"/>
            <w:tcBorders>
              <w:top w:val="dashed" w:sz="4" w:space="0" w:color="BFBFBF" w:themeColor="background1" w:themeShade="BF"/>
              <w:bottom w:val="dashed" w:sz="4" w:space="0" w:color="BFBFBF" w:themeColor="background1" w:themeShade="BF"/>
            </w:tcBorders>
            <w:noWrap/>
            <w:hideMark/>
          </w:tcPr>
          <w:p w14:paraId="7AC29D66" w14:textId="77777777" w:rsidR="00437FF9" w:rsidRPr="005C2CEC" w:rsidRDefault="00437FF9" w:rsidP="00437FF9">
            <w:pPr>
              <w:spacing w:after="120"/>
              <w:jc w:val="left"/>
              <w:rPr>
                <w:rFonts w:eastAsia="Times New Roman"/>
              </w:rPr>
            </w:pPr>
            <w:r w:rsidRPr="005C2CEC">
              <w:rPr>
                <w:rFonts w:eastAsia="Times New Roman"/>
              </w:rPr>
              <w:t>Analýza dopytu a ponuky</w:t>
            </w:r>
          </w:p>
        </w:tc>
        <w:tc>
          <w:tcPr>
            <w:tcW w:w="6752" w:type="dxa"/>
            <w:tcBorders>
              <w:top w:val="dashed" w:sz="4" w:space="0" w:color="BFBFBF" w:themeColor="background1" w:themeShade="BF"/>
              <w:bottom w:val="dashed" w:sz="4" w:space="0" w:color="BFBFBF" w:themeColor="background1" w:themeShade="BF"/>
            </w:tcBorders>
            <w:noWrap/>
            <w:hideMark/>
          </w:tcPr>
          <w:p w14:paraId="171D424D" w14:textId="77777777" w:rsidR="00437FF9" w:rsidRPr="005C2CEC" w:rsidRDefault="00437FF9" w:rsidP="00437FF9">
            <w:pPr>
              <w:spacing w:after="120"/>
              <w:jc w:val="left"/>
              <w:cnfStyle w:val="000000000000" w:firstRow="0" w:lastRow="0" w:firstColumn="0" w:lastColumn="0" w:oddVBand="0" w:evenVBand="0" w:oddHBand="0" w:evenHBand="0" w:firstRowFirstColumn="0" w:firstRowLastColumn="0" w:lastRowFirstColumn="0" w:lastRowLastColumn="0"/>
              <w:rPr>
                <w:rFonts w:eastAsia="Times New Roman"/>
              </w:rPr>
            </w:pPr>
            <w:r w:rsidRPr="005C2CEC">
              <w:rPr>
                <w:rFonts w:eastAsia="Times New Roman"/>
              </w:rPr>
              <w:t>Opis súčasného stavu na trhu</w:t>
            </w:r>
          </w:p>
        </w:tc>
      </w:tr>
      <w:tr w:rsidR="00437FF9" w:rsidRPr="005C2CEC" w14:paraId="67627363" w14:textId="77777777" w:rsidTr="00146477">
        <w:trPr>
          <w:trHeight w:val="300"/>
        </w:trPr>
        <w:tc>
          <w:tcPr>
            <w:cnfStyle w:val="001000000000" w:firstRow="0" w:lastRow="0" w:firstColumn="1" w:lastColumn="0" w:oddVBand="0" w:evenVBand="0" w:oddHBand="0" w:evenHBand="0" w:firstRowFirstColumn="0" w:firstRowLastColumn="0" w:lastRowFirstColumn="0" w:lastRowLastColumn="0"/>
            <w:tcW w:w="2310" w:type="dxa"/>
            <w:vMerge/>
            <w:tcBorders>
              <w:top w:val="dashed" w:sz="4" w:space="0" w:color="BFBFBF" w:themeColor="background1" w:themeShade="BF"/>
              <w:bottom w:val="dashed" w:sz="4" w:space="0" w:color="BFBFBF" w:themeColor="background1" w:themeShade="BF"/>
            </w:tcBorders>
            <w:noWrap/>
            <w:hideMark/>
          </w:tcPr>
          <w:p w14:paraId="0A4281BA" w14:textId="77777777" w:rsidR="00437FF9" w:rsidRPr="005C2CEC" w:rsidRDefault="00437FF9" w:rsidP="00437FF9">
            <w:pPr>
              <w:spacing w:after="120"/>
              <w:jc w:val="left"/>
              <w:rPr>
                <w:rFonts w:eastAsia="Times New Roman"/>
              </w:rPr>
            </w:pPr>
          </w:p>
        </w:tc>
        <w:tc>
          <w:tcPr>
            <w:tcW w:w="6752" w:type="dxa"/>
            <w:tcBorders>
              <w:top w:val="dashed" w:sz="4" w:space="0" w:color="BFBFBF" w:themeColor="background1" w:themeShade="BF"/>
              <w:bottom w:val="dashed" w:sz="4" w:space="0" w:color="BFBFBF" w:themeColor="background1" w:themeShade="BF"/>
            </w:tcBorders>
            <w:noWrap/>
            <w:hideMark/>
          </w:tcPr>
          <w:p w14:paraId="34777F7B" w14:textId="77777777" w:rsidR="00437FF9" w:rsidRPr="005C2CEC" w:rsidRDefault="00437FF9" w:rsidP="00437FF9">
            <w:pPr>
              <w:spacing w:after="120"/>
              <w:jc w:val="left"/>
              <w:cnfStyle w:val="000000000000" w:firstRow="0" w:lastRow="0" w:firstColumn="0" w:lastColumn="0" w:oddVBand="0" w:evenVBand="0" w:oddHBand="0" w:evenHBand="0" w:firstRowFirstColumn="0" w:firstRowLastColumn="0" w:lastRowFirstColumn="0" w:lastRowLastColumn="0"/>
              <w:rPr>
                <w:rFonts w:eastAsia="Times New Roman"/>
              </w:rPr>
            </w:pPr>
            <w:r w:rsidRPr="005C2CEC">
              <w:rPr>
                <w:rFonts w:eastAsia="Times New Roman"/>
              </w:rPr>
              <w:t>Konkurencia na trhu</w:t>
            </w:r>
          </w:p>
        </w:tc>
      </w:tr>
      <w:tr w:rsidR="00437FF9" w:rsidRPr="005C2CEC" w14:paraId="00D8EA83" w14:textId="77777777" w:rsidTr="00146477">
        <w:trPr>
          <w:trHeight w:val="300"/>
        </w:trPr>
        <w:tc>
          <w:tcPr>
            <w:cnfStyle w:val="001000000000" w:firstRow="0" w:lastRow="0" w:firstColumn="1" w:lastColumn="0" w:oddVBand="0" w:evenVBand="0" w:oddHBand="0" w:evenHBand="0" w:firstRowFirstColumn="0" w:firstRowLastColumn="0" w:lastRowFirstColumn="0" w:lastRowLastColumn="0"/>
            <w:tcW w:w="2310" w:type="dxa"/>
            <w:vMerge/>
            <w:tcBorders>
              <w:top w:val="dashed" w:sz="4" w:space="0" w:color="BFBFBF" w:themeColor="background1" w:themeShade="BF"/>
              <w:bottom w:val="dashed" w:sz="4" w:space="0" w:color="BFBFBF" w:themeColor="background1" w:themeShade="BF"/>
            </w:tcBorders>
            <w:noWrap/>
            <w:hideMark/>
          </w:tcPr>
          <w:p w14:paraId="46F197C6" w14:textId="77777777" w:rsidR="00437FF9" w:rsidRPr="005C2CEC" w:rsidRDefault="00437FF9" w:rsidP="00437FF9">
            <w:pPr>
              <w:spacing w:after="120"/>
              <w:jc w:val="left"/>
              <w:rPr>
                <w:rFonts w:eastAsia="Times New Roman"/>
              </w:rPr>
            </w:pPr>
          </w:p>
        </w:tc>
        <w:tc>
          <w:tcPr>
            <w:tcW w:w="6752" w:type="dxa"/>
            <w:tcBorders>
              <w:top w:val="dashed" w:sz="4" w:space="0" w:color="BFBFBF" w:themeColor="background1" w:themeShade="BF"/>
              <w:bottom w:val="dashed" w:sz="4" w:space="0" w:color="BFBFBF" w:themeColor="background1" w:themeShade="BF"/>
            </w:tcBorders>
            <w:noWrap/>
            <w:hideMark/>
          </w:tcPr>
          <w:p w14:paraId="3D58559B" w14:textId="77777777" w:rsidR="00437FF9" w:rsidRPr="005C2CEC" w:rsidRDefault="00437FF9" w:rsidP="00437FF9">
            <w:pPr>
              <w:spacing w:after="120"/>
              <w:jc w:val="left"/>
              <w:cnfStyle w:val="000000000000" w:firstRow="0" w:lastRow="0" w:firstColumn="0" w:lastColumn="0" w:oddVBand="0" w:evenVBand="0" w:oddHBand="0" w:evenHBand="0" w:firstRowFirstColumn="0" w:firstRowLastColumn="0" w:lastRowFirstColumn="0" w:lastRowLastColumn="0"/>
              <w:rPr>
                <w:rFonts w:eastAsia="Times New Roman"/>
              </w:rPr>
            </w:pPr>
            <w:r w:rsidRPr="005C2CEC">
              <w:rPr>
                <w:rFonts w:eastAsia="Times New Roman"/>
              </w:rPr>
              <w:t>Dopyt po výstupe projektu</w:t>
            </w:r>
          </w:p>
        </w:tc>
      </w:tr>
      <w:tr w:rsidR="00437FF9" w:rsidRPr="005C2CEC" w14:paraId="5BED440D" w14:textId="77777777" w:rsidTr="00146477">
        <w:trPr>
          <w:trHeight w:val="300"/>
        </w:trPr>
        <w:tc>
          <w:tcPr>
            <w:cnfStyle w:val="001000000000" w:firstRow="0" w:lastRow="0" w:firstColumn="1" w:lastColumn="0" w:oddVBand="0" w:evenVBand="0" w:oddHBand="0" w:evenHBand="0" w:firstRowFirstColumn="0" w:firstRowLastColumn="0" w:lastRowFirstColumn="0" w:lastRowLastColumn="0"/>
            <w:tcW w:w="2310" w:type="dxa"/>
            <w:vMerge w:val="restart"/>
            <w:tcBorders>
              <w:top w:val="dashed" w:sz="4" w:space="0" w:color="BFBFBF" w:themeColor="background1" w:themeShade="BF"/>
              <w:bottom w:val="dashed" w:sz="4" w:space="0" w:color="BFBFBF" w:themeColor="background1" w:themeShade="BF"/>
            </w:tcBorders>
            <w:noWrap/>
            <w:hideMark/>
          </w:tcPr>
          <w:p w14:paraId="1CA956D8" w14:textId="77777777" w:rsidR="00437FF9" w:rsidRPr="005C2CEC" w:rsidRDefault="00437FF9" w:rsidP="00437FF9">
            <w:pPr>
              <w:spacing w:after="120"/>
              <w:jc w:val="left"/>
              <w:rPr>
                <w:rFonts w:eastAsia="Times New Roman"/>
              </w:rPr>
            </w:pPr>
            <w:r w:rsidRPr="005C2CEC">
              <w:rPr>
                <w:rFonts w:eastAsia="Times New Roman"/>
              </w:rPr>
              <w:t>Technické podklady</w:t>
            </w:r>
          </w:p>
        </w:tc>
        <w:tc>
          <w:tcPr>
            <w:tcW w:w="6752" w:type="dxa"/>
            <w:tcBorders>
              <w:top w:val="dashed" w:sz="4" w:space="0" w:color="BFBFBF" w:themeColor="background1" w:themeShade="BF"/>
              <w:bottom w:val="dashed" w:sz="4" w:space="0" w:color="BFBFBF" w:themeColor="background1" w:themeShade="BF"/>
            </w:tcBorders>
            <w:noWrap/>
            <w:hideMark/>
          </w:tcPr>
          <w:p w14:paraId="2775593D" w14:textId="52D2AA93" w:rsidR="00437FF9" w:rsidRPr="005C2CEC" w:rsidRDefault="006846C5" w:rsidP="00437FF9">
            <w:pPr>
              <w:spacing w:after="120"/>
              <w:jc w:val="left"/>
              <w:cnfStyle w:val="000000000000" w:firstRow="0" w:lastRow="0" w:firstColumn="0" w:lastColumn="0" w:oddVBand="0" w:evenVBand="0" w:oddHBand="0" w:evenHBand="0" w:firstRowFirstColumn="0" w:firstRowLastColumn="0" w:lastRowFirstColumn="0" w:lastRowLastColumn="0"/>
              <w:rPr>
                <w:rFonts w:eastAsia="Times New Roman"/>
              </w:rPr>
            </w:pPr>
            <w:r w:rsidRPr="005C2CEC">
              <w:rPr>
                <w:rFonts w:eastAsia="Times New Roman"/>
              </w:rPr>
              <w:t>Prieskumy a podklady o území</w:t>
            </w:r>
          </w:p>
        </w:tc>
      </w:tr>
      <w:tr w:rsidR="00437FF9" w:rsidRPr="005C2CEC" w14:paraId="21B0CA16" w14:textId="77777777" w:rsidTr="00146477">
        <w:trPr>
          <w:trHeight w:val="300"/>
        </w:trPr>
        <w:tc>
          <w:tcPr>
            <w:cnfStyle w:val="001000000000" w:firstRow="0" w:lastRow="0" w:firstColumn="1" w:lastColumn="0" w:oddVBand="0" w:evenVBand="0" w:oddHBand="0" w:evenHBand="0" w:firstRowFirstColumn="0" w:firstRowLastColumn="0" w:lastRowFirstColumn="0" w:lastRowLastColumn="0"/>
            <w:tcW w:w="2310" w:type="dxa"/>
            <w:vMerge/>
            <w:tcBorders>
              <w:top w:val="dashed" w:sz="4" w:space="0" w:color="BFBFBF" w:themeColor="background1" w:themeShade="BF"/>
              <w:bottom w:val="dashed" w:sz="4" w:space="0" w:color="BFBFBF" w:themeColor="background1" w:themeShade="BF"/>
            </w:tcBorders>
            <w:noWrap/>
            <w:hideMark/>
          </w:tcPr>
          <w:p w14:paraId="38588279" w14:textId="77777777" w:rsidR="00437FF9" w:rsidRPr="005C2CEC" w:rsidRDefault="00437FF9" w:rsidP="00437FF9">
            <w:pPr>
              <w:spacing w:after="120"/>
              <w:jc w:val="left"/>
              <w:rPr>
                <w:rFonts w:eastAsia="Times New Roman"/>
              </w:rPr>
            </w:pPr>
          </w:p>
        </w:tc>
        <w:tc>
          <w:tcPr>
            <w:tcW w:w="6752" w:type="dxa"/>
            <w:tcBorders>
              <w:top w:val="dashed" w:sz="4" w:space="0" w:color="BFBFBF" w:themeColor="background1" w:themeShade="BF"/>
              <w:bottom w:val="dashed" w:sz="4" w:space="0" w:color="BFBFBF" w:themeColor="background1" w:themeShade="BF"/>
            </w:tcBorders>
            <w:noWrap/>
            <w:hideMark/>
          </w:tcPr>
          <w:p w14:paraId="369232BA" w14:textId="77777777" w:rsidR="00437FF9" w:rsidRPr="005C2CEC" w:rsidRDefault="00437FF9" w:rsidP="00437FF9">
            <w:pPr>
              <w:spacing w:after="120"/>
              <w:jc w:val="left"/>
              <w:cnfStyle w:val="000000000000" w:firstRow="0" w:lastRow="0" w:firstColumn="0" w:lastColumn="0" w:oddVBand="0" w:evenVBand="0" w:oddHBand="0" w:evenHBand="0" w:firstRowFirstColumn="0" w:firstRowLastColumn="0" w:lastRowFirstColumn="0" w:lastRowLastColumn="0"/>
              <w:rPr>
                <w:rFonts w:eastAsia="Times New Roman"/>
              </w:rPr>
            </w:pPr>
            <w:r w:rsidRPr="005C2CEC">
              <w:rPr>
                <w:rFonts w:eastAsia="Times New Roman"/>
              </w:rPr>
              <w:t>Technické podklady pre jednotlivé varianty</w:t>
            </w:r>
          </w:p>
        </w:tc>
      </w:tr>
      <w:tr w:rsidR="00437FF9" w:rsidRPr="005C2CEC" w14:paraId="3114D01E" w14:textId="77777777" w:rsidTr="00146477">
        <w:trPr>
          <w:trHeight w:val="300"/>
        </w:trPr>
        <w:tc>
          <w:tcPr>
            <w:cnfStyle w:val="001000000000" w:firstRow="0" w:lastRow="0" w:firstColumn="1" w:lastColumn="0" w:oddVBand="0" w:evenVBand="0" w:oddHBand="0" w:evenHBand="0" w:firstRowFirstColumn="0" w:firstRowLastColumn="0" w:lastRowFirstColumn="0" w:lastRowLastColumn="0"/>
            <w:tcW w:w="2310" w:type="dxa"/>
            <w:vMerge/>
            <w:tcBorders>
              <w:top w:val="dashed" w:sz="4" w:space="0" w:color="BFBFBF" w:themeColor="background1" w:themeShade="BF"/>
              <w:bottom w:val="dashed" w:sz="4" w:space="0" w:color="BFBFBF" w:themeColor="background1" w:themeShade="BF"/>
            </w:tcBorders>
            <w:noWrap/>
            <w:hideMark/>
          </w:tcPr>
          <w:p w14:paraId="16457088" w14:textId="77777777" w:rsidR="00437FF9" w:rsidRPr="005C2CEC" w:rsidRDefault="00437FF9" w:rsidP="00437FF9">
            <w:pPr>
              <w:spacing w:after="120"/>
              <w:jc w:val="left"/>
              <w:rPr>
                <w:rFonts w:eastAsia="Times New Roman"/>
              </w:rPr>
            </w:pPr>
          </w:p>
        </w:tc>
        <w:tc>
          <w:tcPr>
            <w:tcW w:w="6752" w:type="dxa"/>
            <w:tcBorders>
              <w:top w:val="dashed" w:sz="4" w:space="0" w:color="BFBFBF" w:themeColor="background1" w:themeShade="BF"/>
              <w:bottom w:val="dashed" w:sz="4" w:space="0" w:color="BFBFBF" w:themeColor="background1" w:themeShade="BF"/>
            </w:tcBorders>
            <w:noWrap/>
            <w:hideMark/>
          </w:tcPr>
          <w:p w14:paraId="00FAD046" w14:textId="77777777" w:rsidR="00437FF9" w:rsidRPr="00B7508E" w:rsidRDefault="00437FF9" w:rsidP="00437FF9">
            <w:pPr>
              <w:spacing w:after="120"/>
              <w:jc w:val="left"/>
              <w:cnfStyle w:val="000000000000" w:firstRow="0" w:lastRow="0" w:firstColumn="0" w:lastColumn="0" w:oddVBand="0" w:evenVBand="0" w:oddHBand="0" w:evenHBand="0" w:firstRowFirstColumn="0" w:firstRowLastColumn="0" w:lastRowFirstColumn="0" w:lastRowLastColumn="0"/>
              <w:rPr>
                <w:rFonts w:eastAsia="Times New Roman"/>
                <w:lang w:val="en-GB"/>
              </w:rPr>
            </w:pPr>
            <w:r w:rsidRPr="005C2CEC">
              <w:rPr>
                <w:rFonts w:eastAsia="Times New Roman"/>
              </w:rPr>
              <w:t xml:space="preserve">Dostupná technológia </w:t>
            </w:r>
          </w:p>
        </w:tc>
      </w:tr>
      <w:tr w:rsidR="00437FF9" w:rsidRPr="005C2CEC" w14:paraId="00BF1572" w14:textId="77777777" w:rsidTr="00146477">
        <w:trPr>
          <w:trHeight w:val="300"/>
        </w:trPr>
        <w:tc>
          <w:tcPr>
            <w:cnfStyle w:val="001000000000" w:firstRow="0" w:lastRow="0" w:firstColumn="1" w:lastColumn="0" w:oddVBand="0" w:evenVBand="0" w:oddHBand="0" w:evenHBand="0" w:firstRowFirstColumn="0" w:firstRowLastColumn="0" w:lastRowFirstColumn="0" w:lastRowLastColumn="0"/>
            <w:tcW w:w="2310" w:type="dxa"/>
            <w:vMerge w:val="restart"/>
            <w:tcBorders>
              <w:top w:val="dashed" w:sz="4" w:space="0" w:color="BFBFBF" w:themeColor="background1" w:themeShade="BF"/>
              <w:bottom w:val="dashed" w:sz="4" w:space="0" w:color="BFBFBF" w:themeColor="background1" w:themeShade="BF"/>
            </w:tcBorders>
            <w:noWrap/>
            <w:hideMark/>
          </w:tcPr>
          <w:p w14:paraId="0680DBB4" w14:textId="77777777" w:rsidR="00437FF9" w:rsidRPr="005C2CEC" w:rsidRDefault="00437FF9" w:rsidP="00437FF9">
            <w:pPr>
              <w:spacing w:after="120"/>
              <w:jc w:val="left"/>
              <w:rPr>
                <w:rFonts w:eastAsia="Times New Roman"/>
              </w:rPr>
            </w:pPr>
            <w:r w:rsidRPr="005C2CEC">
              <w:rPr>
                <w:rFonts w:eastAsia="Times New Roman"/>
              </w:rPr>
              <w:t>Opis a analýza alternatív</w:t>
            </w:r>
          </w:p>
        </w:tc>
        <w:tc>
          <w:tcPr>
            <w:tcW w:w="6752" w:type="dxa"/>
            <w:tcBorders>
              <w:top w:val="dashed" w:sz="4" w:space="0" w:color="BFBFBF" w:themeColor="background1" w:themeShade="BF"/>
              <w:bottom w:val="dashed" w:sz="4" w:space="0" w:color="BFBFBF" w:themeColor="background1" w:themeShade="BF"/>
            </w:tcBorders>
            <w:noWrap/>
            <w:hideMark/>
          </w:tcPr>
          <w:p w14:paraId="18794E57" w14:textId="77777777" w:rsidR="00437FF9" w:rsidRPr="005C2CEC" w:rsidRDefault="00437FF9" w:rsidP="00437FF9">
            <w:pPr>
              <w:spacing w:after="120"/>
              <w:jc w:val="left"/>
              <w:cnfStyle w:val="000000000000" w:firstRow="0" w:lastRow="0" w:firstColumn="0" w:lastColumn="0" w:oddVBand="0" w:evenVBand="0" w:oddHBand="0" w:evenHBand="0" w:firstRowFirstColumn="0" w:firstRowLastColumn="0" w:lastRowFirstColumn="0" w:lastRowLastColumn="0"/>
              <w:rPr>
                <w:rFonts w:eastAsia="Times New Roman"/>
              </w:rPr>
            </w:pPr>
            <w:r w:rsidRPr="005C2CEC">
              <w:rPr>
                <w:rFonts w:eastAsia="Times New Roman"/>
              </w:rPr>
              <w:t>Výber a popis variantov riešenia</w:t>
            </w:r>
          </w:p>
        </w:tc>
      </w:tr>
      <w:tr w:rsidR="00437FF9" w:rsidRPr="005C2CEC" w14:paraId="7F03ECE5" w14:textId="77777777" w:rsidTr="00146477">
        <w:trPr>
          <w:trHeight w:val="300"/>
        </w:trPr>
        <w:tc>
          <w:tcPr>
            <w:cnfStyle w:val="001000000000" w:firstRow="0" w:lastRow="0" w:firstColumn="1" w:lastColumn="0" w:oddVBand="0" w:evenVBand="0" w:oddHBand="0" w:evenHBand="0" w:firstRowFirstColumn="0" w:firstRowLastColumn="0" w:lastRowFirstColumn="0" w:lastRowLastColumn="0"/>
            <w:tcW w:w="2310" w:type="dxa"/>
            <w:vMerge/>
            <w:tcBorders>
              <w:top w:val="dashed" w:sz="4" w:space="0" w:color="BFBFBF" w:themeColor="background1" w:themeShade="BF"/>
              <w:bottom w:val="dashed" w:sz="4" w:space="0" w:color="BFBFBF" w:themeColor="background1" w:themeShade="BF"/>
            </w:tcBorders>
            <w:noWrap/>
            <w:hideMark/>
          </w:tcPr>
          <w:p w14:paraId="3DA66A3A" w14:textId="77777777" w:rsidR="00437FF9" w:rsidRPr="005C2CEC" w:rsidRDefault="00437FF9" w:rsidP="00437FF9">
            <w:pPr>
              <w:spacing w:after="120"/>
              <w:jc w:val="left"/>
              <w:rPr>
                <w:rFonts w:eastAsia="Times New Roman"/>
              </w:rPr>
            </w:pPr>
          </w:p>
        </w:tc>
        <w:tc>
          <w:tcPr>
            <w:tcW w:w="6752" w:type="dxa"/>
            <w:tcBorders>
              <w:top w:val="dashed" w:sz="4" w:space="0" w:color="BFBFBF" w:themeColor="background1" w:themeShade="BF"/>
              <w:bottom w:val="dashed" w:sz="4" w:space="0" w:color="BFBFBF" w:themeColor="background1" w:themeShade="BF"/>
            </w:tcBorders>
            <w:noWrap/>
            <w:hideMark/>
          </w:tcPr>
          <w:p w14:paraId="344610EC" w14:textId="77777777" w:rsidR="00437FF9" w:rsidRPr="005C2CEC" w:rsidRDefault="00437FF9" w:rsidP="00437FF9">
            <w:pPr>
              <w:spacing w:after="120"/>
              <w:jc w:val="left"/>
              <w:cnfStyle w:val="000000000000" w:firstRow="0" w:lastRow="0" w:firstColumn="0" w:lastColumn="0" w:oddVBand="0" w:evenVBand="0" w:oddHBand="0" w:evenHBand="0" w:firstRowFirstColumn="0" w:firstRowLastColumn="0" w:lastRowFirstColumn="0" w:lastRowLastColumn="0"/>
              <w:rPr>
                <w:rFonts w:eastAsia="Times New Roman"/>
              </w:rPr>
            </w:pPr>
            <w:r w:rsidRPr="005C2CEC">
              <w:rPr>
                <w:rFonts w:eastAsia="Times New Roman"/>
              </w:rPr>
              <w:t>Vylúčenie nerealizovateľných riešení</w:t>
            </w:r>
          </w:p>
        </w:tc>
      </w:tr>
      <w:tr w:rsidR="00437FF9" w:rsidRPr="005C2CEC" w14:paraId="033B7108" w14:textId="77777777" w:rsidTr="00146477">
        <w:trPr>
          <w:trHeight w:val="300"/>
        </w:trPr>
        <w:tc>
          <w:tcPr>
            <w:cnfStyle w:val="001000000000" w:firstRow="0" w:lastRow="0" w:firstColumn="1" w:lastColumn="0" w:oddVBand="0" w:evenVBand="0" w:oddHBand="0" w:evenHBand="0" w:firstRowFirstColumn="0" w:firstRowLastColumn="0" w:lastRowFirstColumn="0" w:lastRowLastColumn="0"/>
            <w:tcW w:w="2310" w:type="dxa"/>
            <w:vMerge/>
            <w:tcBorders>
              <w:top w:val="dashed" w:sz="4" w:space="0" w:color="BFBFBF" w:themeColor="background1" w:themeShade="BF"/>
              <w:bottom w:val="dashed" w:sz="4" w:space="0" w:color="BFBFBF" w:themeColor="background1" w:themeShade="BF"/>
            </w:tcBorders>
            <w:noWrap/>
            <w:hideMark/>
          </w:tcPr>
          <w:p w14:paraId="54A4121D" w14:textId="77777777" w:rsidR="00437FF9" w:rsidRPr="005C2CEC" w:rsidRDefault="00437FF9" w:rsidP="00437FF9">
            <w:pPr>
              <w:spacing w:after="120"/>
              <w:jc w:val="left"/>
              <w:rPr>
                <w:rFonts w:eastAsia="Times New Roman"/>
              </w:rPr>
            </w:pPr>
          </w:p>
        </w:tc>
        <w:tc>
          <w:tcPr>
            <w:tcW w:w="6752" w:type="dxa"/>
            <w:tcBorders>
              <w:top w:val="dashed" w:sz="4" w:space="0" w:color="BFBFBF" w:themeColor="background1" w:themeShade="BF"/>
              <w:bottom w:val="dashed" w:sz="4" w:space="0" w:color="BFBFBF" w:themeColor="background1" w:themeShade="BF"/>
            </w:tcBorders>
            <w:noWrap/>
            <w:hideMark/>
          </w:tcPr>
          <w:p w14:paraId="3557C55E" w14:textId="77777777" w:rsidR="00437FF9" w:rsidRPr="005C2CEC" w:rsidRDefault="00437FF9" w:rsidP="00437FF9">
            <w:pPr>
              <w:spacing w:after="120"/>
              <w:jc w:val="left"/>
              <w:cnfStyle w:val="000000000000" w:firstRow="0" w:lastRow="0" w:firstColumn="0" w:lastColumn="0" w:oddVBand="0" w:evenVBand="0" w:oddHBand="0" w:evenHBand="0" w:firstRowFirstColumn="0" w:firstRowLastColumn="0" w:lastRowFirstColumn="0" w:lastRowLastColumn="0"/>
              <w:rPr>
                <w:rFonts w:eastAsia="Times New Roman"/>
              </w:rPr>
            </w:pPr>
            <w:r w:rsidRPr="005C2CEC">
              <w:rPr>
                <w:rFonts w:eastAsia="Times New Roman"/>
              </w:rPr>
              <w:t>Odhad rozpočtu pre jednotlivé varianty</w:t>
            </w:r>
          </w:p>
        </w:tc>
      </w:tr>
      <w:tr w:rsidR="00437FF9" w:rsidRPr="005C2CEC" w14:paraId="5124C45B" w14:textId="77777777" w:rsidTr="00146477">
        <w:trPr>
          <w:trHeight w:val="300"/>
        </w:trPr>
        <w:tc>
          <w:tcPr>
            <w:cnfStyle w:val="001000000000" w:firstRow="0" w:lastRow="0" w:firstColumn="1" w:lastColumn="0" w:oddVBand="0" w:evenVBand="0" w:oddHBand="0" w:evenHBand="0" w:firstRowFirstColumn="0" w:firstRowLastColumn="0" w:lastRowFirstColumn="0" w:lastRowLastColumn="0"/>
            <w:tcW w:w="2310" w:type="dxa"/>
            <w:vMerge/>
            <w:tcBorders>
              <w:top w:val="dashed" w:sz="4" w:space="0" w:color="BFBFBF" w:themeColor="background1" w:themeShade="BF"/>
              <w:bottom w:val="dashed" w:sz="4" w:space="0" w:color="BFBFBF" w:themeColor="background1" w:themeShade="BF"/>
            </w:tcBorders>
            <w:noWrap/>
            <w:hideMark/>
          </w:tcPr>
          <w:p w14:paraId="1A6BF722" w14:textId="77777777" w:rsidR="00437FF9" w:rsidRPr="005C2CEC" w:rsidRDefault="00437FF9" w:rsidP="00437FF9">
            <w:pPr>
              <w:spacing w:after="120"/>
              <w:jc w:val="left"/>
              <w:rPr>
                <w:rFonts w:eastAsia="Times New Roman"/>
              </w:rPr>
            </w:pPr>
          </w:p>
        </w:tc>
        <w:tc>
          <w:tcPr>
            <w:tcW w:w="6752" w:type="dxa"/>
            <w:tcBorders>
              <w:top w:val="dashed" w:sz="4" w:space="0" w:color="BFBFBF" w:themeColor="background1" w:themeShade="BF"/>
              <w:bottom w:val="dashed" w:sz="4" w:space="0" w:color="BFBFBF" w:themeColor="background1" w:themeShade="BF"/>
            </w:tcBorders>
            <w:noWrap/>
            <w:hideMark/>
          </w:tcPr>
          <w:p w14:paraId="3AF481CF" w14:textId="77777777" w:rsidR="00437FF9" w:rsidRPr="005C2CEC" w:rsidRDefault="00437FF9" w:rsidP="00437FF9">
            <w:pPr>
              <w:spacing w:after="120"/>
              <w:jc w:val="left"/>
              <w:cnfStyle w:val="000000000000" w:firstRow="0" w:lastRow="0" w:firstColumn="0" w:lastColumn="0" w:oddVBand="0" w:evenVBand="0" w:oddHBand="0" w:evenHBand="0" w:firstRowFirstColumn="0" w:firstRowLastColumn="0" w:lastRowFirstColumn="0" w:lastRowLastColumn="0"/>
              <w:rPr>
                <w:rFonts w:eastAsia="Times New Roman"/>
              </w:rPr>
            </w:pPr>
            <w:r w:rsidRPr="005C2CEC">
              <w:rPr>
                <w:rFonts w:eastAsia="Times New Roman"/>
              </w:rPr>
              <w:t>Modelovanie dopytu po jednotlivých variantoch</w:t>
            </w:r>
          </w:p>
        </w:tc>
      </w:tr>
      <w:tr w:rsidR="00437FF9" w:rsidRPr="005C2CEC" w14:paraId="01217E4F" w14:textId="77777777" w:rsidTr="00146477">
        <w:trPr>
          <w:trHeight w:val="300"/>
        </w:trPr>
        <w:tc>
          <w:tcPr>
            <w:cnfStyle w:val="001000000000" w:firstRow="0" w:lastRow="0" w:firstColumn="1" w:lastColumn="0" w:oddVBand="0" w:evenVBand="0" w:oddHBand="0" w:evenHBand="0" w:firstRowFirstColumn="0" w:firstRowLastColumn="0" w:lastRowFirstColumn="0" w:lastRowLastColumn="0"/>
            <w:tcW w:w="2310" w:type="dxa"/>
            <w:vMerge w:val="restart"/>
            <w:tcBorders>
              <w:top w:val="dashed" w:sz="4" w:space="0" w:color="BFBFBF" w:themeColor="background1" w:themeShade="BF"/>
              <w:bottom w:val="dashed" w:sz="4" w:space="0" w:color="BFBFBF" w:themeColor="background1" w:themeShade="BF"/>
            </w:tcBorders>
            <w:noWrap/>
            <w:hideMark/>
          </w:tcPr>
          <w:p w14:paraId="0A8DAEF4" w14:textId="77777777" w:rsidR="00437FF9" w:rsidRPr="005C2CEC" w:rsidRDefault="00437FF9" w:rsidP="00437FF9">
            <w:pPr>
              <w:spacing w:after="120"/>
              <w:jc w:val="left"/>
              <w:rPr>
                <w:rFonts w:eastAsia="Times New Roman"/>
              </w:rPr>
            </w:pPr>
            <w:r w:rsidRPr="005C2CEC">
              <w:rPr>
                <w:rFonts w:eastAsia="Times New Roman"/>
              </w:rPr>
              <w:t>Posúdenie vplyvov na životné prostredie</w:t>
            </w:r>
          </w:p>
        </w:tc>
        <w:tc>
          <w:tcPr>
            <w:tcW w:w="6752" w:type="dxa"/>
            <w:tcBorders>
              <w:top w:val="dashed" w:sz="4" w:space="0" w:color="BFBFBF" w:themeColor="background1" w:themeShade="BF"/>
              <w:bottom w:val="dashed" w:sz="4" w:space="0" w:color="BFBFBF" w:themeColor="background1" w:themeShade="BF"/>
            </w:tcBorders>
            <w:noWrap/>
            <w:hideMark/>
          </w:tcPr>
          <w:p w14:paraId="787D7C96" w14:textId="77777777" w:rsidR="00437FF9" w:rsidRPr="005C2CEC" w:rsidRDefault="00437FF9" w:rsidP="00437FF9">
            <w:pPr>
              <w:spacing w:after="120"/>
              <w:jc w:val="left"/>
              <w:cnfStyle w:val="000000000000" w:firstRow="0" w:lastRow="0" w:firstColumn="0" w:lastColumn="0" w:oddVBand="0" w:evenVBand="0" w:oddHBand="0" w:evenHBand="0" w:firstRowFirstColumn="0" w:firstRowLastColumn="0" w:lastRowFirstColumn="0" w:lastRowLastColumn="0"/>
              <w:rPr>
                <w:rFonts w:eastAsia="Times New Roman"/>
              </w:rPr>
            </w:pPr>
            <w:r w:rsidRPr="005C2CEC">
              <w:rPr>
                <w:rFonts w:eastAsia="Times New Roman"/>
              </w:rPr>
              <w:t>Posúdenie vplyvov na životné prostredie</w:t>
            </w:r>
          </w:p>
        </w:tc>
      </w:tr>
      <w:tr w:rsidR="00437FF9" w:rsidRPr="005C2CEC" w14:paraId="66A94BCB" w14:textId="77777777" w:rsidTr="00146477">
        <w:trPr>
          <w:trHeight w:val="300"/>
        </w:trPr>
        <w:tc>
          <w:tcPr>
            <w:cnfStyle w:val="001000000000" w:firstRow="0" w:lastRow="0" w:firstColumn="1" w:lastColumn="0" w:oddVBand="0" w:evenVBand="0" w:oddHBand="0" w:evenHBand="0" w:firstRowFirstColumn="0" w:firstRowLastColumn="0" w:lastRowFirstColumn="0" w:lastRowLastColumn="0"/>
            <w:tcW w:w="2310" w:type="dxa"/>
            <w:vMerge/>
            <w:tcBorders>
              <w:top w:val="dashed" w:sz="4" w:space="0" w:color="BFBFBF" w:themeColor="background1" w:themeShade="BF"/>
              <w:bottom w:val="dashed" w:sz="4" w:space="0" w:color="BFBFBF" w:themeColor="background1" w:themeShade="BF"/>
            </w:tcBorders>
            <w:noWrap/>
          </w:tcPr>
          <w:p w14:paraId="7CF73AE4" w14:textId="77777777" w:rsidR="00437FF9" w:rsidRPr="005C2CEC" w:rsidRDefault="00437FF9" w:rsidP="00437FF9">
            <w:pPr>
              <w:spacing w:after="120"/>
              <w:jc w:val="left"/>
              <w:rPr>
                <w:rFonts w:eastAsia="Times New Roman"/>
              </w:rPr>
            </w:pPr>
          </w:p>
        </w:tc>
        <w:tc>
          <w:tcPr>
            <w:tcW w:w="6752" w:type="dxa"/>
            <w:tcBorders>
              <w:top w:val="dashed" w:sz="4" w:space="0" w:color="BFBFBF" w:themeColor="background1" w:themeShade="BF"/>
              <w:bottom w:val="dashed" w:sz="4" w:space="0" w:color="BFBFBF" w:themeColor="background1" w:themeShade="BF"/>
            </w:tcBorders>
            <w:noWrap/>
          </w:tcPr>
          <w:p w14:paraId="339B44C0" w14:textId="77777777" w:rsidR="00437FF9" w:rsidRPr="005C2CEC" w:rsidRDefault="00437FF9" w:rsidP="00437FF9">
            <w:pPr>
              <w:spacing w:after="120"/>
              <w:jc w:val="left"/>
              <w:cnfStyle w:val="000000000000" w:firstRow="0" w:lastRow="0" w:firstColumn="0" w:lastColumn="0" w:oddVBand="0" w:evenVBand="0" w:oddHBand="0" w:evenHBand="0" w:firstRowFirstColumn="0" w:firstRowLastColumn="0" w:lastRowFirstColumn="0" w:lastRowLastColumn="0"/>
              <w:rPr>
                <w:rFonts w:eastAsia="Times New Roman"/>
              </w:rPr>
            </w:pPr>
            <w:r w:rsidRPr="005C2CEC">
              <w:rPr>
                <w:rFonts w:eastAsia="Times New Roman"/>
              </w:rPr>
              <w:t>Odhad kompenzačných a mitigačných opatrení</w:t>
            </w:r>
          </w:p>
        </w:tc>
      </w:tr>
      <w:tr w:rsidR="00437FF9" w:rsidRPr="005C2CEC" w14:paraId="433E4076" w14:textId="77777777" w:rsidTr="00146477">
        <w:trPr>
          <w:trHeight w:val="300"/>
        </w:trPr>
        <w:tc>
          <w:tcPr>
            <w:cnfStyle w:val="001000000000" w:firstRow="0" w:lastRow="0" w:firstColumn="1" w:lastColumn="0" w:oddVBand="0" w:evenVBand="0" w:oddHBand="0" w:evenHBand="0" w:firstRowFirstColumn="0" w:firstRowLastColumn="0" w:lastRowFirstColumn="0" w:lastRowLastColumn="0"/>
            <w:tcW w:w="2310" w:type="dxa"/>
            <w:vMerge w:val="restart"/>
            <w:tcBorders>
              <w:top w:val="dashed" w:sz="4" w:space="0" w:color="BFBFBF" w:themeColor="background1" w:themeShade="BF"/>
              <w:bottom w:val="dashed" w:sz="4" w:space="0" w:color="BFBFBF" w:themeColor="background1" w:themeShade="BF"/>
            </w:tcBorders>
            <w:noWrap/>
            <w:hideMark/>
          </w:tcPr>
          <w:p w14:paraId="07CDA6FB" w14:textId="77777777" w:rsidR="00437FF9" w:rsidRPr="005C2CEC" w:rsidRDefault="00437FF9" w:rsidP="00437FF9">
            <w:pPr>
              <w:spacing w:after="120"/>
              <w:jc w:val="left"/>
              <w:rPr>
                <w:rFonts w:eastAsia="Times New Roman"/>
              </w:rPr>
            </w:pPr>
            <w:r w:rsidRPr="005C2CEC">
              <w:rPr>
                <w:rFonts w:eastAsia="Times New Roman"/>
              </w:rPr>
              <w:t>Ekonomické hodnotenie</w:t>
            </w:r>
          </w:p>
        </w:tc>
        <w:tc>
          <w:tcPr>
            <w:tcW w:w="6752" w:type="dxa"/>
            <w:tcBorders>
              <w:top w:val="dashed" w:sz="4" w:space="0" w:color="BFBFBF" w:themeColor="background1" w:themeShade="BF"/>
              <w:bottom w:val="dashed" w:sz="4" w:space="0" w:color="BFBFBF" w:themeColor="background1" w:themeShade="BF"/>
            </w:tcBorders>
            <w:noWrap/>
            <w:hideMark/>
          </w:tcPr>
          <w:p w14:paraId="778BA4CD" w14:textId="77777777" w:rsidR="00437FF9" w:rsidRPr="005C2CEC" w:rsidRDefault="00437FF9" w:rsidP="00437FF9">
            <w:pPr>
              <w:spacing w:after="120"/>
              <w:jc w:val="left"/>
              <w:cnfStyle w:val="000000000000" w:firstRow="0" w:lastRow="0" w:firstColumn="0" w:lastColumn="0" w:oddVBand="0" w:evenVBand="0" w:oddHBand="0" w:evenHBand="0" w:firstRowFirstColumn="0" w:firstRowLastColumn="0" w:lastRowFirstColumn="0" w:lastRowLastColumn="0"/>
              <w:rPr>
                <w:rFonts w:eastAsia="Times New Roman"/>
              </w:rPr>
            </w:pPr>
            <w:r w:rsidRPr="005C2CEC">
              <w:rPr>
                <w:rFonts w:eastAsia="Times New Roman"/>
              </w:rPr>
              <w:t xml:space="preserve">Opis všetkých kategórii nákladov a prínosov projektu </w:t>
            </w:r>
            <w:r w:rsidRPr="005C2CEC">
              <w:rPr>
                <w:rFonts w:eastAsia="Times New Roman"/>
              </w:rPr>
              <w:br/>
              <w:t>(vrátane kvalitatívnych)</w:t>
            </w:r>
          </w:p>
        </w:tc>
      </w:tr>
      <w:tr w:rsidR="00437FF9" w:rsidRPr="005C2CEC" w14:paraId="074BD1EF" w14:textId="77777777" w:rsidTr="00146477">
        <w:trPr>
          <w:trHeight w:val="300"/>
        </w:trPr>
        <w:tc>
          <w:tcPr>
            <w:cnfStyle w:val="001000000000" w:firstRow="0" w:lastRow="0" w:firstColumn="1" w:lastColumn="0" w:oddVBand="0" w:evenVBand="0" w:oddHBand="0" w:evenHBand="0" w:firstRowFirstColumn="0" w:firstRowLastColumn="0" w:lastRowFirstColumn="0" w:lastRowLastColumn="0"/>
            <w:tcW w:w="2310" w:type="dxa"/>
            <w:vMerge/>
            <w:tcBorders>
              <w:top w:val="dashed" w:sz="4" w:space="0" w:color="BFBFBF" w:themeColor="background1" w:themeShade="BF"/>
              <w:bottom w:val="dashed" w:sz="4" w:space="0" w:color="BFBFBF" w:themeColor="background1" w:themeShade="BF"/>
            </w:tcBorders>
            <w:noWrap/>
          </w:tcPr>
          <w:p w14:paraId="463BCF99" w14:textId="77777777" w:rsidR="00437FF9" w:rsidRPr="005C2CEC" w:rsidRDefault="00437FF9" w:rsidP="00437FF9">
            <w:pPr>
              <w:spacing w:after="120"/>
              <w:jc w:val="left"/>
              <w:rPr>
                <w:rFonts w:eastAsia="Times New Roman"/>
              </w:rPr>
            </w:pPr>
          </w:p>
        </w:tc>
        <w:tc>
          <w:tcPr>
            <w:tcW w:w="6752" w:type="dxa"/>
            <w:tcBorders>
              <w:top w:val="dashed" w:sz="4" w:space="0" w:color="BFBFBF" w:themeColor="background1" w:themeShade="BF"/>
              <w:bottom w:val="dashed" w:sz="4" w:space="0" w:color="BFBFBF" w:themeColor="background1" w:themeShade="BF"/>
            </w:tcBorders>
            <w:noWrap/>
          </w:tcPr>
          <w:p w14:paraId="7F980D86" w14:textId="77777777" w:rsidR="00437FF9" w:rsidRPr="005C2CEC" w:rsidRDefault="00437FF9" w:rsidP="00437FF9">
            <w:pPr>
              <w:spacing w:after="120"/>
              <w:jc w:val="left"/>
              <w:cnfStyle w:val="000000000000" w:firstRow="0" w:lastRow="0" w:firstColumn="0" w:lastColumn="0" w:oddVBand="0" w:evenVBand="0" w:oddHBand="0" w:evenHBand="0" w:firstRowFirstColumn="0" w:firstRowLastColumn="0" w:lastRowFirstColumn="0" w:lastRowLastColumn="0"/>
              <w:rPr>
                <w:rFonts w:eastAsia="Times New Roman"/>
              </w:rPr>
            </w:pPr>
            <w:r w:rsidRPr="005C2CEC">
              <w:rPr>
                <w:rFonts w:eastAsia="Times New Roman"/>
              </w:rPr>
              <w:t>Finančná analýza variantov</w:t>
            </w:r>
          </w:p>
        </w:tc>
      </w:tr>
      <w:tr w:rsidR="00437FF9" w:rsidRPr="005C2CEC" w14:paraId="1D2625DC" w14:textId="77777777" w:rsidTr="00146477">
        <w:trPr>
          <w:trHeight w:val="300"/>
        </w:trPr>
        <w:tc>
          <w:tcPr>
            <w:cnfStyle w:val="001000000000" w:firstRow="0" w:lastRow="0" w:firstColumn="1" w:lastColumn="0" w:oddVBand="0" w:evenVBand="0" w:oddHBand="0" w:evenHBand="0" w:firstRowFirstColumn="0" w:firstRowLastColumn="0" w:lastRowFirstColumn="0" w:lastRowLastColumn="0"/>
            <w:tcW w:w="2310" w:type="dxa"/>
            <w:vMerge/>
            <w:tcBorders>
              <w:top w:val="dashed" w:sz="4" w:space="0" w:color="BFBFBF" w:themeColor="background1" w:themeShade="BF"/>
              <w:bottom w:val="dashed" w:sz="4" w:space="0" w:color="BFBFBF" w:themeColor="background1" w:themeShade="BF"/>
            </w:tcBorders>
            <w:noWrap/>
          </w:tcPr>
          <w:p w14:paraId="02C161DE" w14:textId="77777777" w:rsidR="00437FF9" w:rsidRPr="005C2CEC" w:rsidRDefault="00437FF9" w:rsidP="00437FF9">
            <w:pPr>
              <w:spacing w:after="120"/>
              <w:jc w:val="left"/>
              <w:rPr>
                <w:rFonts w:eastAsia="Times New Roman"/>
              </w:rPr>
            </w:pPr>
          </w:p>
        </w:tc>
        <w:tc>
          <w:tcPr>
            <w:tcW w:w="6752" w:type="dxa"/>
            <w:tcBorders>
              <w:top w:val="dashed" w:sz="4" w:space="0" w:color="BFBFBF" w:themeColor="background1" w:themeShade="BF"/>
              <w:bottom w:val="dashed" w:sz="4" w:space="0" w:color="BFBFBF" w:themeColor="background1" w:themeShade="BF"/>
            </w:tcBorders>
            <w:noWrap/>
          </w:tcPr>
          <w:p w14:paraId="4FD44349" w14:textId="77777777" w:rsidR="00437FF9" w:rsidRPr="005C2CEC" w:rsidRDefault="00437FF9" w:rsidP="00437FF9">
            <w:pPr>
              <w:spacing w:after="120"/>
              <w:jc w:val="left"/>
              <w:cnfStyle w:val="000000000000" w:firstRow="0" w:lastRow="0" w:firstColumn="0" w:lastColumn="0" w:oddVBand="0" w:evenVBand="0" w:oddHBand="0" w:evenHBand="0" w:firstRowFirstColumn="0" w:firstRowLastColumn="0" w:lastRowFirstColumn="0" w:lastRowLastColumn="0"/>
              <w:rPr>
                <w:rFonts w:eastAsia="Times New Roman"/>
              </w:rPr>
            </w:pPr>
            <w:r w:rsidRPr="005C2CEC">
              <w:rPr>
                <w:rFonts w:eastAsia="Times New Roman"/>
              </w:rPr>
              <w:t>Ekonomická analýza variantov</w:t>
            </w:r>
          </w:p>
        </w:tc>
      </w:tr>
      <w:tr w:rsidR="00437FF9" w:rsidRPr="005C2CEC" w14:paraId="05238B00" w14:textId="77777777" w:rsidTr="00146477">
        <w:trPr>
          <w:trHeight w:val="300"/>
        </w:trPr>
        <w:tc>
          <w:tcPr>
            <w:cnfStyle w:val="001000000000" w:firstRow="0" w:lastRow="0" w:firstColumn="1" w:lastColumn="0" w:oddVBand="0" w:evenVBand="0" w:oddHBand="0" w:evenHBand="0" w:firstRowFirstColumn="0" w:firstRowLastColumn="0" w:lastRowFirstColumn="0" w:lastRowLastColumn="0"/>
            <w:tcW w:w="2310" w:type="dxa"/>
            <w:vMerge/>
            <w:tcBorders>
              <w:top w:val="dashed" w:sz="4" w:space="0" w:color="BFBFBF" w:themeColor="background1" w:themeShade="BF"/>
              <w:bottom w:val="dashed" w:sz="4" w:space="0" w:color="BFBFBF" w:themeColor="background1" w:themeShade="BF"/>
            </w:tcBorders>
            <w:noWrap/>
            <w:hideMark/>
          </w:tcPr>
          <w:p w14:paraId="5B872756" w14:textId="77777777" w:rsidR="00437FF9" w:rsidRPr="005C2CEC" w:rsidRDefault="00437FF9" w:rsidP="00437FF9">
            <w:pPr>
              <w:spacing w:after="120"/>
              <w:jc w:val="left"/>
              <w:rPr>
                <w:rFonts w:eastAsia="Times New Roman"/>
              </w:rPr>
            </w:pPr>
          </w:p>
        </w:tc>
        <w:tc>
          <w:tcPr>
            <w:tcW w:w="6752" w:type="dxa"/>
            <w:tcBorders>
              <w:top w:val="dashed" w:sz="4" w:space="0" w:color="BFBFBF" w:themeColor="background1" w:themeShade="BF"/>
              <w:bottom w:val="dashed" w:sz="4" w:space="0" w:color="BFBFBF" w:themeColor="background1" w:themeShade="BF"/>
            </w:tcBorders>
            <w:noWrap/>
            <w:hideMark/>
          </w:tcPr>
          <w:p w14:paraId="6AFCF3D8" w14:textId="77777777" w:rsidR="00437FF9" w:rsidRPr="005C2CEC" w:rsidRDefault="00437FF9" w:rsidP="00437FF9">
            <w:pPr>
              <w:spacing w:after="120"/>
              <w:jc w:val="left"/>
              <w:cnfStyle w:val="000000000000" w:firstRow="0" w:lastRow="0" w:firstColumn="0" w:lastColumn="0" w:oddVBand="0" w:evenVBand="0" w:oddHBand="0" w:evenHBand="0" w:firstRowFirstColumn="0" w:firstRowLastColumn="0" w:lastRowFirstColumn="0" w:lastRowLastColumn="0"/>
              <w:rPr>
                <w:rFonts w:eastAsia="Times New Roman"/>
              </w:rPr>
            </w:pPr>
            <w:r w:rsidRPr="005C2CEC">
              <w:rPr>
                <w:rFonts w:eastAsia="Times New Roman"/>
              </w:rPr>
              <w:t>Analýza citlivosti a rizika</w:t>
            </w:r>
          </w:p>
        </w:tc>
      </w:tr>
      <w:tr w:rsidR="00437FF9" w:rsidRPr="005C2CEC" w14:paraId="3E38B9AA" w14:textId="77777777" w:rsidTr="00671AB7">
        <w:trPr>
          <w:trHeight w:val="300"/>
        </w:trPr>
        <w:tc>
          <w:tcPr>
            <w:cnfStyle w:val="001000000000" w:firstRow="0" w:lastRow="0" w:firstColumn="1" w:lastColumn="0" w:oddVBand="0" w:evenVBand="0" w:oddHBand="0" w:evenHBand="0" w:firstRowFirstColumn="0" w:firstRowLastColumn="0" w:lastRowFirstColumn="0" w:lastRowLastColumn="0"/>
            <w:tcW w:w="2310" w:type="dxa"/>
            <w:vMerge/>
            <w:tcBorders>
              <w:top w:val="dashed" w:sz="4" w:space="0" w:color="BFBFBF" w:themeColor="background1" w:themeShade="BF"/>
              <w:bottom w:val="dashed" w:sz="4" w:space="0" w:color="BFBFBF" w:themeColor="background1" w:themeShade="BF"/>
            </w:tcBorders>
            <w:noWrap/>
            <w:hideMark/>
          </w:tcPr>
          <w:p w14:paraId="3F983746" w14:textId="77777777" w:rsidR="00437FF9" w:rsidRPr="005C2CEC" w:rsidRDefault="00437FF9" w:rsidP="00437FF9">
            <w:pPr>
              <w:spacing w:after="120"/>
              <w:jc w:val="left"/>
              <w:rPr>
                <w:rFonts w:eastAsia="Times New Roman"/>
              </w:rPr>
            </w:pPr>
          </w:p>
        </w:tc>
        <w:tc>
          <w:tcPr>
            <w:tcW w:w="6752" w:type="dxa"/>
            <w:tcBorders>
              <w:top w:val="dashed" w:sz="4" w:space="0" w:color="BFBFBF" w:themeColor="background1" w:themeShade="BF"/>
              <w:bottom w:val="dashed" w:sz="4" w:space="0" w:color="BFBFBF" w:themeColor="background1" w:themeShade="BF"/>
            </w:tcBorders>
            <w:noWrap/>
            <w:hideMark/>
          </w:tcPr>
          <w:p w14:paraId="4D8D3BB7" w14:textId="77777777" w:rsidR="00437FF9" w:rsidRPr="005C2CEC" w:rsidRDefault="00437FF9" w:rsidP="00437FF9">
            <w:pPr>
              <w:spacing w:after="120"/>
              <w:jc w:val="left"/>
              <w:cnfStyle w:val="000000000000" w:firstRow="0" w:lastRow="0" w:firstColumn="0" w:lastColumn="0" w:oddVBand="0" w:evenVBand="0" w:oddHBand="0" w:evenHBand="0" w:firstRowFirstColumn="0" w:firstRowLastColumn="0" w:lastRowFirstColumn="0" w:lastRowLastColumn="0"/>
              <w:rPr>
                <w:rFonts w:eastAsia="Times New Roman"/>
              </w:rPr>
            </w:pPr>
            <w:r w:rsidRPr="005C2CEC">
              <w:rPr>
                <w:rFonts w:eastAsia="Times New Roman"/>
              </w:rPr>
              <w:t>Zhodnotenie kvalitatívnych vplyvov</w:t>
            </w:r>
          </w:p>
        </w:tc>
      </w:tr>
      <w:tr w:rsidR="00437FF9" w:rsidRPr="005C2CEC" w14:paraId="64D101F6" w14:textId="77777777" w:rsidTr="00146477">
        <w:trPr>
          <w:trHeight w:val="300"/>
        </w:trPr>
        <w:tc>
          <w:tcPr>
            <w:cnfStyle w:val="001000000000" w:firstRow="0" w:lastRow="0" w:firstColumn="1" w:lastColumn="0" w:oddVBand="0" w:evenVBand="0" w:oddHBand="0" w:evenHBand="0" w:firstRowFirstColumn="0" w:firstRowLastColumn="0" w:lastRowFirstColumn="0" w:lastRowLastColumn="0"/>
            <w:tcW w:w="2310" w:type="dxa"/>
            <w:vMerge w:val="restart"/>
            <w:tcBorders>
              <w:top w:val="dashed" w:sz="4" w:space="0" w:color="BFBFBF" w:themeColor="background1" w:themeShade="BF"/>
              <w:bottom w:val="dashed" w:sz="4" w:space="0" w:color="BFBFBF" w:themeColor="background1" w:themeShade="BF"/>
            </w:tcBorders>
            <w:noWrap/>
            <w:hideMark/>
          </w:tcPr>
          <w:p w14:paraId="213794F6" w14:textId="77777777" w:rsidR="00437FF9" w:rsidRPr="005C2CEC" w:rsidRDefault="00437FF9" w:rsidP="00437FF9">
            <w:pPr>
              <w:spacing w:after="120"/>
              <w:jc w:val="left"/>
              <w:rPr>
                <w:rFonts w:eastAsia="Times New Roman"/>
              </w:rPr>
            </w:pPr>
            <w:r w:rsidRPr="005C2CEC">
              <w:rPr>
                <w:rFonts w:eastAsia="Times New Roman"/>
              </w:rPr>
              <w:t>Záver</w:t>
            </w:r>
          </w:p>
        </w:tc>
        <w:tc>
          <w:tcPr>
            <w:tcW w:w="6752" w:type="dxa"/>
            <w:tcBorders>
              <w:top w:val="dashed" w:sz="4" w:space="0" w:color="BFBFBF" w:themeColor="background1" w:themeShade="BF"/>
              <w:bottom w:val="dashed" w:sz="4" w:space="0" w:color="BFBFBF" w:themeColor="background1" w:themeShade="BF"/>
            </w:tcBorders>
            <w:noWrap/>
            <w:hideMark/>
          </w:tcPr>
          <w:p w14:paraId="6C5A71EA" w14:textId="77777777" w:rsidR="00437FF9" w:rsidRPr="005C2CEC" w:rsidRDefault="00437FF9" w:rsidP="00437FF9">
            <w:pPr>
              <w:spacing w:after="120"/>
              <w:jc w:val="left"/>
              <w:cnfStyle w:val="000000000000" w:firstRow="0" w:lastRow="0" w:firstColumn="0" w:lastColumn="0" w:oddVBand="0" w:evenVBand="0" w:oddHBand="0" w:evenHBand="0" w:firstRowFirstColumn="0" w:firstRowLastColumn="0" w:lastRowFirstColumn="0" w:lastRowLastColumn="0"/>
              <w:rPr>
                <w:rFonts w:eastAsia="Times New Roman"/>
              </w:rPr>
            </w:pPr>
            <w:r w:rsidRPr="005C2CEC">
              <w:rPr>
                <w:rFonts w:eastAsia="Times New Roman"/>
              </w:rPr>
              <w:t>Zhrnutie štúdie a výsledkov hodnotenia</w:t>
            </w:r>
          </w:p>
        </w:tc>
      </w:tr>
      <w:tr w:rsidR="00437FF9" w:rsidRPr="005C2CEC" w14:paraId="1D89B9FF" w14:textId="77777777" w:rsidTr="00671AB7">
        <w:trPr>
          <w:trHeight w:val="300"/>
        </w:trPr>
        <w:tc>
          <w:tcPr>
            <w:cnfStyle w:val="001000000000" w:firstRow="0" w:lastRow="0" w:firstColumn="1" w:lastColumn="0" w:oddVBand="0" w:evenVBand="0" w:oddHBand="0" w:evenHBand="0" w:firstRowFirstColumn="0" w:firstRowLastColumn="0" w:lastRowFirstColumn="0" w:lastRowLastColumn="0"/>
            <w:tcW w:w="2310" w:type="dxa"/>
            <w:vMerge/>
            <w:tcBorders>
              <w:top w:val="dashed" w:sz="4" w:space="0" w:color="BFBFBF" w:themeColor="background1" w:themeShade="BF"/>
              <w:bottom w:val="single" w:sz="4" w:space="0" w:color="00B0F0"/>
            </w:tcBorders>
            <w:noWrap/>
            <w:hideMark/>
          </w:tcPr>
          <w:p w14:paraId="41452032" w14:textId="77777777" w:rsidR="00437FF9" w:rsidRPr="005C2CEC" w:rsidRDefault="00437FF9" w:rsidP="00437FF9">
            <w:pPr>
              <w:spacing w:after="120"/>
              <w:jc w:val="left"/>
              <w:rPr>
                <w:rFonts w:eastAsia="Times New Roman"/>
              </w:rPr>
            </w:pPr>
          </w:p>
        </w:tc>
        <w:tc>
          <w:tcPr>
            <w:tcW w:w="6752" w:type="dxa"/>
            <w:tcBorders>
              <w:top w:val="dashed" w:sz="4" w:space="0" w:color="BFBFBF" w:themeColor="background1" w:themeShade="BF"/>
              <w:bottom w:val="single" w:sz="4" w:space="0" w:color="00B0F0"/>
            </w:tcBorders>
            <w:noWrap/>
            <w:hideMark/>
          </w:tcPr>
          <w:p w14:paraId="13F0F23D" w14:textId="77777777" w:rsidR="00437FF9" w:rsidRPr="005C2CEC" w:rsidRDefault="00437FF9" w:rsidP="00437FF9">
            <w:pPr>
              <w:spacing w:after="120"/>
              <w:jc w:val="left"/>
              <w:cnfStyle w:val="000000000000" w:firstRow="0" w:lastRow="0" w:firstColumn="0" w:lastColumn="0" w:oddVBand="0" w:evenVBand="0" w:oddHBand="0" w:evenHBand="0" w:firstRowFirstColumn="0" w:firstRowLastColumn="0" w:lastRowFirstColumn="0" w:lastRowLastColumn="0"/>
              <w:rPr>
                <w:rFonts w:eastAsia="Times New Roman"/>
              </w:rPr>
            </w:pPr>
            <w:r w:rsidRPr="005C2CEC">
              <w:rPr>
                <w:rFonts w:eastAsia="Times New Roman"/>
              </w:rPr>
              <w:t xml:space="preserve">Výber odporúčaných variantov </w:t>
            </w:r>
          </w:p>
        </w:tc>
      </w:tr>
    </w:tbl>
    <w:p w14:paraId="1C899F9F" w14:textId="4C254A31" w:rsidR="00FE1A72" w:rsidRDefault="00FE1A72"/>
    <w:p w14:paraId="4D9C23AD" w14:textId="77777777" w:rsidR="00FE1A72" w:rsidRDefault="00FE1A72">
      <w:pPr>
        <w:spacing w:after="160" w:line="259" w:lineRule="auto"/>
        <w:jc w:val="left"/>
      </w:pPr>
      <w:r>
        <w:br w:type="page"/>
      </w:r>
    </w:p>
    <w:p w14:paraId="2169CB7E" w14:textId="54F25D06" w:rsidR="00FE1A72" w:rsidRDefault="00FE1A72" w:rsidP="00671AB7">
      <w:pPr>
        <w:pStyle w:val="Popis"/>
      </w:pPr>
      <w:bookmarkStart w:id="192" w:name="_Toc83651120"/>
      <w:r>
        <w:lastRenderedPageBreak/>
        <w:t xml:space="preserve">Tabuľka </w:t>
      </w:r>
      <w:r w:rsidR="0061058E">
        <w:rPr>
          <w:noProof/>
        </w:rPr>
        <w:fldChar w:fldCharType="begin"/>
      </w:r>
      <w:r w:rsidR="0061058E">
        <w:rPr>
          <w:noProof/>
        </w:rPr>
        <w:instrText xml:space="preserve"> SEQ Tabuľka \* ARABIC </w:instrText>
      </w:r>
      <w:r w:rsidR="0061058E">
        <w:rPr>
          <w:noProof/>
        </w:rPr>
        <w:fldChar w:fldCharType="separate"/>
      </w:r>
      <w:r w:rsidR="003B5091">
        <w:rPr>
          <w:noProof/>
        </w:rPr>
        <w:t>16</w:t>
      </w:r>
      <w:r w:rsidR="0061058E">
        <w:rPr>
          <w:noProof/>
        </w:rPr>
        <w:fldChar w:fldCharType="end"/>
      </w:r>
      <w:r>
        <w:t>: Povinné prílohy štúdie uskutočniteľnosti</w:t>
      </w:r>
      <w:bookmarkEnd w:id="192"/>
    </w:p>
    <w:tbl>
      <w:tblPr>
        <w:tblStyle w:val="Tabukasozoznamom2zvraznenie1"/>
        <w:tblW w:w="0" w:type="auto"/>
        <w:tblLook w:val="06A0" w:firstRow="1" w:lastRow="0" w:firstColumn="1" w:lastColumn="0" w:noHBand="1" w:noVBand="1"/>
      </w:tblPr>
      <w:tblGrid>
        <w:gridCol w:w="2310"/>
        <w:gridCol w:w="6752"/>
      </w:tblGrid>
      <w:tr w:rsidR="00FE1A72" w:rsidRPr="005C2CEC" w14:paraId="4259F25A" w14:textId="77777777" w:rsidTr="00671AB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10" w:type="dxa"/>
            <w:vMerge w:val="restart"/>
            <w:tcBorders>
              <w:top w:val="single" w:sz="4" w:space="0" w:color="00B0F0"/>
              <w:bottom w:val="single" w:sz="4" w:space="0" w:color="00B0F0"/>
            </w:tcBorders>
            <w:noWrap/>
          </w:tcPr>
          <w:p w14:paraId="34D1C23C" w14:textId="160A7953" w:rsidR="00FE1A72" w:rsidRPr="005C2CEC" w:rsidRDefault="00FE1A72" w:rsidP="00437FF9">
            <w:pPr>
              <w:spacing w:after="120"/>
              <w:jc w:val="left"/>
              <w:rPr>
                <w:rFonts w:eastAsia="Times New Roman"/>
              </w:rPr>
            </w:pPr>
            <w:r>
              <w:rPr>
                <w:rFonts w:eastAsia="Times New Roman"/>
              </w:rPr>
              <w:t>Povinné prílohy</w:t>
            </w:r>
          </w:p>
        </w:tc>
        <w:tc>
          <w:tcPr>
            <w:tcW w:w="6752" w:type="dxa"/>
            <w:tcBorders>
              <w:top w:val="single" w:sz="4" w:space="0" w:color="00B0F0"/>
              <w:bottom w:val="dashed" w:sz="4" w:space="0" w:color="BFBFBF" w:themeColor="background1" w:themeShade="BF"/>
            </w:tcBorders>
            <w:noWrap/>
          </w:tcPr>
          <w:p w14:paraId="6E154DE3" w14:textId="68AF92E7" w:rsidR="00FE1A72" w:rsidRPr="00671AB7" w:rsidRDefault="00C57D1C">
            <w:pPr>
              <w:spacing w:after="120"/>
              <w:jc w:val="left"/>
              <w:cnfStyle w:val="100000000000" w:firstRow="1" w:lastRow="0" w:firstColumn="0" w:lastColumn="0" w:oddVBand="0" w:evenVBand="0" w:oddHBand="0" w:evenHBand="0" w:firstRowFirstColumn="0" w:firstRowLastColumn="0" w:lastRowFirstColumn="0" w:lastRowLastColumn="0"/>
              <w:rPr>
                <w:rFonts w:eastAsia="Times New Roman"/>
                <w:b w:val="0"/>
              </w:rPr>
            </w:pPr>
            <w:r>
              <w:t>Finančná a ekonomická analýza (napr. a</w:t>
            </w:r>
            <w:r w:rsidR="00FE1A72" w:rsidRPr="00FE1A72">
              <w:t>nalýza nákladov a</w:t>
            </w:r>
            <w:r>
              <w:t> </w:t>
            </w:r>
            <w:r w:rsidR="00FE1A72" w:rsidRPr="00FE1A72">
              <w:t>prínosov</w:t>
            </w:r>
            <w:r>
              <w:t xml:space="preserve"> -</w:t>
            </w:r>
            <w:r w:rsidR="00FE1A72" w:rsidRPr="00FE1A72">
              <w:t xml:space="preserve"> CBA) v editovateľnej predpísanej podobe (bunky obsahujú vzorce podľa vzorového </w:t>
            </w:r>
            <w:r w:rsidR="00232E77">
              <w:t>súboru</w:t>
            </w:r>
            <w:r w:rsidR="00232E77" w:rsidRPr="00FE1A72">
              <w:t xml:space="preserve"> </w:t>
            </w:r>
            <w:r w:rsidR="00FE1A72" w:rsidRPr="00FE1A72">
              <w:t>v príslušnej metodike)</w:t>
            </w:r>
          </w:p>
        </w:tc>
      </w:tr>
      <w:tr w:rsidR="00FE1A72" w:rsidRPr="005C2CEC" w14:paraId="52A47E25" w14:textId="77777777" w:rsidTr="00671AB7">
        <w:trPr>
          <w:trHeight w:val="300"/>
        </w:trPr>
        <w:tc>
          <w:tcPr>
            <w:cnfStyle w:val="001000000000" w:firstRow="0" w:lastRow="0" w:firstColumn="1" w:lastColumn="0" w:oddVBand="0" w:evenVBand="0" w:oddHBand="0" w:evenHBand="0" w:firstRowFirstColumn="0" w:firstRowLastColumn="0" w:lastRowFirstColumn="0" w:lastRowLastColumn="0"/>
            <w:tcW w:w="2310" w:type="dxa"/>
            <w:vMerge/>
            <w:tcBorders>
              <w:bottom w:val="single" w:sz="4" w:space="0" w:color="00B0F0"/>
            </w:tcBorders>
            <w:noWrap/>
          </w:tcPr>
          <w:p w14:paraId="7BB5BCF0" w14:textId="77777777" w:rsidR="00FE1A72" w:rsidRDefault="00FE1A72" w:rsidP="00437FF9">
            <w:pPr>
              <w:spacing w:after="120"/>
              <w:jc w:val="left"/>
              <w:rPr>
                <w:rFonts w:eastAsia="Times New Roman"/>
              </w:rPr>
            </w:pPr>
          </w:p>
        </w:tc>
        <w:tc>
          <w:tcPr>
            <w:tcW w:w="6752" w:type="dxa"/>
            <w:tcBorders>
              <w:top w:val="dashed" w:sz="4" w:space="0" w:color="BFBFBF" w:themeColor="background1" w:themeShade="BF"/>
              <w:bottom w:val="dashed" w:sz="4" w:space="0" w:color="BFBFBF" w:themeColor="background1" w:themeShade="BF"/>
            </w:tcBorders>
            <w:noWrap/>
          </w:tcPr>
          <w:p w14:paraId="061E475D" w14:textId="15A34108" w:rsidR="00FE1A72" w:rsidRPr="005C2CEC" w:rsidRDefault="00FE1A72" w:rsidP="00437FF9">
            <w:pPr>
              <w:spacing w:after="120"/>
              <w:jc w:val="left"/>
              <w:cnfStyle w:val="000000000000" w:firstRow="0" w:lastRow="0" w:firstColumn="0" w:lastColumn="0" w:oddVBand="0" w:evenVBand="0" w:oddHBand="0" w:evenHBand="0" w:firstRowFirstColumn="0" w:firstRowLastColumn="0" w:lastRowFirstColumn="0" w:lastRowLastColumn="0"/>
              <w:rPr>
                <w:rFonts w:eastAsia="Times New Roman"/>
              </w:rPr>
            </w:pPr>
            <w:r>
              <w:t>Detailný rozpočet investičných nákladov po položkách</w:t>
            </w:r>
          </w:p>
        </w:tc>
      </w:tr>
      <w:tr w:rsidR="00FE1A72" w:rsidRPr="005C2CEC" w14:paraId="09C8A533" w14:textId="77777777" w:rsidTr="00671AB7">
        <w:trPr>
          <w:trHeight w:val="300"/>
        </w:trPr>
        <w:tc>
          <w:tcPr>
            <w:cnfStyle w:val="001000000000" w:firstRow="0" w:lastRow="0" w:firstColumn="1" w:lastColumn="0" w:oddVBand="0" w:evenVBand="0" w:oddHBand="0" w:evenHBand="0" w:firstRowFirstColumn="0" w:firstRowLastColumn="0" w:lastRowFirstColumn="0" w:lastRowLastColumn="0"/>
            <w:tcW w:w="2310" w:type="dxa"/>
            <w:vMerge/>
            <w:tcBorders>
              <w:bottom w:val="single" w:sz="4" w:space="0" w:color="00B0F0"/>
            </w:tcBorders>
            <w:noWrap/>
          </w:tcPr>
          <w:p w14:paraId="29F325E6" w14:textId="77777777" w:rsidR="00FE1A72" w:rsidRDefault="00FE1A72" w:rsidP="00437FF9">
            <w:pPr>
              <w:spacing w:after="120"/>
              <w:jc w:val="left"/>
              <w:rPr>
                <w:rFonts w:eastAsia="Times New Roman"/>
              </w:rPr>
            </w:pPr>
          </w:p>
        </w:tc>
        <w:tc>
          <w:tcPr>
            <w:tcW w:w="6752" w:type="dxa"/>
            <w:tcBorders>
              <w:top w:val="dashed" w:sz="4" w:space="0" w:color="BFBFBF" w:themeColor="background1" w:themeShade="BF"/>
              <w:bottom w:val="dashed" w:sz="4" w:space="0" w:color="BFBFBF" w:themeColor="background1" w:themeShade="BF"/>
            </w:tcBorders>
            <w:noWrap/>
          </w:tcPr>
          <w:p w14:paraId="7001A29F" w14:textId="6EDE80D9" w:rsidR="00FE1A72" w:rsidRPr="005C2CEC" w:rsidRDefault="00FE1A72" w:rsidP="00437FF9">
            <w:pPr>
              <w:spacing w:after="120"/>
              <w:jc w:val="left"/>
              <w:cnfStyle w:val="000000000000" w:firstRow="0" w:lastRow="0" w:firstColumn="0" w:lastColumn="0" w:oddVBand="0" w:evenVBand="0" w:oddHBand="0" w:evenHBand="0" w:firstRowFirstColumn="0" w:firstRowLastColumn="0" w:lastRowFirstColumn="0" w:lastRowLastColumn="0"/>
              <w:rPr>
                <w:rFonts w:eastAsia="Times New Roman"/>
              </w:rPr>
            </w:pPr>
            <w:r>
              <w:t>Prehľad zmien, ak ide o aktualizovanú verziu štúdie uskutočniteľnosti, doplnenie existujúcej alebo staršej verzie štúdie uskutočniteľnosti</w:t>
            </w:r>
          </w:p>
        </w:tc>
      </w:tr>
      <w:tr w:rsidR="00FE1A72" w:rsidRPr="005C2CEC" w14:paraId="13DA5524" w14:textId="77777777" w:rsidTr="00671AB7">
        <w:trPr>
          <w:trHeight w:val="300"/>
        </w:trPr>
        <w:tc>
          <w:tcPr>
            <w:cnfStyle w:val="001000000000" w:firstRow="0" w:lastRow="0" w:firstColumn="1" w:lastColumn="0" w:oddVBand="0" w:evenVBand="0" w:oddHBand="0" w:evenHBand="0" w:firstRowFirstColumn="0" w:firstRowLastColumn="0" w:lastRowFirstColumn="0" w:lastRowLastColumn="0"/>
            <w:tcW w:w="2310" w:type="dxa"/>
            <w:vMerge/>
            <w:tcBorders>
              <w:bottom w:val="single" w:sz="4" w:space="0" w:color="00B0F0"/>
            </w:tcBorders>
            <w:noWrap/>
          </w:tcPr>
          <w:p w14:paraId="2042C5A2" w14:textId="77777777" w:rsidR="00FE1A72" w:rsidRDefault="00FE1A72" w:rsidP="00437FF9">
            <w:pPr>
              <w:spacing w:after="120"/>
              <w:jc w:val="left"/>
              <w:rPr>
                <w:rFonts w:eastAsia="Times New Roman"/>
              </w:rPr>
            </w:pPr>
          </w:p>
        </w:tc>
        <w:tc>
          <w:tcPr>
            <w:tcW w:w="6752" w:type="dxa"/>
            <w:tcBorders>
              <w:top w:val="dashed" w:sz="4" w:space="0" w:color="BFBFBF" w:themeColor="background1" w:themeShade="BF"/>
              <w:bottom w:val="dashed" w:sz="4" w:space="0" w:color="BFBFBF" w:themeColor="background1" w:themeShade="BF"/>
            </w:tcBorders>
            <w:noWrap/>
          </w:tcPr>
          <w:p w14:paraId="3CA4A853" w14:textId="386D9B37" w:rsidR="00FE1A72" w:rsidRPr="005C2CEC" w:rsidRDefault="00FE1A72" w:rsidP="00437FF9">
            <w:pPr>
              <w:spacing w:after="120"/>
              <w:jc w:val="left"/>
              <w:cnfStyle w:val="000000000000" w:firstRow="0" w:lastRow="0" w:firstColumn="0" w:lastColumn="0" w:oddVBand="0" w:evenVBand="0" w:oddHBand="0" w:evenHBand="0" w:firstRowFirstColumn="0" w:firstRowLastColumn="0" w:lastRowFirstColumn="0" w:lastRowLastColumn="0"/>
              <w:rPr>
                <w:rFonts w:eastAsia="Times New Roman"/>
              </w:rPr>
            </w:pPr>
            <w:r>
              <w:t>Uvedenie konkrétneho dôvodu vyvolávajúceho potrebu investičného projektu (napr. ak je investičný projekt vyvolaný legislatívnou zmenou je potrebné odkázať sa na konkrétne ustanovenie predpisu)</w:t>
            </w:r>
          </w:p>
        </w:tc>
      </w:tr>
      <w:tr w:rsidR="00FE1A72" w:rsidRPr="005C2CEC" w14:paraId="2C1B5F3A" w14:textId="77777777" w:rsidTr="00671AB7">
        <w:trPr>
          <w:trHeight w:val="300"/>
        </w:trPr>
        <w:tc>
          <w:tcPr>
            <w:cnfStyle w:val="001000000000" w:firstRow="0" w:lastRow="0" w:firstColumn="1" w:lastColumn="0" w:oddVBand="0" w:evenVBand="0" w:oddHBand="0" w:evenHBand="0" w:firstRowFirstColumn="0" w:firstRowLastColumn="0" w:lastRowFirstColumn="0" w:lastRowLastColumn="0"/>
            <w:tcW w:w="2310" w:type="dxa"/>
            <w:vMerge/>
            <w:tcBorders>
              <w:bottom w:val="single" w:sz="4" w:space="0" w:color="00B0F0"/>
            </w:tcBorders>
            <w:noWrap/>
          </w:tcPr>
          <w:p w14:paraId="505E6E14" w14:textId="77777777" w:rsidR="00FE1A72" w:rsidRDefault="00FE1A72" w:rsidP="00437FF9">
            <w:pPr>
              <w:spacing w:after="120"/>
              <w:jc w:val="left"/>
              <w:rPr>
                <w:rFonts w:eastAsia="Times New Roman"/>
              </w:rPr>
            </w:pPr>
          </w:p>
        </w:tc>
        <w:tc>
          <w:tcPr>
            <w:tcW w:w="6752" w:type="dxa"/>
            <w:tcBorders>
              <w:top w:val="dashed" w:sz="4" w:space="0" w:color="BFBFBF" w:themeColor="background1" w:themeShade="BF"/>
              <w:bottom w:val="single" w:sz="4" w:space="0" w:color="00B0F0"/>
            </w:tcBorders>
            <w:noWrap/>
          </w:tcPr>
          <w:p w14:paraId="51B1C690" w14:textId="1E3E5EE8" w:rsidR="00FE1A72" w:rsidRPr="005C2CEC" w:rsidRDefault="00FE1A72" w:rsidP="00437FF9">
            <w:pPr>
              <w:spacing w:after="120"/>
              <w:jc w:val="left"/>
              <w:cnfStyle w:val="000000000000" w:firstRow="0" w:lastRow="0" w:firstColumn="0" w:lastColumn="0" w:oddVBand="0" w:evenVBand="0" w:oddHBand="0" w:evenHBand="0" w:firstRowFirstColumn="0" w:firstRowLastColumn="0" w:lastRowFirstColumn="0" w:lastRowLastColumn="0"/>
              <w:rPr>
                <w:rFonts w:eastAsia="Times New Roman"/>
              </w:rPr>
            </w:pPr>
            <w:r w:rsidRPr="00FE1A72">
              <w:rPr>
                <w:i/>
              </w:rPr>
              <w:t>(pre investície v doprave)</w:t>
            </w:r>
            <w:r>
              <w:t xml:space="preserve"> Podklady k spracovanej prognóze dopytu a vlastný dátový súbor obsahujúci prognózu, ak sa vytvára (napr. dopravný model v PTV Visum alebo v XLS)</w:t>
            </w:r>
          </w:p>
        </w:tc>
      </w:tr>
    </w:tbl>
    <w:p w14:paraId="564170D7" w14:textId="4719ABE2" w:rsidR="002C4AE0" w:rsidRPr="005C2CEC" w:rsidRDefault="002C4AE0" w:rsidP="00E61CCA"/>
    <w:p w14:paraId="451F361D" w14:textId="0D90812C" w:rsidR="007B1388" w:rsidRPr="005C2CEC" w:rsidRDefault="007B1388" w:rsidP="007B1388">
      <w:pPr>
        <w:pStyle w:val="Odsekzoznamu"/>
        <w:numPr>
          <w:ilvl w:val="0"/>
          <w:numId w:val="40"/>
        </w:numPr>
        <w:spacing w:after="160" w:line="259" w:lineRule="auto"/>
        <w:jc w:val="left"/>
        <w:sectPr w:rsidR="007B1388" w:rsidRPr="005C2CEC" w:rsidSect="000F6431">
          <w:footerReference w:type="default" r:id="rId70"/>
          <w:type w:val="continuous"/>
          <w:pgSz w:w="11906" w:h="16838"/>
          <w:pgMar w:top="1417" w:right="1417" w:bottom="1417" w:left="1417" w:header="708" w:footer="708" w:gutter="0"/>
          <w:cols w:space="708"/>
          <w:docGrid w:linePitch="360"/>
        </w:sectPr>
      </w:pPr>
    </w:p>
    <w:p w14:paraId="7152BBF3" w14:textId="5F515590" w:rsidR="0098437D" w:rsidRPr="005C2CEC" w:rsidRDefault="0098437D" w:rsidP="002C4AE0">
      <w:pPr>
        <w:pStyle w:val="Popis"/>
        <w:rPr>
          <w:sz w:val="22"/>
        </w:rPr>
      </w:pPr>
      <w:r w:rsidRPr="005C2CEC">
        <w:rPr>
          <w:sz w:val="22"/>
        </w:rPr>
        <w:lastRenderedPageBreak/>
        <w:t xml:space="preserve">Príloha </w:t>
      </w:r>
      <w:r w:rsidRPr="005C2CEC">
        <w:rPr>
          <w:sz w:val="22"/>
        </w:rPr>
        <w:fldChar w:fldCharType="begin"/>
      </w:r>
      <w:r w:rsidRPr="005C2CEC">
        <w:rPr>
          <w:sz w:val="22"/>
        </w:rPr>
        <w:instrText xml:space="preserve"> SEQ Príloha \* ARABIC </w:instrText>
      </w:r>
      <w:r w:rsidRPr="005C2CEC">
        <w:rPr>
          <w:sz w:val="22"/>
        </w:rPr>
        <w:fldChar w:fldCharType="separate"/>
      </w:r>
      <w:r w:rsidR="000D2AF7">
        <w:rPr>
          <w:noProof/>
          <w:sz w:val="22"/>
        </w:rPr>
        <w:t>4</w:t>
      </w:r>
      <w:r w:rsidRPr="005C2CEC">
        <w:rPr>
          <w:sz w:val="22"/>
        </w:rPr>
        <w:fldChar w:fldCharType="end"/>
      </w:r>
      <w:r w:rsidRPr="005C2CEC">
        <w:rPr>
          <w:sz w:val="22"/>
        </w:rPr>
        <w:t xml:space="preserve"> Zhodnotenie </w:t>
      </w:r>
      <w:r w:rsidR="005A6260" w:rsidRPr="005C2CEC">
        <w:rPr>
          <w:sz w:val="22"/>
        </w:rPr>
        <w:t>spoločenských</w:t>
      </w:r>
      <w:r w:rsidRPr="005C2CEC">
        <w:rPr>
          <w:sz w:val="22"/>
        </w:rPr>
        <w:t xml:space="preserve"> vplyvov</w:t>
      </w:r>
      <w:r w:rsidR="009A03BD" w:rsidRPr="005C2CEC">
        <w:rPr>
          <w:sz w:val="22"/>
        </w:rPr>
        <w:t xml:space="preserve"> investičných projektov</w:t>
      </w:r>
    </w:p>
    <w:p w14:paraId="3F85F18A" w14:textId="0E7AF129" w:rsidR="005A6260" w:rsidRPr="005C2CEC" w:rsidRDefault="005A6260" w:rsidP="005A6260">
      <w:r w:rsidRPr="005C2CEC">
        <w:t>Súčasťou štúdie uskutočniteľnosti je vyhodnotenie relevantných spoločenských vplyvov investičného projektu. Investor vyhodnotí spoločenské vplyvy podľa vzorovej tabuľky uvedenej nižšie, ktorú môže prispôsobiť špecifickým potrebám konkrétneho investičného projektu.</w:t>
      </w:r>
    </w:p>
    <w:p w14:paraId="248553C0" w14:textId="71F00425" w:rsidR="005A6260" w:rsidRPr="005C2CEC" w:rsidRDefault="005A6260" w:rsidP="005A6260">
      <w:pPr>
        <w:pStyle w:val="Popis"/>
      </w:pPr>
      <w:bookmarkStart w:id="193" w:name="_Toc83651121"/>
      <w:r w:rsidRPr="005C2CEC">
        <w:t xml:space="preserve">Tabuľka </w:t>
      </w:r>
      <w:r w:rsidR="00617AD6" w:rsidRPr="005C2CEC">
        <w:rPr>
          <w:noProof/>
        </w:rPr>
        <w:fldChar w:fldCharType="begin"/>
      </w:r>
      <w:r w:rsidR="00617AD6" w:rsidRPr="005C2CEC">
        <w:rPr>
          <w:noProof/>
        </w:rPr>
        <w:instrText xml:space="preserve"> SEQ Tabuľka \* ARABIC </w:instrText>
      </w:r>
      <w:r w:rsidR="00617AD6" w:rsidRPr="005C2CEC">
        <w:rPr>
          <w:noProof/>
        </w:rPr>
        <w:fldChar w:fldCharType="separate"/>
      </w:r>
      <w:r w:rsidR="003B5091">
        <w:rPr>
          <w:noProof/>
        </w:rPr>
        <w:t>17</w:t>
      </w:r>
      <w:r w:rsidR="00617AD6" w:rsidRPr="005C2CEC">
        <w:rPr>
          <w:noProof/>
        </w:rPr>
        <w:fldChar w:fldCharType="end"/>
      </w:r>
      <w:r w:rsidRPr="005C2CEC">
        <w:t>: Tabuľka spoločenských vplyvov verejnej investície</w:t>
      </w:r>
      <w:bookmarkEnd w:id="193"/>
    </w:p>
    <w:tbl>
      <w:tblPr>
        <w:tblW w:w="14480" w:type="dxa"/>
        <w:tblLayout w:type="fixed"/>
        <w:tblCellMar>
          <w:left w:w="85" w:type="dxa"/>
          <w:right w:w="85" w:type="dxa"/>
        </w:tblCellMar>
        <w:tblLook w:val="04A0" w:firstRow="1" w:lastRow="0" w:firstColumn="1" w:lastColumn="0" w:noHBand="0" w:noVBand="1"/>
      </w:tblPr>
      <w:tblGrid>
        <w:gridCol w:w="1395"/>
        <w:gridCol w:w="2410"/>
        <w:gridCol w:w="3827"/>
        <w:gridCol w:w="992"/>
        <w:gridCol w:w="1418"/>
        <w:gridCol w:w="1559"/>
        <w:gridCol w:w="1134"/>
        <w:gridCol w:w="1276"/>
        <w:gridCol w:w="469"/>
      </w:tblGrid>
      <w:tr w:rsidR="0098437D" w:rsidRPr="005C2CEC" w14:paraId="006FA7F0" w14:textId="77777777" w:rsidTr="00577F95">
        <w:trPr>
          <w:trHeight w:val="113"/>
        </w:trPr>
        <w:tc>
          <w:tcPr>
            <w:tcW w:w="10042" w:type="dxa"/>
            <w:gridSpan w:val="5"/>
            <w:tcBorders>
              <w:top w:val="single" w:sz="18" w:space="0" w:color="002060"/>
              <w:left w:val="single" w:sz="18" w:space="0" w:color="002060"/>
              <w:bottom w:val="single" w:sz="18" w:space="0" w:color="002060"/>
              <w:right w:val="single" w:sz="4" w:space="0" w:color="BFBFBF"/>
            </w:tcBorders>
            <w:shd w:val="clear" w:color="000000" w:fill="00B0F0"/>
            <w:noWrap/>
            <w:tcMar>
              <w:top w:w="15" w:type="dxa"/>
              <w:left w:w="15" w:type="dxa"/>
              <w:bottom w:w="0" w:type="dxa"/>
              <w:right w:w="15" w:type="dxa"/>
            </w:tcMar>
            <w:hideMark/>
          </w:tcPr>
          <w:p w14:paraId="7517FF98" w14:textId="2238D75D" w:rsidR="0098437D" w:rsidRPr="005C2CEC" w:rsidRDefault="0098437D" w:rsidP="005B32F7">
            <w:pPr>
              <w:spacing w:after="0"/>
              <w:jc w:val="left"/>
              <w:rPr>
                <w:b/>
                <w:bCs/>
                <w:color w:val="FFFFFF"/>
              </w:rPr>
            </w:pPr>
            <w:r w:rsidRPr="005C2CEC">
              <w:t xml:space="preserve"> </w:t>
            </w:r>
            <w:r w:rsidRPr="005C2CEC">
              <w:rPr>
                <w:b/>
                <w:bCs/>
                <w:color w:val="FFFFFF"/>
              </w:rPr>
              <w:t>Tabuľka spoločenských vplyvov verejnej investície</w:t>
            </w:r>
          </w:p>
        </w:tc>
        <w:tc>
          <w:tcPr>
            <w:tcW w:w="1559" w:type="dxa"/>
            <w:tcBorders>
              <w:top w:val="single" w:sz="18" w:space="0" w:color="002060"/>
              <w:left w:val="nil"/>
              <w:bottom w:val="single" w:sz="18" w:space="0" w:color="002060"/>
              <w:right w:val="single" w:sz="4" w:space="0" w:color="BFBFBF"/>
            </w:tcBorders>
            <w:shd w:val="clear" w:color="000000" w:fill="00B0F0"/>
            <w:noWrap/>
            <w:tcMar>
              <w:top w:w="15" w:type="dxa"/>
              <w:left w:w="15" w:type="dxa"/>
              <w:bottom w:w="0" w:type="dxa"/>
              <w:right w:w="15" w:type="dxa"/>
            </w:tcMar>
            <w:vAlign w:val="bottom"/>
            <w:hideMark/>
          </w:tcPr>
          <w:p w14:paraId="34B56627" w14:textId="77777777" w:rsidR="0098437D" w:rsidRPr="005C2CEC" w:rsidRDefault="0098437D" w:rsidP="005B32F7">
            <w:pPr>
              <w:spacing w:after="0"/>
              <w:rPr>
                <w:b/>
                <w:bCs/>
                <w:color w:val="FFFFFF"/>
              </w:rPr>
            </w:pPr>
            <w:r w:rsidRPr="005C2CEC">
              <w:rPr>
                <w:b/>
                <w:bCs/>
                <w:color w:val="FFFFFF"/>
              </w:rPr>
              <w:t>Dátum</w:t>
            </w:r>
          </w:p>
        </w:tc>
        <w:tc>
          <w:tcPr>
            <w:tcW w:w="1134" w:type="dxa"/>
            <w:tcBorders>
              <w:top w:val="single" w:sz="18" w:space="0" w:color="002060"/>
              <w:left w:val="nil"/>
              <w:bottom w:val="single" w:sz="18" w:space="0" w:color="002060"/>
              <w:right w:val="single" w:sz="4" w:space="0" w:color="BFBFBF"/>
            </w:tcBorders>
            <w:shd w:val="clear" w:color="000000" w:fill="BDD7EE"/>
            <w:noWrap/>
            <w:tcMar>
              <w:top w:w="15" w:type="dxa"/>
              <w:left w:w="15" w:type="dxa"/>
              <w:bottom w:w="0" w:type="dxa"/>
              <w:right w:w="15" w:type="dxa"/>
            </w:tcMar>
            <w:vAlign w:val="bottom"/>
            <w:hideMark/>
          </w:tcPr>
          <w:p w14:paraId="2E1CAA6E" w14:textId="77777777" w:rsidR="0098437D" w:rsidRPr="005C2CEC" w:rsidRDefault="0098437D" w:rsidP="005B32F7">
            <w:pPr>
              <w:spacing w:after="0"/>
              <w:rPr>
                <w:b/>
                <w:bCs/>
                <w:color w:val="000000"/>
              </w:rPr>
            </w:pPr>
            <w:r w:rsidRPr="005C2CEC">
              <w:rPr>
                <w:b/>
                <w:bCs/>
                <w:color w:val="000000"/>
              </w:rPr>
              <w:t> </w:t>
            </w:r>
          </w:p>
        </w:tc>
        <w:tc>
          <w:tcPr>
            <w:tcW w:w="1745" w:type="dxa"/>
            <w:gridSpan w:val="2"/>
            <w:tcBorders>
              <w:top w:val="single" w:sz="18" w:space="0" w:color="002060"/>
              <w:left w:val="nil"/>
              <w:bottom w:val="single" w:sz="18" w:space="0" w:color="002060"/>
              <w:right w:val="single" w:sz="18" w:space="0" w:color="002060"/>
            </w:tcBorders>
            <w:shd w:val="clear" w:color="000000" w:fill="00B0F0"/>
            <w:noWrap/>
            <w:tcMar>
              <w:top w:w="15" w:type="dxa"/>
              <w:left w:w="15" w:type="dxa"/>
              <w:bottom w:w="0" w:type="dxa"/>
              <w:right w:w="15" w:type="dxa"/>
            </w:tcMar>
            <w:vAlign w:val="bottom"/>
            <w:hideMark/>
          </w:tcPr>
          <w:p w14:paraId="1CC303A6" w14:textId="77777777" w:rsidR="0098437D" w:rsidRPr="005C2CEC" w:rsidRDefault="0098437D" w:rsidP="005B32F7">
            <w:pPr>
              <w:spacing w:after="0"/>
              <w:jc w:val="center"/>
              <w:rPr>
                <w:b/>
                <w:bCs/>
                <w:color w:val="FFFFFF"/>
              </w:rPr>
            </w:pPr>
            <w:r w:rsidRPr="005C2CEC">
              <w:rPr>
                <w:b/>
                <w:bCs/>
                <w:color w:val="FFFFFF"/>
              </w:rPr>
              <w:t> </w:t>
            </w:r>
          </w:p>
        </w:tc>
      </w:tr>
      <w:tr w:rsidR="0098437D" w:rsidRPr="005C2CEC" w14:paraId="7E152060" w14:textId="77777777" w:rsidTr="00577F95">
        <w:trPr>
          <w:trHeight w:val="360"/>
        </w:trPr>
        <w:tc>
          <w:tcPr>
            <w:tcW w:w="3805" w:type="dxa"/>
            <w:gridSpan w:val="2"/>
            <w:tcBorders>
              <w:top w:val="single" w:sz="18" w:space="0" w:color="002060"/>
              <w:left w:val="single" w:sz="18" w:space="0" w:color="002060"/>
              <w:bottom w:val="single" w:sz="4" w:space="0" w:color="BFBFBF"/>
              <w:right w:val="single" w:sz="4" w:space="0" w:color="BFBFBF"/>
            </w:tcBorders>
            <w:shd w:val="clear" w:color="000000" w:fill="808080"/>
            <w:noWrap/>
            <w:tcMar>
              <w:top w:w="15" w:type="dxa"/>
              <w:left w:w="15" w:type="dxa"/>
              <w:bottom w:w="0" w:type="dxa"/>
              <w:right w:w="15" w:type="dxa"/>
            </w:tcMar>
            <w:hideMark/>
          </w:tcPr>
          <w:p w14:paraId="5CB6E22C" w14:textId="77777777" w:rsidR="0098437D" w:rsidRPr="005C2CEC" w:rsidRDefault="0098437D" w:rsidP="005B32F7">
            <w:pPr>
              <w:spacing w:after="0"/>
              <w:rPr>
                <w:color w:val="FFFFFF"/>
              </w:rPr>
            </w:pPr>
            <w:r w:rsidRPr="005C2CEC">
              <w:rPr>
                <w:color w:val="FFFFFF"/>
              </w:rPr>
              <w:t>Názov investície</w:t>
            </w:r>
          </w:p>
        </w:tc>
        <w:tc>
          <w:tcPr>
            <w:tcW w:w="6237" w:type="dxa"/>
            <w:gridSpan w:val="3"/>
            <w:tcBorders>
              <w:top w:val="single" w:sz="18" w:space="0" w:color="002060"/>
              <w:left w:val="nil"/>
              <w:bottom w:val="single" w:sz="4" w:space="0" w:color="BFBFBF"/>
              <w:right w:val="single" w:sz="4" w:space="0" w:color="BFBFBF"/>
            </w:tcBorders>
            <w:shd w:val="clear" w:color="000000" w:fill="F2F2F2"/>
            <w:noWrap/>
            <w:tcMar>
              <w:top w:w="15" w:type="dxa"/>
              <w:left w:w="15" w:type="dxa"/>
              <w:bottom w:w="0" w:type="dxa"/>
              <w:right w:w="15" w:type="dxa"/>
            </w:tcMar>
            <w:vAlign w:val="bottom"/>
            <w:hideMark/>
          </w:tcPr>
          <w:p w14:paraId="6F0FAA18" w14:textId="77777777" w:rsidR="0098437D" w:rsidRPr="005C2CEC" w:rsidRDefault="0098437D" w:rsidP="005B32F7">
            <w:pPr>
              <w:spacing w:after="0"/>
              <w:jc w:val="center"/>
              <w:rPr>
                <w:b/>
                <w:bCs/>
                <w:color w:val="FFFFFF"/>
              </w:rPr>
            </w:pPr>
            <w:r w:rsidRPr="005C2CEC">
              <w:rPr>
                <w:b/>
                <w:bCs/>
                <w:color w:val="FFFFFF"/>
              </w:rPr>
              <w:t> </w:t>
            </w:r>
          </w:p>
        </w:tc>
        <w:tc>
          <w:tcPr>
            <w:tcW w:w="1559" w:type="dxa"/>
            <w:tcBorders>
              <w:top w:val="single" w:sz="18" w:space="0" w:color="002060"/>
              <w:left w:val="nil"/>
              <w:bottom w:val="single" w:sz="4" w:space="0" w:color="BFBFBF"/>
              <w:right w:val="single" w:sz="4" w:space="0" w:color="BFBFBF"/>
            </w:tcBorders>
            <w:shd w:val="clear" w:color="000000" w:fill="808080"/>
            <w:tcMar>
              <w:top w:w="15" w:type="dxa"/>
              <w:left w:w="15" w:type="dxa"/>
              <w:bottom w:w="0" w:type="dxa"/>
              <w:right w:w="15" w:type="dxa"/>
            </w:tcMar>
            <w:hideMark/>
          </w:tcPr>
          <w:p w14:paraId="46FD3B14" w14:textId="77777777" w:rsidR="0098437D" w:rsidRPr="005C2CEC" w:rsidRDefault="0098437D" w:rsidP="005B32F7">
            <w:pPr>
              <w:spacing w:after="0"/>
              <w:jc w:val="left"/>
              <w:rPr>
                <w:color w:val="FFFFFF"/>
              </w:rPr>
            </w:pPr>
            <w:r w:rsidRPr="005C2CEC">
              <w:rPr>
                <w:color w:val="FFFFFF"/>
              </w:rPr>
              <w:t>Zodpovedná organizácia</w:t>
            </w:r>
          </w:p>
        </w:tc>
        <w:tc>
          <w:tcPr>
            <w:tcW w:w="2879" w:type="dxa"/>
            <w:gridSpan w:val="3"/>
            <w:tcBorders>
              <w:top w:val="single" w:sz="18" w:space="0" w:color="002060"/>
              <w:left w:val="nil"/>
              <w:bottom w:val="single" w:sz="4" w:space="0" w:color="BFBFBF"/>
              <w:right w:val="single" w:sz="18" w:space="0" w:color="002060"/>
            </w:tcBorders>
            <w:shd w:val="clear" w:color="000000" w:fill="F2F2F2"/>
            <w:noWrap/>
            <w:tcMar>
              <w:top w:w="15" w:type="dxa"/>
              <w:left w:w="15" w:type="dxa"/>
              <w:bottom w:w="0" w:type="dxa"/>
              <w:right w:w="15" w:type="dxa"/>
            </w:tcMar>
            <w:vAlign w:val="bottom"/>
            <w:hideMark/>
          </w:tcPr>
          <w:p w14:paraId="7BD03884" w14:textId="77777777" w:rsidR="0098437D" w:rsidRPr="005C2CEC" w:rsidRDefault="0098437D" w:rsidP="005B32F7">
            <w:pPr>
              <w:spacing w:after="0"/>
              <w:jc w:val="center"/>
              <w:rPr>
                <w:b/>
                <w:bCs/>
                <w:color w:val="000000"/>
              </w:rPr>
            </w:pPr>
            <w:r w:rsidRPr="005C2CEC">
              <w:rPr>
                <w:b/>
                <w:bCs/>
                <w:color w:val="000000"/>
              </w:rPr>
              <w:t> </w:t>
            </w:r>
          </w:p>
        </w:tc>
      </w:tr>
      <w:tr w:rsidR="0098437D" w:rsidRPr="005C2CEC" w14:paraId="077EA171" w14:textId="77777777" w:rsidTr="00577F95">
        <w:trPr>
          <w:trHeight w:val="319"/>
        </w:trPr>
        <w:tc>
          <w:tcPr>
            <w:tcW w:w="3805" w:type="dxa"/>
            <w:gridSpan w:val="2"/>
            <w:tcBorders>
              <w:top w:val="single" w:sz="4" w:space="0" w:color="BFBFBF"/>
              <w:left w:val="single" w:sz="18" w:space="0" w:color="002060"/>
              <w:bottom w:val="single" w:sz="18" w:space="0" w:color="002060"/>
              <w:right w:val="single" w:sz="4" w:space="0" w:color="BFBFBF"/>
            </w:tcBorders>
            <w:shd w:val="clear" w:color="000000" w:fill="808080"/>
            <w:noWrap/>
            <w:tcMar>
              <w:top w:w="15" w:type="dxa"/>
              <w:left w:w="15" w:type="dxa"/>
              <w:bottom w:w="0" w:type="dxa"/>
              <w:right w:w="15" w:type="dxa"/>
            </w:tcMar>
            <w:hideMark/>
          </w:tcPr>
          <w:p w14:paraId="0B880FF8" w14:textId="77777777" w:rsidR="0098437D" w:rsidRPr="005C2CEC" w:rsidRDefault="0098437D" w:rsidP="005B32F7">
            <w:pPr>
              <w:spacing w:after="0"/>
              <w:jc w:val="left"/>
              <w:rPr>
                <w:color w:val="FFFFFF"/>
              </w:rPr>
            </w:pPr>
            <w:r w:rsidRPr="005C2CEC">
              <w:rPr>
                <w:color w:val="FFFFFF"/>
              </w:rPr>
              <w:t>Stručné zhrnutie investície</w:t>
            </w:r>
          </w:p>
        </w:tc>
        <w:tc>
          <w:tcPr>
            <w:tcW w:w="6237" w:type="dxa"/>
            <w:gridSpan w:val="3"/>
            <w:tcBorders>
              <w:top w:val="single" w:sz="4" w:space="0" w:color="BFBFBF"/>
              <w:left w:val="nil"/>
              <w:bottom w:val="single" w:sz="18" w:space="0" w:color="002060"/>
              <w:right w:val="single" w:sz="4" w:space="0" w:color="BFBFBF"/>
            </w:tcBorders>
            <w:shd w:val="clear" w:color="000000" w:fill="F2F2F2"/>
            <w:noWrap/>
            <w:tcMar>
              <w:top w:w="15" w:type="dxa"/>
              <w:left w:w="15" w:type="dxa"/>
              <w:bottom w:w="0" w:type="dxa"/>
              <w:right w:w="15" w:type="dxa"/>
            </w:tcMar>
            <w:vAlign w:val="center"/>
            <w:hideMark/>
          </w:tcPr>
          <w:p w14:paraId="7DD951C4" w14:textId="77777777" w:rsidR="0098437D" w:rsidRPr="005C2CEC" w:rsidRDefault="0098437D" w:rsidP="005B32F7">
            <w:pPr>
              <w:spacing w:after="0"/>
              <w:jc w:val="center"/>
              <w:rPr>
                <w:color w:val="FFFFFF"/>
              </w:rPr>
            </w:pPr>
            <w:r w:rsidRPr="005C2CEC">
              <w:rPr>
                <w:color w:val="FFFFFF"/>
              </w:rPr>
              <w:t> </w:t>
            </w:r>
          </w:p>
        </w:tc>
        <w:tc>
          <w:tcPr>
            <w:tcW w:w="1559" w:type="dxa"/>
            <w:tcBorders>
              <w:top w:val="single" w:sz="4" w:space="0" w:color="BFBFBF"/>
              <w:left w:val="nil"/>
              <w:bottom w:val="single" w:sz="18" w:space="0" w:color="002060"/>
              <w:right w:val="single" w:sz="4" w:space="0" w:color="BFBFBF"/>
            </w:tcBorders>
            <w:shd w:val="clear" w:color="000000" w:fill="808080"/>
            <w:noWrap/>
            <w:tcMar>
              <w:top w:w="15" w:type="dxa"/>
              <w:left w:w="15" w:type="dxa"/>
              <w:bottom w:w="0" w:type="dxa"/>
              <w:right w:w="15" w:type="dxa"/>
            </w:tcMar>
            <w:hideMark/>
          </w:tcPr>
          <w:p w14:paraId="1522C0A5" w14:textId="77777777" w:rsidR="0098437D" w:rsidRPr="005C2CEC" w:rsidRDefault="0098437D" w:rsidP="005B32F7">
            <w:pPr>
              <w:spacing w:after="0"/>
              <w:jc w:val="left"/>
              <w:rPr>
                <w:color w:val="FFFFFF"/>
              </w:rPr>
            </w:pPr>
            <w:r w:rsidRPr="005C2CEC">
              <w:rPr>
                <w:color w:val="FFFFFF"/>
              </w:rPr>
              <w:t>Kontaktná osoba</w:t>
            </w:r>
          </w:p>
        </w:tc>
        <w:tc>
          <w:tcPr>
            <w:tcW w:w="2879" w:type="dxa"/>
            <w:gridSpan w:val="3"/>
            <w:tcBorders>
              <w:top w:val="single" w:sz="4" w:space="0" w:color="BFBFBF"/>
              <w:left w:val="nil"/>
              <w:bottom w:val="single" w:sz="18" w:space="0" w:color="002060"/>
              <w:right w:val="single" w:sz="18" w:space="0" w:color="002060"/>
            </w:tcBorders>
            <w:shd w:val="clear" w:color="000000" w:fill="F2F2F2"/>
            <w:noWrap/>
            <w:tcMar>
              <w:top w:w="15" w:type="dxa"/>
              <w:left w:w="15" w:type="dxa"/>
              <w:bottom w:w="0" w:type="dxa"/>
              <w:right w:w="15" w:type="dxa"/>
            </w:tcMar>
            <w:vAlign w:val="bottom"/>
            <w:hideMark/>
          </w:tcPr>
          <w:p w14:paraId="714537E8" w14:textId="77777777" w:rsidR="0098437D" w:rsidRPr="005C2CEC" w:rsidRDefault="0098437D" w:rsidP="005B32F7">
            <w:pPr>
              <w:spacing w:after="0"/>
              <w:jc w:val="center"/>
              <w:rPr>
                <w:color w:val="000000"/>
              </w:rPr>
            </w:pPr>
            <w:r w:rsidRPr="005C2CEC">
              <w:rPr>
                <w:color w:val="000000"/>
              </w:rPr>
              <w:t> </w:t>
            </w:r>
          </w:p>
        </w:tc>
      </w:tr>
      <w:tr w:rsidR="0098437D" w:rsidRPr="005C2CEC" w14:paraId="69D1E259" w14:textId="77777777" w:rsidTr="00577F95">
        <w:trPr>
          <w:trHeight w:val="546"/>
        </w:trPr>
        <w:tc>
          <w:tcPr>
            <w:tcW w:w="3805" w:type="dxa"/>
            <w:gridSpan w:val="2"/>
            <w:tcBorders>
              <w:top w:val="single" w:sz="18" w:space="0" w:color="002060"/>
              <w:left w:val="single" w:sz="18" w:space="0" w:color="002060"/>
              <w:bottom w:val="single" w:sz="18" w:space="0" w:color="002060"/>
              <w:right w:val="single" w:sz="4" w:space="0" w:color="BFBFBF"/>
            </w:tcBorders>
            <w:shd w:val="clear" w:color="auto" w:fill="auto"/>
            <w:noWrap/>
            <w:tcMar>
              <w:top w:w="15" w:type="dxa"/>
              <w:left w:w="15" w:type="dxa"/>
              <w:bottom w:w="0" w:type="dxa"/>
              <w:right w:w="15" w:type="dxa"/>
            </w:tcMar>
            <w:hideMark/>
          </w:tcPr>
          <w:p w14:paraId="77E55643" w14:textId="77777777" w:rsidR="0098437D" w:rsidRPr="005C2CEC" w:rsidRDefault="0098437D" w:rsidP="005B32F7">
            <w:pPr>
              <w:spacing w:after="0"/>
              <w:jc w:val="center"/>
              <w:rPr>
                <w:b/>
                <w:bCs/>
                <w:color w:val="000000"/>
                <w:sz w:val="20"/>
                <w:szCs w:val="20"/>
              </w:rPr>
            </w:pPr>
            <w:r w:rsidRPr="005C2CEC">
              <w:rPr>
                <w:b/>
                <w:bCs/>
                <w:color w:val="000000"/>
                <w:sz w:val="20"/>
                <w:szCs w:val="20"/>
              </w:rPr>
              <w:t>Spoločenské vplyvy</w:t>
            </w:r>
          </w:p>
        </w:tc>
        <w:tc>
          <w:tcPr>
            <w:tcW w:w="3827" w:type="dxa"/>
            <w:tcBorders>
              <w:top w:val="single" w:sz="18" w:space="0" w:color="002060"/>
              <w:left w:val="nil"/>
              <w:bottom w:val="single" w:sz="18" w:space="0" w:color="002060"/>
              <w:right w:val="single" w:sz="4" w:space="0" w:color="BFBFBF"/>
            </w:tcBorders>
            <w:shd w:val="clear" w:color="auto" w:fill="auto"/>
            <w:noWrap/>
            <w:tcMar>
              <w:top w:w="15" w:type="dxa"/>
              <w:left w:w="15" w:type="dxa"/>
              <w:bottom w:w="0" w:type="dxa"/>
              <w:right w:w="15" w:type="dxa"/>
            </w:tcMar>
            <w:hideMark/>
          </w:tcPr>
          <w:p w14:paraId="342B2E9E" w14:textId="77777777" w:rsidR="0098437D" w:rsidRPr="005C2CEC" w:rsidRDefault="0098437D" w:rsidP="005B32F7">
            <w:pPr>
              <w:spacing w:after="0"/>
              <w:jc w:val="center"/>
              <w:rPr>
                <w:b/>
                <w:bCs/>
                <w:i/>
                <w:iCs/>
                <w:color w:val="000000"/>
                <w:sz w:val="20"/>
                <w:szCs w:val="20"/>
              </w:rPr>
            </w:pPr>
            <w:r w:rsidRPr="005C2CEC">
              <w:rPr>
                <w:b/>
                <w:bCs/>
                <w:i/>
                <w:iCs/>
                <w:color w:val="000000"/>
                <w:sz w:val="20"/>
                <w:szCs w:val="20"/>
              </w:rPr>
              <w:t>Vysvetlenie</w:t>
            </w:r>
          </w:p>
        </w:tc>
        <w:tc>
          <w:tcPr>
            <w:tcW w:w="992" w:type="dxa"/>
            <w:tcBorders>
              <w:top w:val="single" w:sz="18" w:space="0" w:color="002060"/>
              <w:left w:val="nil"/>
              <w:bottom w:val="single" w:sz="18" w:space="0" w:color="002060"/>
              <w:right w:val="single" w:sz="4" w:space="0" w:color="BFBFBF"/>
            </w:tcBorders>
            <w:shd w:val="clear" w:color="auto" w:fill="auto"/>
            <w:tcMar>
              <w:top w:w="15" w:type="dxa"/>
              <w:left w:w="15" w:type="dxa"/>
              <w:bottom w:w="0" w:type="dxa"/>
              <w:right w:w="15" w:type="dxa"/>
            </w:tcMar>
            <w:hideMark/>
          </w:tcPr>
          <w:p w14:paraId="77A83AFD" w14:textId="77777777" w:rsidR="0098437D" w:rsidRPr="005C2CEC" w:rsidRDefault="0098437D" w:rsidP="005B32F7">
            <w:pPr>
              <w:spacing w:after="0"/>
              <w:jc w:val="center"/>
              <w:rPr>
                <w:b/>
                <w:bCs/>
                <w:color w:val="000000"/>
                <w:sz w:val="20"/>
                <w:szCs w:val="20"/>
              </w:rPr>
            </w:pPr>
            <w:r w:rsidRPr="005C2CEC">
              <w:rPr>
                <w:b/>
                <w:bCs/>
                <w:color w:val="000000"/>
                <w:sz w:val="20"/>
                <w:szCs w:val="20"/>
              </w:rPr>
              <w:t>Relevantný vplyv?</w:t>
            </w:r>
          </w:p>
        </w:tc>
        <w:tc>
          <w:tcPr>
            <w:tcW w:w="1418" w:type="dxa"/>
            <w:tcBorders>
              <w:top w:val="single" w:sz="18" w:space="0" w:color="002060"/>
              <w:left w:val="nil"/>
              <w:bottom w:val="single" w:sz="18" w:space="0" w:color="002060"/>
              <w:right w:val="single" w:sz="4" w:space="0" w:color="BFBFBF"/>
            </w:tcBorders>
            <w:shd w:val="clear" w:color="auto" w:fill="auto"/>
            <w:tcMar>
              <w:top w:w="15" w:type="dxa"/>
              <w:left w:w="15" w:type="dxa"/>
              <w:bottom w:w="0" w:type="dxa"/>
              <w:right w:w="15" w:type="dxa"/>
            </w:tcMar>
            <w:hideMark/>
          </w:tcPr>
          <w:p w14:paraId="0BEBE2B7" w14:textId="77777777" w:rsidR="0098437D" w:rsidRPr="005C2CEC" w:rsidRDefault="0098437D" w:rsidP="005B32F7">
            <w:pPr>
              <w:spacing w:after="0"/>
              <w:jc w:val="center"/>
              <w:rPr>
                <w:b/>
                <w:bCs/>
                <w:color w:val="000000"/>
                <w:sz w:val="20"/>
                <w:szCs w:val="20"/>
              </w:rPr>
            </w:pPr>
            <w:r w:rsidRPr="005C2CEC">
              <w:rPr>
                <w:b/>
                <w:bCs/>
                <w:color w:val="000000"/>
                <w:sz w:val="20"/>
                <w:szCs w:val="20"/>
              </w:rPr>
              <w:t>Zhrnutie hlavných vplyvov</w:t>
            </w:r>
          </w:p>
        </w:tc>
        <w:tc>
          <w:tcPr>
            <w:tcW w:w="1559" w:type="dxa"/>
            <w:tcBorders>
              <w:top w:val="single" w:sz="18" w:space="0" w:color="002060"/>
              <w:left w:val="nil"/>
              <w:bottom w:val="single" w:sz="18" w:space="0" w:color="002060"/>
              <w:right w:val="single" w:sz="4" w:space="0" w:color="BFBFBF"/>
            </w:tcBorders>
            <w:shd w:val="clear" w:color="auto" w:fill="auto"/>
            <w:tcMar>
              <w:top w:w="15" w:type="dxa"/>
              <w:left w:w="15" w:type="dxa"/>
              <w:bottom w:w="0" w:type="dxa"/>
              <w:right w:w="15" w:type="dxa"/>
            </w:tcMar>
            <w:hideMark/>
          </w:tcPr>
          <w:p w14:paraId="7365420C" w14:textId="77777777" w:rsidR="0098437D" w:rsidRPr="005C2CEC" w:rsidRDefault="0098437D" w:rsidP="005B32F7">
            <w:pPr>
              <w:spacing w:after="0"/>
              <w:jc w:val="center"/>
              <w:rPr>
                <w:b/>
                <w:bCs/>
                <w:color w:val="000000"/>
                <w:sz w:val="20"/>
                <w:szCs w:val="20"/>
              </w:rPr>
            </w:pPr>
            <w:r w:rsidRPr="005C2CEC">
              <w:rPr>
                <w:b/>
                <w:bCs/>
                <w:color w:val="000000"/>
                <w:sz w:val="20"/>
                <w:szCs w:val="20"/>
              </w:rPr>
              <w:t>Finančná hodnota vplyvu (NPV)</w:t>
            </w:r>
          </w:p>
        </w:tc>
        <w:tc>
          <w:tcPr>
            <w:tcW w:w="1134" w:type="dxa"/>
            <w:tcBorders>
              <w:top w:val="single" w:sz="18" w:space="0" w:color="002060"/>
              <w:left w:val="nil"/>
              <w:bottom w:val="single" w:sz="18" w:space="0" w:color="002060"/>
              <w:right w:val="single" w:sz="4" w:space="0" w:color="BFBFBF"/>
            </w:tcBorders>
            <w:shd w:val="clear" w:color="auto" w:fill="auto"/>
            <w:tcMar>
              <w:top w:w="15" w:type="dxa"/>
              <w:left w:w="15" w:type="dxa"/>
              <w:bottom w:w="0" w:type="dxa"/>
              <w:right w:w="15" w:type="dxa"/>
            </w:tcMar>
            <w:hideMark/>
          </w:tcPr>
          <w:p w14:paraId="0EA3AFB6" w14:textId="77777777" w:rsidR="0098437D" w:rsidRPr="005C2CEC" w:rsidRDefault="0098437D" w:rsidP="005B32F7">
            <w:pPr>
              <w:spacing w:after="0"/>
              <w:jc w:val="center"/>
              <w:rPr>
                <w:b/>
                <w:bCs/>
                <w:color w:val="000000"/>
                <w:sz w:val="20"/>
                <w:szCs w:val="20"/>
              </w:rPr>
            </w:pPr>
            <w:r w:rsidRPr="005C2CEC">
              <w:rPr>
                <w:b/>
                <w:bCs/>
                <w:color w:val="000000"/>
                <w:sz w:val="20"/>
                <w:szCs w:val="20"/>
              </w:rPr>
              <w:t>Kvantitatívny vplyv</w:t>
            </w:r>
          </w:p>
        </w:tc>
        <w:tc>
          <w:tcPr>
            <w:tcW w:w="1276" w:type="dxa"/>
            <w:tcBorders>
              <w:top w:val="single" w:sz="18" w:space="0" w:color="002060"/>
              <w:left w:val="nil"/>
              <w:bottom w:val="single" w:sz="18" w:space="0" w:color="002060"/>
              <w:right w:val="single" w:sz="4" w:space="0" w:color="BFBFBF"/>
            </w:tcBorders>
            <w:shd w:val="clear" w:color="auto" w:fill="auto"/>
            <w:tcMar>
              <w:top w:w="15" w:type="dxa"/>
              <w:left w:w="15" w:type="dxa"/>
              <w:bottom w:w="0" w:type="dxa"/>
              <w:right w:w="15" w:type="dxa"/>
            </w:tcMar>
            <w:hideMark/>
          </w:tcPr>
          <w:p w14:paraId="38989B94" w14:textId="77777777" w:rsidR="0098437D" w:rsidRPr="005C2CEC" w:rsidRDefault="0098437D" w:rsidP="005B32F7">
            <w:pPr>
              <w:spacing w:after="0"/>
              <w:jc w:val="center"/>
              <w:rPr>
                <w:b/>
                <w:bCs/>
                <w:color w:val="000000"/>
                <w:sz w:val="20"/>
                <w:szCs w:val="20"/>
              </w:rPr>
            </w:pPr>
            <w:r w:rsidRPr="005C2CEC">
              <w:rPr>
                <w:b/>
                <w:bCs/>
                <w:color w:val="000000"/>
                <w:sz w:val="20"/>
                <w:szCs w:val="20"/>
              </w:rPr>
              <w:t>Iné kvalitatívne vplyvy</w:t>
            </w:r>
          </w:p>
        </w:tc>
        <w:tc>
          <w:tcPr>
            <w:tcW w:w="469" w:type="dxa"/>
            <w:tcBorders>
              <w:top w:val="single" w:sz="18" w:space="0" w:color="002060"/>
              <w:left w:val="nil"/>
              <w:bottom w:val="single" w:sz="18" w:space="0" w:color="002060"/>
              <w:right w:val="single" w:sz="18" w:space="0" w:color="002060"/>
            </w:tcBorders>
            <w:shd w:val="clear" w:color="auto" w:fill="auto"/>
            <w:tcMar>
              <w:top w:w="15" w:type="dxa"/>
              <w:left w:w="15" w:type="dxa"/>
              <w:bottom w:w="0" w:type="dxa"/>
              <w:right w:w="15" w:type="dxa"/>
            </w:tcMar>
            <w:hideMark/>
          </w:tcPr>
          <w:p w14:paraId="51955B06" w14:textId="77777777" w:rsidR="0098437D" w:rsidRPr="005C2CEC" w:rsidRDefault="0098437D" w:rsidP="005B32F7">
            <w:pPr>
              <w:spacing w:after="0"/>
              <w:jc w:val="center"/>
              <w:rPr>
                <w:b/>
                <w:bCs/>
                <w:color w:val="000000"/>
                <w:sz w:val="20"/>
                <w:szCs w:val="20"/>
              </w:rPr>
            </w:pPr>
            <w:r w:rsidRPr="005C2CEC">
              <w:rPr>
                <w:b/>
                <w:bCs/>
                <w:color w:val="000000"/>
                <w:sz w:val="20"/>
                <w:szCs w:val="20"/>
              </w:rPr>
              <w:t>Zdroj</w:t>
            </w:r>
          </w:p>
        </w:tc>
      </w:tr>
      <w:tr w:rsidR="009A03BD" w:rsidRPr="005C2CEC" w14:paraId="01C87E59" w14:textId="77777777" w:rsidTr="00577F95">
        <w:trPr>
          <w:trHeight w:val="573"/>
        </w:trPr>
        <w:tc>
          <w:tcPr>
            <w:tcW w:w="1395" w:type="dxa"/>
            <w:vMerge w:val="restart"/>
            <w:tcBorders>
              <w:top w:val="single" w:sz="18" w:space="0" w:color="002060"/>
              <w:left w:val="single" w:sz="18" w:space="0" w:color="002060"/>
              <w:bottom w:val="single" w:sz="8" w:space="0" w:color="000000"/>
              <w:right w:val="single" w:sz="4" w:space="0" w:color="BFBFBF"/>
            </w:tcBorders>
            <w:shd w:val="clear" w:color="000000" w:fill="BDD7EE"/>
            <w:tcMar>
              <w:top w:w="15" w:type="dxa"/>
              <w:left w:w="15" w:type="dxa"/>
              <w:bottom w:w="0" w:type="dxa"/>
              <w:right w:w="15" w:type="dxa"/>
            </w:tcMar>
            <w:vAlign w:val="center"/>
            <w:hideMark/>
          </w:tcPr>
          <w:p w14:paraId="64C7A5FF" w14:textId="77777777" w:rsidR="009A03BD" w:rsidRPr="005C2CEC" w:rsidRDefault="009A03BD" w:rsidP="009A03BD">
            <w:pPr>
              <w:spacing w:after="0"/>
              <w:jc w:val="left"/>
              <w:rPr>
                <w:color w:val="000000"/>
              </w:rPr>
            </w:pPr>
            <w:r w:rsidRPr="005C2CEC">
              <w:rPr>
                <w:color w:val="000000"/>
              </w:rPr>
              <w:t>Ekonomické a vzdelanostné</w:t>
            </w:r>
          </w:p>
        </w:tc>
        <w:tc>
          <w:tcPr>
            <w:tcW w:w="2410" w:type="dxa"/>
            <w:tcBorders>
              <w:top w:val="single" w:sz="18" w:space="0" w:color="002060"/>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5A380F7C" w14:textId="77777777" w:rsidR="009A03BD" w:rsidRPr="005C2CEC" w:rsidRDefault="009A03BD" w:rsidP="009A03BD">
            <w:pPr>
              <w:spacing w:after="0"/>
              <w:jc w:val="left"/>
              <w:rPr>
                <w:color w:val="000000"/>
                <w:sz w:val="20"/>
                <w:szCs w:val="20"/>
              </w:rPr>
            </w:pPr>
            <w:r w:rsidRPr="005C2CEC">
              <w:rPr>
                <w:color w:val="000000"/>
                <w:sz w:val="20"/>
                <w:szCs w:val="20"/>
              </w:rPr>
              <w:t>Úspora času</w:t>
            </w:r>
          </w:p>
        </w:tc>
        <w:tc>
          <w:tcPr>
            <w:tcW w:w="3827" w:type="dxa"/>
            <w:tcBorders>
              <w:top w:val="single" w:sz="18" w:space="0" w:color="002060"/>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33B6FECF" w14:textId="77777777" w:rsidR="009A03BD" w:rsidRPr="005C2CEC" w:rsidRDefault="009A03BD" w:rsidP="009A03BD">
            <w:pPr>
              <w:spacing w:after="0"/>
              <w:rPr>
                <w:i/>
                <w:iCs/>
                <w:color w:val="000000"/>
                <w:sz w:val="16"/>
                <w:szCs w:val="16"/>
              </w:rPr>
            </w:pPr>
            <w:r w:rsidRPr="005C2CEC">
              <w:rPr>
                <w:i/>
                <w:iCs/>
                <w:color w:val="000000"/>
                <w:sz w:val="16"/>
                <w:szCs w:val="16"/>
              </w:rPr>
              <w:t>Napr.: Dopravné projekty znižujú cestovný čas, pracovný aj súkromný. IT projekty znižujú čas potrebný na interakciu so štátnou správou.</w:t>
            </w:r>
          </w:p>
        </w:tc>
        <w:tc>
          <w:tcPr>
            <w:tcW w:w="992" w:type="dxa"/>
            <w:tcBorders>
              <w:top w:val="single" w:sz="18" w:space="0" w:color="002060"/>
              <w:left w:val="nil"/>
              <w:bottom w:val="single" w:sz="4" w:space="0" w:color="BFBFBF"/>
              <w:right w:val="single" w:sz="4" w:space="0" w:color="BFBFBF"/>
            </w:tcBorders>
            <w:shd w:val="clear" w:color="auto" w:fill="auto"/>
            <w:noWrap/>
            <w:tcMar>
              <w:top w:w="15" w:type="dxa"/>
              <w:left w:w="15" w:type="dxa"/>
              <w:bottom w:w="0" w:type="dxa"/>
              <w:right w:w="15" w:type="dxa"/>
            </w:tcMar>
            <w:vAlign w:val="center"/>
            <w:hideMark/>
          </w:tcPr>
          <w:p w14:paraId="0E5A2138" w14:textId="4F9C6247" w:rsidR="009A03BD" w:rsidRPr="005C2CEC" w:rsidRDefault="009A03BD" w:rsidP="009A03BD">
            <w:pPr>
              <w:spacing w:after="0"/>
              <w:jc w:val="center"/>
              <w:rPr>
                <w:sz w:val="20"/>
                <w:szCs w:val="20"/>
              </w:rPr>
            </w:pPr>
            <w:r w:rsidRPr="005C2CEC">
              <w:rPr>
                <w:sz w:val="20"/>
                <w:szCs w:val="20"/>
              </w:rPr>
              <w:t>ÁNO / NIE</w:t>
            </w:r>
          </w:p>
        </w:tc>
        <w:tc>
          <w:tcPr>
            <w:tcW w:w="1418" w:type="dxa"/>
            <w:tcBorders>
              <w:top w:val="single" w:sz="18" w:space="0" w:color="002060"/>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32B928E7" w14:textId="77777777" w:rsidR="009A03BD" w:rsidRPr="005C2CEC" w:rsidRDefault="009A03BD" w:rsidP="009A03BD">
            <w:pPr>
              <w:spacing w:after="0"/>
              <w:jc w:val="left"/>
              <w:rPr>
                <w:color w:val="000000"/>
                <w:sz w:val="20"/>
                <w:szCs w:val="20"/>
              </w:rPr>
            </w:pPr>
            <w:r w:rsidRPr="005C2CEC">
              <w:rPr>
                <w:color w:val="000000"/>
                <w:sz w:val="20"/>
                <w:szCs w:val="20"/>
              </w:rPr>
              <w:t> </w:t>
            </w:r>
          </w:p>
        </w:tc>
        <w:tc>
          <w:tcPr>
            <w:tcW w:w="1559" w:type="dxa"/>
            <w:tcBorders>
              <w:top w:val="single" w:sz="18" w:space="0" w:color="002060"/>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0462EB4E" w14:textId="77777777" w:rsidR="009A03BD" w:rsidRPr="005C2CEC" w:rsidRDefault="009A03BD" w:rsidP="009A03BD">
            <w:pPr>
              <w:spacing w:after="0"/>
              <w:rPr>
                <w:color w:val="000000"/>
                <w:sz w:val="20"/>
                <w:szCs w:val="20"/>
              </w:rPr>
            </w:pPr>
            <w:r w:rsidRPr="005C2CEC">
              <w:rPr>
                <w:color w:val="000000"/>
                <w:sz w:val="20"/>
                <w:szCs w:val="20"/>
              </w:rPr>
              <w:t> </w:t>
            </w:r>
          </w:p>
        </w:tc>
        <w:tc>
          <w:tcPr>
            <w:tcW w:w="1134" w:type="dxa"/>
            <w:tcBorders>
              <w:top w:val="single" w:sz="18" w:space="0" w:color="002060"/>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61E9CA74" w14:textId="77777777" w:rsidR="009A03BD" w:rsidRPr="005C2CEC" w:rsidRDefault="009A03BD" w:rsidP="009A03BD">
            <w:pPr>
              <w:spacing w:after="0"/>
              <w:rPr>
                <w:color w:val="000000"/>
                <w:sz w:val="20"/>
                <w:szCs w:val="20"/>
              </w:rPr>
            </w:pPr>
            <w:r w:rsidRPr="005C2CEC">
              <w:rPr>
                <w:color w:val="000000"/>
                <w:sz w:val="20"/>
                <w:szCs w:val="20"/>
              </w:rPr>
              <w:t> </w:t>
            </w:r>
          </w:p>
        </w:tc>
        <w:tc>
          <w:tcPr>
            <w:tcW w:w="1276" w:type="dxa"/>
            <w:tcBorders>
              <w:top w:val="single" w:sz="18" w:space="0" w:color="002060"/>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6108AA0B" w14:textId="77777777" w:rsidR="009A03BD" w:rsidRPr="005C2CEC" w:rsidRDefault="009A03BD" w:rsidP="009A03BD">
            <w:pPr>
              <w:spacing w:after="0"/>
              <w:rPr>
                <w:color w:val="000000"/>
                <w:sz w:val="20"/>
                <w:szCs w:val="20"/>
              </w:rPr>
            </w:pPr>
            <w:r w:rsidRPr="005C2CEC">
              <w:rPr>
                <w:color w:val="000000"/>
                <w:sz w:val="20"/>
                <w:szCs w:val="20"/>
              </w:rPr>
              <w:t> </w:t>
            </w:r>
          </w:p>
        </w:tc>
        <w:tc>
          <w:tcPr>
            <w:tcW w:w="469" w:type="dxa"/>
            <w:tcBorders>
              <w:top w:val="single" w:sz="18" w:space="0" w:color="002060"/>
              <w:left w:val="nil"/>
              <w:bottom w:val="single" w:sz="4" w:space="0" w:color="BFBFBF"/>
              <w:right w:val="single" w:sz="18" w:space="0" w:color="002060"/>
            </w:tcBorders>
            <w:shd w:val="clear" w:color="auto" w:fill="auto"/>
            <w:noWrap/>
            <w:tcMar>
              <w:top w:w="15" w:type="dxa"/>
              <w:left w:w="15" w:type="dxa"/>
              <w:bottom w:w="0" w:type="dxa"/>
              <w:right w:w="15" w:type="dxa"/>
            </w:tcMar>
            <w:vAlign w:val="bottom"/>
            <w:hideMark/>
          </w:tcPr>
          <w:p w14:paraId="24704309" w14:textId="77777777" w:rsidR="009A03BD" w:rsidRPr="005C2CEC" w:rsidRDefault="009A03BD" w:rsidP="009A03BD">
            <w:pPr>
              <w:spacing w:after="0"/>
              <w:rPr>
                <w:color w:val="000000"/>
                <w:sz w:val="20"/>
                <w:szCs w:val="20"/>
              </w:rPr>
            </w:pPr>
            <w:r w:rsidRPr="005C2CEC">
              <w:rPr>
                <w:color w:val="000000"/>
                <w:sz w:val="20"/>
                <w:szCs w:val="20"/>
              </w:rPr>
              <w:t> </w:t>
            </w:r>
          </w:p>
        </w:tc>
      </w:tr>
      <w:tr w:rsidR="009A03BD" w:rsidRPr="005C2CEC" w14:paraId="09619014" w14:textId="77777777" w:rsidTr="00577F95">
        <w:trPr>
          <w:trHeight w:val="760"/>
        </w:trPr>
        <w:tc>
          <w:tcPr>
            <w:tcW w:w="1395" w:type="dxa"/>
            <w:vMerge/>
            <w:tcBorders>
              <w:top w:val="nil"/>
              <w:left w:val="single" w:sz="18" w:space="0" w:color="002060"/>
              <w:bottom w:val="single" w:sz="8" w:space="0" w:color="000000"/>
              <w:right w:val="single" w:sz="4" w:space="0" w:color="BFBFBF"/>
            </w:tcBorders>
            <w:vAlign w:val="center"/>
            <w:hideMark/>
          </w:tcPr>
          <w:p w14:paraId="03A3DA27" w14:textId="77777777" w:rsidR="009A03BD" w:rsidRPr="005C2CEC" w:rsidRDefault="009A03BD" w:rsidP="009A03BD">
            <w:pPr>
              <w:spacing w:after="0"/>
              <w:jc w:val="left"/>
              <w:rPr>
                <w:color w:val="000000"/>
              </w:rPr>
            </w:pPr>
          </w:p>
        </w:tc>
        <w:tc>
          <w:tcPr>
            <w:tcW w:w="2410"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3FF4B807" w14:textId="77777777" w:rsidR="009A03BD" w:rsidRPr="005C2CEC" w:rsidRDefault="009A03BD" w:rsidP="009A03BD">
            <w:pPr>
              <w:spacing w:after="0"/>
              <w:jc w:val="left"/>
              <w:rPr>
                <w:color w:val="000000"/>
                <w:sz w:val="20"/>
                <w:szCs w:val="20"/>
              </w:rPr>
            </w:pPr>
            <w:r w:rsidRPr="005C2CEC">
              <w:rPr>
                <w:color w:val="000000"/>
                <w:sz w:val="20"/>
                <w:szCs w:val="20"/>
              </w:rPr>
              <w:t>Podpora podnikania a nové trhy</w:t>
            </w:r>
          </w:p>
        </w:tc>
        <w:tc>
          <w:tcPr>
            <w:tcW w:w="3827"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2A44B54F" w14:textId="77777777" w:rsidR="009A03BD" w:rsidRPr="005C2CEC" w:rsidRDefault="009A03BD" w:rsidP="009A03BD">
            <w:pPr>
              <w:spacing w:after="0"/>
              <w:rPr>
                <w:i/>
                <w:iCs/>
                <w:color w:val="000000"/>
                <w:sz w:val="16"/>
                <w:szCs w:val="16"/>
              </w:rPr>
            </w:pPr>
            <w:r w:rsidRPr="005C2CEC">
              <w:rPr>
                <w:i/>
                <w:iCs/>
                <w:color w:val="000000"/>
                <w:sz w:val="16"/>
                <w:szCs w:val="16"/>
              </w:rPr>
              <w:t>Investícia vytvára priestor pre vznik nových podnikov (logistické centrum, dopravné spojenie, revitalizácia sídiel...) alebo vytvára nové trhy (digitálna ekonomika, atď.)</w:t>
            </w:r>
          </w:p>
        </w:tc>
        <w:tc>
          <w:tcPr>
            <w:tcW w:w="992" w:type="dxa"/>
            <w:tcBorders>
              <w:top w:val="single" w:sz="4" w:space="0" w:color="BFBFBF"/>
              <w:left w:val="nil"/>
              <w:bottom w:val="single" w:sz="4" w:space="0" w:color="BFBFBF"/>
              <w:right w:val="single" w:sz="4" w:space="0" w:color="BFBFBF"/>
            </w:tcBorders>
            <w:shd w:val="clear" w:color="auto" w:fill="auto"/>
            <w:noWrap/>
            <w:tcMar>
              <w:top w:w="15" w:type="dxa"/>
              <w:left w:w="15" w:type="dxa"/>
              <w:bottom w:w="0" w:type="dxa"/>
              <w:right w:w="15" w:type="dxa"/>
            </w:tcMar>
            <w:vAlign w:val="center"/>
            <w:hideMark/>
          </w:tcPr>
          <w:p w14:paraId="28EC5AE9" w14:textId="0674EFF6" w:rsidR="009A03BD" w:rsidRPr="005C2CEC" w:rsidRDefault="009A03BD" w:rsidP="009A03BD">
            <w:pPr>
              <w:spacing w:after="0"/>
              <w:jc w:val="center"/>
              <w:rPr>
                <w:sz w:val="20"/>
                <w:szCs w:val="20"/>
              </w:rPr>
            </w:pPr>
            <w:r w:rsidRPr="005C2CEC">
              <w:rPr>
                <w:sz w:val="20"/>
                <w:szCs w:val="20"/>
              </w:rPr>
              <w:t>ÁNO / NIE</w:t>
            </w:r>
          </w:p>
        </w:tc>
        <w:tc>
          <w:tcPr>
            <w:tcW w:w="1418"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0E6873DD" w14:textId="77777777" w:rsidR="009A03BD" w:rsidRPr="005C2CEC" w:rsidRDefault="009A03BD" w:rsidP="009A03BD">
            <w:pPr>
              <w:spacing w:after="0"/>
              <w:jc w:val="left"/>
              <w:rPr>
                <w:color w:val="000000"/>
                <w:sz w:val="20"/>
                <w:szCs w:val="20"/>
              </w:rPr>
            </w:pPr>
            <w:r w:rsidRPr="005C2CEC">
              <w:rPr>
                <w:color w:val="000000"/>
                <w:sz w:val="20"/>
                <w:szCs w:val="20"/>
              </w:rPr>
              <w:t> </w:t>
            </w:r>
          </w:p>
        </w:tc>
        <w:tc>
          <w:tcPr>
            <w:tcW w:w="1559"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5831A93E" w14:textId="77777777" w:rsidR="009A03BD" w:rsidRPr="005C2CEC" w:rsidRDefault="009A03BD" w:rsidP="009A03BD">
            <w:pPr>
              <w:spacing w:after="0"/>
              <w:rPr>
                <w:color w:val="000000"/>
                <w:sz w:val="20"/>
                <w:szCs w:val="20"/>
              </w:rPr>
            </w:pPr>
            <w:r w:rsidRPr="005C2CEC">
              <w:rPr>
                <w:color w:val="000000"/>
                <w:sz w:val="20"/>
                <w:szCs w:val="20"/>
              </w:rPr>
              <w:t> </w:t>
            </w:r>
          </w:p>
        </w:tc>
        <w:tc>
          <w:tcPr>
            <w:tcW w:w="1134"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0436A610" w14:textId="77777777" w:rsidR="009A03BD" w:rsidRPr="005C2CEC" w:rsidRDefault="009A03BD" w:rsidP="009A03BD">
            <w:pPr>
              <w:spacing w:after="0"/>
              <w:rPr>
                <w:color w:val="000000"/>
                <w:sz w:val="20"/>
                <w:szCs w:val="20"/>
              </w:rPr>
            </w:pPr>
            <w:r w:rsidRPr="005C2CEC">
              <w:rPr>
                <w:color w:val="000000"/>
                <w:sz w:val="20"/>
                <w:szCs w:val="20"/>
              </w:rPr>
              <w:t> </w:t>
            </w:r>
          </w:p>
        </w:tc>
        <w:tc>
          <w:tcPr>
            <w:tcW w:w="1276"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3F8D74ED" w14:textId="77777777" w:rsidR="009A03BD" w:rsidRPr="005C2CEC" w:rsidRDefault="009A03BD" w:rsidP="009A03BD">
            <w:pPr>
              <w:spacing w:after="0"/>
              <w:rPr>
                <w:color w:val="000000"/>
                <w:sz w:val="20"/>
                <w:szCs w:val="20"/>
              </w:rPr>
            </w:pPr>
            <w:r w:rsidRPr="005C2CEC">
              <w:rPr>
                <w:color w:val="000000"/>
                <w:sz w:val="20"/>
                <w:szCs w:val="20"/>
              </w:rPr>
              <w:t> </w:t>
            </w:r>
          </w:p>
        </w:tc>
        <w:tc>
          <w:tcPr>
            <w:tcW w:w="469" w:type="dxa"/>
            <w:tcBorders>
              <w:top w:val="nil"/>
              <w:left w:val="nil"/>
              <w:bottom w:val="single" w:sz="4" w:space="0" w:color="BFBFBF"/>
              <w:right w:val="single" w:sz="18" w:space="0" w:color="002060"/>
            </w:tcBorders>
            <w:shd w:val="clear" w:color="auto" w:fill="auto"/>
            <w:noWrap/>
            <w:tcMar>
              <w:top w:w="15" w:type="dxa"/>
              <w:left w:w="15" w:type="dxa"/>
              <w:bottom w:w="0" w:type="dxa"/>
              <w:right w:w="15" w:type="dxa"/>
            </w:tcMar>
            <w:vAlign w:val="bottom"/>
            <w:hideMark/>
          </w:tcPr>
          <w:p w14:paraId="30CB7C05" w14:textId="77777777" w:rsidR="009A03BD" w:rsidRPr="005C2CEC" w:rsidRDefault="009A03BD" w:rsidP="009A03BD">
            <w:pPr>
              <w:spacing w:after="0"/>
              <w:rPr>
                <w:color w:val="000000"/>
                <w:sz w:val="20"/>
                <w:szCs w:val="20"/>
              </w:rPr>
            </w:pPr>
            <w:r w:rsidRPr="005C2CEC">
              <w:rPr>
                <w:color w:val="000000"/>
                <w:sz w:val="20"/>
                <w:szCs w:val="20"/>
              </w:rPr>
              <w:t> </w:t>
            </w:r>
          </w:p>
        </w:tc>
      </w:tr>
      <w:tr w:rsidR="009A03BD" w:rsidRPr="005C2CEC" w14:paraId="0128D663" w14:textId="77777777" w:rsidTr="00577F95">
        <w:trPr>
          <w:trHeight w:val="460"/>
        </w:trPr>
        <w:tc>
          <w:tcPr>
            <w:tcW w:w="1395" w:type="dxa"/>
            <w:vMerge/>
            <w:tcBorders>
              <w:top w:val="nil"/>
              <w:left w:val="single" w:sz="18" w:space="0" w:color="002060"/>
              <w:bottom w:val="single" w:sz="8" w:space="0" w:color="000000"/>
              <w:right w:val="single" w:sz="4" w:space="0" w:color="BFBFBF"/>
            </w:tcBorders>
            <w:vAlign w:val="center"/>
            <w:hideMark/>
          </w:tcPr>
          <w:p w14:paraId="7EE114F2" w14:textId="77777777" w:rsidR="009A03BD" w:rsidRPr="005C2CEC" w:rsidRDefault="009A03BD" w:rsidP="009A03BD">
            <w:pPr>
              <w:spacing w:after="0"/>
              <w:jc w:val="left"/>
              <w:rPr>
                <w:color w:val="000000"/>
              </w:rPr>
            </w:pPr>
          </w:p>
        </w:tc>
        <w:tc>
          <w:tcPr>
            <w:tcW w:w="2410" w:type="dxa"/>
            <w:tcBorders>
              <w:top w:val="nil"/>
              <w:left w:val="nil"/>
              <w:bottom w:val="nil"/>
              <w:right w:val="single" w:sz="4" w:space="0" w:color="BFBFBF"/>
            </w:tcBorders>
            <w:shd w:val="clear" w:color="000000" w:fill="F2F2F2"/>
            <w:tcMar>
              <w:top w:w="15" w:type="dxa"/>
              <w:left w:w="15" w:type="dxa"/>
              <w:bottom w:w="0" w:type="dxa"/>
              <w:right w:w="15" w:type="dxa"/>
            </w:tcMar>
            <w:vAlign w:val="center"/>
            <w:hideMark/>
          </w:tcPr>
          <w:p w14:paraId="1BED8546" w14:textId="77777777" w:rsidR="009A03BD" w:rsidRPr="005C2CEC" w:rsidRDefault="009A03BD" w:rsidP="009A03BD">
            <w:pPr>
              <w:spacing w:after="0"/>
              <w:jc w:val="left"/>
              <w:rPr>
                <w:color w:val="000000"/>
                <w:sz w:val="20"/>
                <w:szCs w:val="20"/>
              </w:rPr>
            </w:pPr>
            <w:r w:rsidRPr="005C2CEC">
              <w:rPr>
                <w:color w:val="000000"/>
                <w:sz w:val="20"/>
                <w:szCs w:val="20"/>
              </w:rPr>
              <w:t>Podpora vzdelanostnej ekonomiky</w:t>
            </w:r>
          </w:p>
        </w:tc>
        <w:tc>
          <w:tcPr>
            <w:tcW w:w="3827" w:type="dxa"/>
            <w:tcBorders>
              <w:top w:val="nil"/>
              <w:left w:val="nil"/>
              <w:bottom w:val="nil"/>
              <w:right w:val="single" w:sz="4" w:space="0" w:color="BFBFBF"/>
            </w:tcBorders>
            <w:shd w:val="clear" w:color="000000" w:fill="F2F2F2"/>
            <w:tcMar>
              <w:top w:w="15" w:type="dxa"/>
              <w:left w:w="15" w:type="dxa"/>
              <w:bottom w:w="0" w:type="dxa"/>
              <w:right w:w="15" w:type="dxa"/>
            </w:tcMar>
            <w:vAlign w:val="center"/>
            <w:hideMark/>
          </w:tcPr>
          <w:p w14:paraId="021E7D90" w14:textId="77777777" w:rsidR="009A03BD" w:rsidRPr="005C2CEC" w:rsidRDefault="009A03BD" w:rsidP="009A03BD">
            <w:pPr>
              <w:spacing w:after="0"/>
              <w:rPr>
                <w:i/>
                <w:iCs/>
                <w:color w:val="000000"/>
                <w:sz w:val="16"/>
                <w:szCs w:val="16"/>
              </w:rPr>
            </w:pPr>
            <w:r w:rsidRPr="005C2CEC">
              <w:rPr>
                <w:i/>
                <w:iCs/>
                <w:color w:val="000000"/>
                <w:sz w:val="16"/>
                <w:szCs w:val="16"/>
              </w:rPr>
              <w:t>Investícia podporuje vzdelanostnú ekonomiku infraštruktúrou, zručnosťami či dostupnými technickými riešeniami.</w:t>
            </w:r>
          </w:p>
        </w:tc>
        <w:tc>
          <w:tcPr>
            <w:tcW w:w="992" w:type="dxa"/>
            <w:tcBorders>
              <w:top w:val="single" w:sz="4" w:space="0" w:color="BFBFBF"/>
              <w:left w:val="nil"/>
              <w:bottom w:val="nil"/>
              <w:right w:val="single" w:sz="4" w:space="0" w:color="BFBFBF"/>
            </w:tcBorders>
            <w:shd w:val="clear" w:color="auto" w:fill="auto"/>
            <w:noWrap/>
            <w:tcMar>
              <w:top w:w="15" w:type="dxa"/>
              <w:left w:w="15" w:type="dxa"/>
              <w:bottom w:w="0" w:type="dxa"/>
              <w:right w:w="15" w:type="dxa"/>
            </w:tcMar>
            <w:vAlign w:val="center"/>
            <w:hideMark/>
          </w:tcPr>
          <w:p w14:paraId="66C3BA74" w14:textId="11636987" w:rsidR="009A03BD" w:rsidRPr="005C2CEC" w:rsidRDefault="009A03BD" w:rsidP="009A03BD">
            <w:pPr>
              <w:spacing w:after="0"/>
              <w:jc w:val="center"/>
              <w:rPr>
                <w:sz w:val="20"/>
                <w:szCs w:val="20"/>
              </w:rPr>
            </w:pPr>
            <w:r w:rsidRPr="005C2CEC">
              <w:rPr>
                <w:sz w:val="20"/>
                <w:szCs w:val="20"/>
              </w:rPr>
              <w:t>ÁNO / NIE</w:t>
            </w:r>
          </w:p>
        </w:tc>
        <w:tc>
          <w:tcPr>
            <w:tcW w:w="1418" w:type="dxa"/>
            <w:tcBorders>
              <w:top w:val="nil"/>
              <w:left w:val="nil"/>
              <w:bottom w:val="nil"/>
              <w:right w:val="single" w:sz="4" w:space="0" w:color="BFBFBF"/>
            </w:tcBorders>
            <w:shd w:val="clear" w:color="auto" w:fill="auto"/>
            <w:noWrap/>
            <w:tcMar>
              <w:top w:w="15" w:type="dxa"/>
              <w:left w:w="15" w:type="dxa"/>
              <w:bottom w:w="0" w:type="dxa"/>
              <w:right w:w="15" w:type="dxa"/>
            </w:tcMar>
            <w:vAlign w:val="bottom"/>
            <w:hideMark/>
          </w:tcPr>
          <w:p w14:paraId="7DD4D65F" w14:textId="77777777" w:rsidR="009A03BD" w:rsidRPr="005C2CEC" w:rsidRDefault="009A03BD" w:rsidP="009A03BD">
            <w:pPr>
              <w:spacing w:after="0"/>
              <w:jc w:val="left"/>
              <w:rPr>
                <w:color w:val="000000"/>
                <w:sz w:val="20"/>
                <w:szCs w:val="20"/>
              </w:rPr>
            </w:pPr>
            <w:r w:rsidRPr="005C2CEC">
              <w:rPr>
                <w:color w:val="000000"/>
                <w:sz w:val="20"/>
                <w:szCs w:val="20"/>
              </w:rPr>
              <w:t> </w:t>
            </w:r>
          </w:p>
        </w:tc>
        <w:tc>
          <w:tcPr>
            <w:tcW w:w="1559" w:type="dxa"/>
            <w:tcBorders>
              <w:top w:val="nil"/>
              <w:left w:val="nil"/>
              <w:bottom w:val="nil"/>
              <w:right w:val="single" w:sz="4" w:space="0" w:color="BFBFBF"/>
            </w:tcBorders>
            <w:shd w:val="clear" w:color="auto" w:fill="auto"/>
            <w:noWrap/>
            <w:tcMar>
              <w:top w:w="15" w:type="dxa"/>
              <w:left w:w="15" w:type="dxa"/>
              <w:bottom w:w="0" w:type="dxa"/>
              <w:right w:w="15" w:type="dxa"/>
            </w:tcMar>
            <w:vAlign w:val="bottom"/>
            <w:hideMark/>
          </w:tcPr>
          <w:p w14:paraId="6930F05F" w14:textId="77777777" w:rsidR="009A03BD" w:rsidRPr="005C2CEC" w:rsidRDefault="009A03BD" w:rsidP="009A03BD">
            <w:pPr>
              <w:spacing w:after="0"/>
              <w:rPr>
                <w:color w:val="000000"/>
                <w:sz w:val="20"/>
                <w:szCs w:val="20"/>
              </w:rPr>
            </w:pPr>
            <w:r w:rsidRPr="005C2CEC">
              <w:rPr>
                <w:color w:val="000000"/>
                <w:sz w:val="20"/>
                <w:szCs w:val="20"/>
              </w:rPr>
              <w:t> </w:t>
            </w:r>
          </w:p>
        </w:tc>
        <w:tc>
          <w:tcPr>
            <w:tcW w:w="1134" w:type="dxa"/>
            <w:tcBorders>
              <w:top w:val="nil"/>
              <w:left w:val="nil"/>
              <w:bottom w:val="nil"/>
              <w:right w:val="single" w:sz="4" w:space="0" w:color="BFBFBF"/>
            </w:tcBorders>
            <w:shd w:val="clear" w:color="auto" w:fill="auto"/>
            <w:noWrap/>
            <w:tcMar>
              <w:top w:w="15" w:type="dxa"/>
              <w:left w:w="15" w:type="dxa"/>
              <w:bottom w:w="0" w:type="dxa"/>
              <w:right w:w="15" w:type="dxa"/>
            </w:tcMar>
            <w:vAlign w:val="bottom"/>
            <w:hideMark/>
          </w:tcPr>
          <w:p w14:paraId="15826214" w14:textId="77777777" w:rsidR="009A03BD" w:rsidRPr="005C2CEC" w:rsidRDefault="009A03BD" w:rsidP="009A03BD">
            <w:pPr>
              <w:spacing w:after="0"/>
              <w:rPr>
                <w:color w:val="000000"/>
                <w:sz w:val="20"/>
                <w:szCs w:val="20"/>
              </w:rPr>
            </w:pPr>
            <w:r w:rsidRPr="005C2CEC">
              <w:rPr>
                <w:color w:val="000000"/>
                <w:sz w:val="20"/>
                <w:szCs w:val="20"/>
              </w:rPr>
              <w:t> </w:t>
            </w:r>
          </w:p>
        </w:tc>
        <w:tc>
          <w:tcPr>
            <w:tcW w:w="1276" w:type="dxa"/>
            <w:tcBorders>
              <w:top w:val="nil"/>
              <w:left w:val="nil"/>
              <w:bottom w:val="nil"/>
              <w:right w:val="single" w:sz="4" w:space="0" w:color="BFBFBF"/>
            </w:tcBorders>
            <w:shd w:val="clear" w:color="auto" w:fill="auto"/>
            <w:noWrap/>
            <w:tcMar>
              <w:top w:w="15" w:type="dxa"/>
              <w:left w:w="15" w:type="dxa"/>
              <w:bottom w:w="0" w:type="dxa"/>
              <w:right w:w="15" w:type="dxa"/>
            </w:tcMar>
            <w:vAlign w:val="bottom"/>
            <w:hideMark/>
          </w:tcPr>
          <w:p w14:paraId="45F94C84" w14:textId="77777777" w:rsidR="009A03BD" w:rsidRPr="005C2CEC" w:rsidRDefault="009A03BD" w:rsidP="009A03BD">
            <w:pPr>
              <w:spacing w:after="0"/>
              <w:rPr>
                <w:color w:val="000000"/>
                <w:sz w:val="20"/>
                <w:szCs w:val="20"/>
              </w:rPr>
            </w:pPr>
            <w:r w:rsidRPr="005C2CEC">
              <w:rPr>
                <w:color w:val="000000"/>
                <w:sz w:val="20"/>
                <w:szCs w:val="20"/>
              </w:rPr>
              <w:t> </w:t>
            </w:r>
          </w:p>
        </w:tc>
        <w:tc>
          <w:tcPr>
            <w:tcW w:w="469" w:type="dxa"/>
            <w:tcBorders>
              <w:top w:val="nil"/>
              <w:left w:val="nil"/>
              <w:bottom w:val="nil"/>
              <w:right w:val="single" w:sz="18" w:space="0" w:color="002060"/>
            </w:tcBorders>
            <w:shd w:val="clear" w:color="auto" w:fill="auto"/>
            <w:noWrap/>
            <w:tcMar>
              <w:top w:w="15" w:type="dxa"/>
              <w:left w:w="15" w:type="dxa"/>
              <w:bottom w:w="0" w:type="dxa"/>
              <w:right w:w="15" w:type="dxa"/>
            </w:tcMar>
            <w:vAlign w:val="bottom"/>
            <w:hideMark/>
          </w:tcPr>
          <w:p w14:paraId="07F94716" w14:textId="77777777" w:rsidR="009A03BD" w:rsidRPr="005C2CEC" w:rsidRDefault="009A03BD" w:rsidP="009A03BD">
            <w:pPr>
              <w:spacing w:after="0"/>
              <w:rPr>
                <w:color w:val="000000"/>
                <w:sz w:val="20"/>
                <w:szCs w:val="20"/>
              </w:rPr>
            </w:pPr>
            <w:r w:rsidRPr="005C2CEC">
              <w:rPr>
                <w:color w:val="000000"/>
                <w:sz w:val="20"/>
                <w:szCs w:val="20"/>
              </w:rPr>
              <w:t> </w:t>
            </w:r>
          </w:p>
        </w:tc>
      </w:tr>
      <w:tr w:rsidR="009A03BD" w:rsidRPr="005C2CEC" w14:paraId="662315CE" w14:textId="77777777" w:rsidTr="00577F95">
        <w:trPr>
          <w:trHeight w:val="441"/>
        </w:trPr>
        <w:tc>
          <w:tcPr>
            <w:tcW w:w="1395" w:type="dxa"/>
            <w:vMerge/>
            <w:tcBorders>
              <w:top w:val="nil"/>
              <w:left w:val="single" w:sz="18" w:space="0" w:color="002060"/>
              <w:bottom w:val="single" w:sz="8" w:space="0" w:color="000000"/>
              <w:right w:val="single" w:sz="4" w:space="0" w:color="BFBFBF"/>
            </w:tcBorders>
            <w:vAlign w:val="center"/>
            <w:hideMark/>
          </w:tcPr>
          <w:p w14:paraId="16B53AB5" w14:textId="77777777" w:rsidR="009A03BD" w:rsidRPr="005C2CEC" w:rsidRDefault="009A03BD" w:rsidP="009A03BD">
            <w:pPr>
              <w:spacing w:after="0"/>
              <w:jc w:val="left"/>
              <w:rPr>
                <w:color w:val="000000"/>
              </w:rPr>
            </w:pPr>
          </w:p>
        </w:tc>
        <w:tc>
          <w:tcPr>
            <w:tcW w:w="2410" w:type="dxa"/>
            <w:tcBorders>
              <w:top w:val="single" w:sz="4" w:space="0" w:color="BFBFBF"/>
              <w:left w:val="nil"/>
              <w:bottom w:val="nil"/>
              <w:right w:val="single" w:sz="4" w:space="0" w:color="BFBFBF"/>
            </w:tcBorders>
            <w:shd w:val="clear" w:color="000000" w:fill="F2F2F2"/>
            <w:tcMar>
              <w:top w:w="15" w:type="dxa"/>
              <w:left w:w="15" w:type="dxa"/>
              <w:bottom w:w="0" w:type="dxa"/>
              <w:right w:w="15" w:type="dxa"/>
            </w:tcMar>
            <w:vAlign w:val="center"/>
            <w:hideMark/>
          </w:tcPr>
          <w:p w14:paraId="4199E1B6" w14:textId="77777777" w:rsidR="009A03BD" w:rsidRPr="005C2CEC" w:rsidRDefault="009A03BD" w:rsidP="009A03BD">
            <w:pPr>
              <w:spacing w:after="0"/>
              <w:jc w:val="left"/>
              <w:rPr>
                <w:color w:val="000000"/>
                <w:sz w:val="20"/>
                <w:szCs w:val="20"/>
              </w:rPr>
            </w:pPr>
            <w:r w:rsidRPr="005C2CEC">
              <w:rPr>
                <w:color w:val="000000"/>
                <w:sz w:val="20"/>
                <w:szCs w:val="20"/>
              </w:rPr>
              <w:t>Podpora vedy, výskumu a inovácii</w:t>
            </w:r>
          </w:p>
        </w:tc>
        <w:tc>
          <w:tcPr>
            <w:tcW w:w="3827" w:type="dxa"/>
            <w:tcBorders>
              <w:top w:val="single" w:sz="4" w:space="0" w:color="BFBFBF"/>
              <w:left w:val="nil"/>
              <w:bottom w:val="nil"/>
              <w:right w:val="single" w:sz="4" w:space="0" w:color="BFBFBF"/>
            </w:tcBorders>
            <w:shd w:val="clear" w:color="000000" w:fill="F2F2F2"/>
            <w:tcMar>
              <w:top w:w="15" w:type="dxa"/>
              <w:left w:w="15" w:type="dxa"/>
              <w:bottom w:w="0" w:type="dxa"/>
              <w:right w:w="15" w:type="dxa"/>
            </w:tcMar>
            <w:vAlign w:val="center"/>
            <w:hideMark/>
          </w:tcPr>
          <w:p w14:paraId="4774CBAF" w14:textId="1239883D" w:rsidR="009A03BD" w:rsidRPr="005C2CEC" w:rsidRDefault="00B77B96" w:rsidP="009A03BD">
            <w:pPr>
              <w:spacing w:after="0"/>
              <w:rPr>
                <w:i/>
                <w:iCs/>
                <w:color w:val="000000"/>
                <w:sz w:val="16"/>
                <w:szCs w:val="16"/>
              </w:rPr>
            </w:pPr>
            <w:r w:rsidRPr="005C2CEC">
              <w:rPr>
                <w:i/>
                <w:iCs/>
                <w:color w:val="000000"/>
                <w:sz w:val="16"/>
                <w:szCs w:val="16"/>
              </w:rPr>
              <w:t>Investíci</w:t>
            </w:r>
            <w:r w:rsidR="009A03BD" w:rsidRPr="005C2CEC">
              <w:rPr>
                <w:i/>
                <w:iCs/>
                <w:color w:val="000000"/>
                <w:sz w:val="16"/>
                <w:szCs w:val="16"/>
              </w:rPr>
              <w:t>a podporuje výskum a inovácie v akademickom, komerčnom aj verejnom sektore.</w:t>
            </w:r>
          </w:p>
        </w:tc>
        <w:tc>
          <w:tcPr>
            <w:tcW w:w="992" w:type="dxa"/>
            <w:tcBorders>
              <w:top w:val="single" w:sz="4" w:space="0" w:color="BFBFBF"/>
              <w:left w:val="nil"/>
              <w:bottom w:val="nil"/>
              <w:right w:val="single" w:sz="4" w:space="0" w:color="BFBFBF"/>
            </w:tcBorders>
            <w:shd w:val="clear" w:color="auto" w:fill="auto"/>
            <w:noWrap/>
            <w:tcMar>
              <w:top w:w="15" w:type="dxa"/>
              <w:left w:w="15" w:type="dxa"/>
              <w:bottom w:w="0" w:type="dxa"/>
              <w:right w:w="15" w:type="dxa"/>
            </w:tcMar>
            <w:vAlign w:val="center"/>
            <w:hideMark/>
          </w:tcPr>
          <w:p w14:paraId="66B6E285" w14:textId="3E39AD41" w:rsidR="009A03BD" w:rsidRPr="005C2CEC" w:rsidRDefault="009A03BD" w:rsidP="009A03BD">
            <w:pPr>
              <w:spacing w:after="0"/>
              <w:jc w:val="center"/>
              <w:rPr>
                <w:sz w:val="20"/>
                <w:szCs w:val="20"/>
              </w:rPr>
            </w:pPr>
            <w:r w:rsidRPr="005C2CEC">
              <w:rPr>
                <w:sz w:val="20"/>
                <w:szCs w:val="20"/>
              </w:rPr>
              <w:t>ÁNO / NIE</w:t>
            </w:r>
          </w:p>
        </w:tc>
        <w:tc>
          <w:tcPr>
            <w:tcW w:w="1418" w:type="dxa"/>
            <w:tcBorders>
              <w:top w:val="single" w:sz="4" w:space="0" w:color="BFBFBF"/>
              <w:left w:val="nil"/>
              <w:bottom w:val="nil"/>
              <w:right w:val="single" w:sz="4" w:space="0" w:color="BFBFBF"/>
            </w:tcBorders>
            <w:shd w:val="clear" w:color="auto" w:fill="auto"/>
            <w:noWrap/>
            <w:tcMar>
              <w:top w:w="15" w:type="dxa"/>
              <w:left w:w="15" w:type="dxa"/>
              <w:bottom w:w="0" w:type="dxa"/>
              <w:right w:w="15" w:type="dxa"/>
            </w:tcMar>
            <w:vAlign w:val="bottom"/>
            <w:hideMark/>
          </w:tcPr>
          <w:p w14:paraId="111D0261" w14:textId="77777777" w:rsidR="009A03BD" w:rsidRPr="005C2CEC" w:rsidRDefault="009A03BD" w:rsidP="009A03BD">
            <w:pPr>
              <w:spacing w:after="0"/>
              <w:jc w:val="left"/>
              <w:rPr>
                <w:color w:val="000000"/>
                <w:sz w:val="20"/>
                <w:szCs w:val="20"/>
              </w:rPr>
            </w:pPr>
            <w:r w:rsidRPr="005C2CEC">
              <w:rPr>
                <w:color w:val="000000"/>
                <w:sz w:val="20"/>
                <w:szCs w:val="20"/>
              </w:rPr>
              <w:t> </w:t>
            </w:r>
          </w:p>
        </w:tc>
        <w:tc>
          <w:tcPr>
            <w:tcW w:w="1559" w:type="dxa"/>
            <w:tcBorders>
              <w:top w:val="single" w:sz="4" w:space="0" w:color="BFBFBF"/>
              <w:left w:val="nil"/>
              <w:bottom w:val="nil"/>
              <w:right w:val="single" w:sz="4" w:space="0" w:color="BFBFBF"/>
            </w:tcBorders>
            <w:shd w:val="clear" w:color="auto" w:fill="auto"/>
            <w:noWrap/>
            <w:tcMar>
              <w:top w:w="15" w:type="dxa"/>
              <w:left w:w="15" w:type="dxa"/>
              <w:bottom w:w="0" w:type="dxa"/>
              <w:right w:w="15" w:type="dxa"/>
            </w:tcMar>
            <w:vAlign w:val="bottom"/>
            <w:hideMark/>
          </w:tcPr>
          <w:p w14:paraId="20F0F298" w14:textId="77777777" w:rsidR="009A03BD" w:rsidRPr="005C2CEC" w:rsidRDefault="009A03BD" w:rsidP="009A03BD">
            <w:pPr>
              <w:spacing w:after="0"/>
              <w:rPr>
                <w:color w:val="000000"/>
                <w:sz w:val="20"/>
                <w:szCs w:val="20"/>
              </w:rPr>
            </w:pPr>
            <w:r w:rsidRPr="005C2CEC">
              <w:rPr>
                <w:color w:val="000000"/>
                <w:sz w:val="20"/>
                <w:szCs w:val="20"/>
              </w:rPr>
              <w:t> </w:t>
            </w:r>
          </w:p>
        </w:tc>
        <w:tc>
          <w:tcPr>
            <w:tcW w:w="1134" w:type="dxa"/>
            <w:tcBorders>
              <w:top w:val="single" w:sz="4" w:space="0" w:color="BFBFBF"/>
              <w:left w:val="nil"/>
              <w:bottom w:val="nil"/>
              <w:right w:val="single" w:sz="4" w:space="0" w:color="BFBFBF"/>
            </w:tcBorders>
            <w:shd w:val="clear" w:color="auto" w:fill="auto"/>
            <w:noWrap/>
            <w:tcMar>
              <w:top w:w="15" w:type="dxa"/>
              <w:left w:w="15" w:type="dxa"/>
              <w:bottom w:w="0" w:type="dxa"/>
              <w:right w:w="15" w:type="dxa"/>
            </w:tcMar>
            <w:vAlign w:val="bottom"/>
            <w:hideMark/>
          </w:tcPr>
          <w:p w14:paraId="56978344" w14:textId="77777777" w:rsidR="009A03BD" w:rsidRPr="005C2CEC" w:rsidRDefault="009A03BD" w:rsidP="009A03BD">
            <w:pPr>
              <w:spacing w:after="0"/>
              <w:rPr>
                <w:color w:val="000000"/>
                <w:sz w:val="20"/>
                <w:szCs w:val="20"/>
              </w:rPr>
            </w:pPr>
            <w:r w:rsidRPr="005C2CEC">
              <w:rPr>
                <w:color w:val="000000"/>
                <w:sz w:val="20"/>
                <w:szCs w:val="20"/>
              </w:rPr>
              <w:t> </w:t>
            </w:r>
          </w:p>
        </w:tc>
        <w:tc>
          <w:tcPr>
            <w:tcW w:w="1276" w:type="dxa"/>
            <w:tcBorders>
              <w:top w:val="single" w:sz="4" w:space="0" w:color="BFBFBF"/>
              <w:left w:val="nil"/>
              <w:bottom w:val="nil"/>
              <w:right w:val="single" w:sz="4" w:space="0" w:color="BFBFBF"/>
            </w:tcBorders>
            <w:shd w:val="clear" w:color="auto" w:fill="auto"/>
            <w:noWrap/>
            <w:tcMar>
              <w:top w:w="15" w:type="dxa"/>
              <w:left w:w="15" w:type="dxa"/>
              <w:bottom w:w="0" w:type="dxa"/>
              <w:right w:w="15" w:type="dxa"/>
            </w:tcMar>
            <w:vAlign w:val="bottom"/>
            <w:hideMark/>
          </w:tcPr>
          <w:p w14:paraId="0D939D93" w14:textId="77777777" w:rsidR="009A03BD" w:rsidRPr="005C2CEC" w:rsidRDefault="009A03BD" w:rsidP="009A03BD">
            <w:pPr>
              <w:spacing w:after="0"/>
              <w:rPr>
                <w:color w:val="000000"/>
                <w:sz w:val="20"/>
                <w:szCs w:val="20"/>
              </w:rPr>
            </w:pPr>
            <w:r w:rsidRPr="005C2CEC">
              <w:rPr>
                <w:color w:val="000000"/>
                <w:sz w:val="20"/>
                <w:szCs w:val="20"/>
              </w:rPr>
              <w:t> </w:t>
            </w:r>
          </w:p>
        </w:tc>
        <w:tc>
          <w:tcPr>
            <w:tcW w:w="469" w:type="dxa"/>
            <w:tcBorders>
              <w:top w:val="single" w:sz="4" w:space="0" w:color="BFBFBF"/>
              <w:left w:val="nil"/>
              <w:bottom w:val="nil"/>
              <w:right w:val="single" w:sz="18" w:space="0" w:color="002060"/>
            </w:tcBorders>
            <w:shd w:val="clear" w:color="auto" w:fill="auto"/>
            <w:noWrap/>
            <w:tcMar>
              <w:top w:w="15" w:type="dxa"/>
              <w:left w:w="15" w:type="dxa"/>
              <w:bottom w:w="0" w:type="dxa"/>
              <w:right w:w="15" w:type="dxa"/>
            </w:tcMar>
            <w:vAlign w:val="bottom"/>
            <w:hideMark/>
          </w:tcPr>
          <w:p w14:paraId="7310CA05" w14:textId="77777777" w:rsidR="009A03BD" w:rsidRPr="005C2CEC" w:rsidRDefault="009A03BD" w:rsidP="009A03BD">
            <w:pPr>
              <w:spacing w:after="0"/>
              <w:rPr>
                <w:color w:val="000000"/>
                <w:sz w:val="20"/>
                <w:szCs w:val="20"/>
              </w:rPr>
            </w:pPr>
            <w:r w:rsidRPr="005C2CEC">
              <w:rPr>
                <w:color w:val="000000"/>
                <w:sz w:val="20"/>
                <w:szCs w:val="20"/>
              </w:rPr>
              <w:t> </w:t>
            </w:r>
          </w:p>
        </w:tc>
      </w:tr>
      <w:tr w:rsidR="009A03BD" w:rsidRPr="005C2CEC" w14:paraId="14FB7060" w14:textId="77777777" w:rsidTr="00577F95">
        <w:trPr>
          <w:trHeight w:val="237"/>
        </w:trPr>
        <w:tc>
          <w:tcPr>
            <w:tcW w:w="1395" w:type="dxa"/>
            <w:vMerge/>
            <w:tcBorders>
              <w:top w:val="nil"/>
              <w:left w:val="single" w:sz="18" w:space="0" w:color="002060"/>
              <w:bottom w:val="single" w:sz="8" w:space="0" w:color="000000"/>
              <w:right w:val="single" w:sz="4" w:space="0" w:color="BFBFBF"/>
            </w:tcBorders>
            <w:vAlign w:val="center"/>
            <w:hideMark/>
          </w:tcPr>
          <w:p w14:paraId="6B086091" w14:textId="77777777" w:rsidR="009A03BD" w:rsidRPr="005C2CEC" w:rsidRDefault="009A03BD" w:rsidP="009A03BD">
            <w:pPr>
              <w:spacing w:after="0"/>
              <w:jc w:val="left"/>
              <w:rPr>
                <w:color w:val="000000"/>
              </w:rPr>
            </w:pPr>
          </w:p>
        </w:tc>
        <w:tc>
          <w:tcPr>
            <w:tcW w:w="2410" w:type="dxa"/>
            <w:tcBorders>
              <w:top w:val="single" w:sz="4" w:space="0" w:color="BFBFBF"/>
              <w:left w:val="nil"/>
              <w:bottom w:val="nil"/>
              <w:right w:val="single" w:sz="4" w:space="0" w:color="BFBFBF"/>
            </w:tcBorders>
            <w:shd w:val="clear" w:color="000000" w:fill="F2F2F2"/>
            <w:tcMar>
              <w:top w:w="15" w:type="dxa"/>
              <w:left w:w="15" w:type="dxa"/>
              <w:bottom w:w="0" w:type="dxa"/>
              <w:right w:w="15" w:type="dxa"/>
            </w:tcMar>
            <w:vAlign w:val="center"/>
            <w:hideMark/>
          </w:tcPr>
          <w:p w14:paraId="3B6D879F" w14:textId="77777777" w:rsidR="009A03BD" w:rsidRPr="005C2CEC" w:rsidRDefault="009A03BD" w:rsidP="009A03BD">
            <w:pPr>
              <w:spacing w:after="0"/>
              <w:jc w:val="left"/>
              <w:rPr>
                <w:color w:val="000000"/>
                <w:sz w:val="20"/>
                <w:szCs w:val="20"/>
              </w:rPr>
            </w:pPr>
            <w:r w:rsidRPr="005C2CEC">
              <w:rPr>
                <w:color w:val="000000"/>
                <w:sz w:val="20"/>
                <w:szCs w:val="20"/>
              </w:rPr>
              <w:t>Dostupnosť infraštruktúry</w:t>
            </w:r>
          </w:p>
        </w:tc>
        <w:tc>
          <w:tcPr>
            <w:tcW w:w="3827" w:type="dxa"/>
            <w:tcBorders>
              <w:top w:val="single" w:sz="4" w:space="0" w:color="BFBFBF"/>
              <w:left w:val="nil"/>
              <w:bottom w:val="nil"/>
              <w:right w:val="single" w:sz="4" w:space="0" w:color="BFBFBF"/>
            </w:tcBorders>
            <w:shd w:val="clear" w:color="000000" w:fill="F2F2F2"/>
            <w:tcMar>
              <w:top w:w="15" w:type="dxa"/>
              <w:left w:w="15" w:type="dxa"/>
              <w:bottom w:w="0" w:type="dxa"/>
              <w:right w:w="15" w:type="dxa"/>
            </w:tcMar>
            <w:vAlign w:val="center"/>
            <w:hideMark/>
          </w:tcPr>
          <w:p w14:paraId="73F8BCCB" w14:textId="77777777" w:rsidR="009A03BD" w:rsidRPr="005C2CEC" w:rsidRDefault="009A03BD" w:rsidP="009A03BD">
            <w:pPr>
              <w:spacing w:after="0"/>
              <w:rPr>
                <w:i/>
                <w:iCs/>
                <w:color w:val="000000"/>
                <w:sz w:val="16"/>
                <w:szCs w:val="16"/>
              </w:rPr>
            </w:pPr>
            <w:r w:rsidRPr="005C2CEC">
              <w:rPr>
                <w:i/>
                <w:iCs/>
                <w:color w:val="000000"/>
                <w:sz w:val="16"/>
                <w:szCs w:val="16"/>
              </w:rPr>
              <w:t>Investícia zvyšuje dostupnosť infraštruktúry (dopravnej, telekomunikačnej...) pre občanov aj podnikateľov</w:t>
            </w:r>
          </w:p>
        </w:tc>
        <w:tc>
          <w:tcPr>
            <w:tcW w:w="992" w:type="dxa"/>
            <w:tcBorders>
              <w:top w:val="single" w:sz="4" w:space="0" w:color="BFBFBF"/>
              <w:left w:val="nil"/>
              <w:bottom w:val="nil"/>
              <w:right w:val="single" w:sz="4" w:space="0" w:color="BFBFBF"/>
            </w:tcBorders>
            <w:shd w:val="clear" w:color="auto" w:fill="auto"/>
            <w:noWrap/>
            <w:tcMar>
              <w:top w:w="15" w:type="dxa"/>
              <w:left w:w="15" w:type="dxa"/>
              <w:bottom w:w="0" w:type="dxa"/>
              <w:right w:w="15" w:type="dxa"/>
            </w:tcMar>
            <w:vAlign w:val="center"/>
            <w:hideMark/>
          </w:tcPr>
          <w:p w14:paraId="286FB660" w14:textId="4D82DD8C" w:rsidR="009A03BD" w:rsidRPr="005C2CEC" w:rsidRDefault="009A03BD" w:rsidP="009A03BD">
            <w:pPr>
              <w:spacing w:after="0"/>
              <w:jc w:val="center"/>
              <w:rPr>
                <w:sz w:val="20"/>
                <w:szCs w:val="20"/>
              </w:rPr>
            </w:pPr>
            <w:r w:rsidRPr="005C2CEC">
              <w:rPr>
                <w:sz w:val="20"/>
                <w:szCs w:val="20"/>
              </w:rPr>
              <w:t>ÁNO / NIE</w:t>
            </w:r>
          </w:p>
        </w:tc>
        <w:tc>
          <w:tcPr>
            <w:tcW w:w="1418" w:type="dxa"/>
            <w:tcBorders>
              <w:top w:val="single" w:sz="4" w:space="0" w:color="BFBFBF"/>
              <w:left w:val="nil"/>
              <w:bottom w:val="nil"/>
              <w:right w:val="single" w:sz="4" w:space="0" w:color="BFBFBF"/>
            </w:tcBorders>
            <w:shd w:val="clear" w:color="auto" w:fill="auto"/>
            <w:noWrap/>
            <w:tcMar>
              <w:top w:w="15" w:type="dxa"/>
              <w:left w:w="15" w:type="dxa"/>
              <w:bottom w:w="0" w:type="dxa"/>
              <w:right w:w="15" w:type="dxa"/>
            </w:tcMar>
            <w:vAlign w:val="bottom"/>
            <w:hideMark/>
          </w:tcPr>
          <w:p w14:paraId="60B459D0" w14:textId="77777777" w:rsidR="009A03BD" w:rsidRPr="005C2CEC" w:rsidRDefault="009A03BD" w:rsidP="009A03BD">
            <w:pPr>
              <w:spacing w:after="0"/>
              <w:jc w:val="left"/>
              <w:rPr>
                <w:color w:val="000000"/>
                <w:sz w:val="20"/>
                <w:szCs w:val="20"/>
              </w:rPr>
            </w:pPr>
            <w:r w:rsidRPr="005C2CEC">
              <w:rPr>
                <w:color w:val="000000"/>
                <w:sz w:val="20"/>
                <w:szCs w:val="20"/>
              </w:rPr>
              <w:t> </w:t>
            </w:r>
          </w:p>
        </w:tc>
        <w:tc>
          <w:tcPr>
            <w:tcW w:w="1559" w:type="dxa"/>
            <w:tcBorders>
              <w:top w:val="single" w:sz="4" w:space="0" w:color="BFBFBF"/>
              <w:left w:val="nil"/>
              <w:bottom w:val="nil"/>
              <w:right w:val="single" w:sz="4" w:space="0" w:color="BFBFBF"/>
            </w:tcBorders>
            <w:shd w:val="clear" w:color="auto" w:fill="auto"/>
            <w:noWrap/>
            <w:tcMar>
              <w:top w:w="15" w:type="dxa"/>
              <w:left w:w="15" w:type="dxa"/>
              <w:bottom w:w="0" w:type="dxa"/>
              <w:right w:w="15" w:type="dxa"/>
            </w:tcMar>
            <w:vAlign w:val="bottom"/>
            <w:hideMark/>
          </w:tcPr>
          <w:p w14:paraId="01E671B5" w14:textId="77777777" w:rsidR="009A03BD" w:rsidRPr="005C2CEC" w:rsidRDefault="009A03BD" w:rsidP="009A03BD">
            <w:pPr>
              <w:spacing w:after="0"/>
              <w:rPr>
                <w:color w:val="000000"/>
                <w:sz w:val="20"/>
                <w:szCs w:val="20"/>
              </w:rPr>
            </w:pPr>
            <w:r w:rsidRPr="005C2CEC">
              <w:rPr>
                <w:color w:val="000000"/>
                <w:sz w:val="20"/>
                <w:szCs w:val="20"/>
              </w:rPr>
              <w:t> </w:t>
            </w:r>
          </w:p>
        </w:tc>
        <w:tc>
          <w:tcPr>
            <w:tcW w:w="1134" w:type="dxa"/>
            <w:tcBorders>
              <w:top w:val="single" w:sz="4" w:space="0" w:color="BFBFBF"/>
              <w:left w:val="nil"/>
              <w:bottom w:val="nil"/>
              <w:right w:val="single" w:sz="4" w:space="0" w:color="BFBFBF"/>
            </w:tcBorders>
            <w:shd w:val="clear" w:color="auto" w:fill="auto"/>
            <w:noWrap/>
            <w:tcMar>
              <w:top w:w="15" w:type="dxa"/>
              <w:left w:w="15" w:type="dxa"/>
              <w:bottom w:w="0" w:type="dxa"/>
              <w:right w:w="15" w:type="dxa"/>
            </w:tcMar>
            <w:vAlign w:val="bottom"/>
            <w:hideMark/>
          </w:tcPr>
          <w:p w14:paraId="00A4EAE0" w14:textId="77777777" w:rsidR="009A03BD" w:rsidRPr="005C2CEC" w:rsidRDefault="009A03BD" w:rsidP="009A03BD">
            <w:pPr>
              <w:spacing w:after="0"/>
              <w:rPr>
                <w:color w:val="000000"/>
                <w:sz w:val="20"/>
                <w:szCs w:val="20"/>
              </w:rPr>
            </w:pPr>
            <w:r w:rsidRPr="005C2CEC">
              <w:rPr>
                <w:color w:val="000000"/>
                <w:sz w:val="20"/>
                <w:szCs w:val="20"/>
              </w:rPr>
              <w:t> </w:t>
            </w:r>
          </w:p>
        </w:tc>
        <w:tc>
          <w:tcPr>
            <w:tcW w:w="1276" w:type="dxa"/>
            <w:tcBorders>
              <w:top w:val="single" w:sz="4" w:space="0" w:color="BFBFBF"/>
              <w:left w:val="nil"/>
              <w:bottom w:val="nil"/>
              <w:right w:val="single" w:sz="4" w:space="0" w:color="BFBFBF"/>
            </w:tcBorders>
            <w:shd w:val="clear" w:color="auto" w:fill="auto"/>
            <w:noWrap/>
            <w:tcMar>
              <w:top w:w="15" w:type="dxa"/>
              <w:left w:w="15" w:type="dxa"/>
              <w:bottom w:w="0" w:type="dxa"/>
              <w:right w:w="15" w:type="dxa"/>
            </w:tcMar>
            <w:vAlign w:val="bottom"/>
            <w:hideMark/>
          </w:tcPr>
          <w:p w14:paraId="51D336BE" w14:textId="77777777" w:rsidR="009A03BD" w:rsidRPr="005C2CEC" w:rsidRDefault="009A03BD" w:rsidP="009A03BD">
            <w:pPr>
              <w:spacing w:after="0"/>
              <w:rPr>
                <w:color w:val="000000"/>
                <w:sz w:val="20"/>
                <w:szCs w:val="20"/>
              </w:rPr>
            </w:pPr>
            <w:r w:rsidRPr="005C2CEC">
              <w:rPr>
                <w:color w:val="000000"/>
                <w:sz w:val="20"/>
                <w:szCs w:val="20"/>
              </w:rPr>
              <w:t> </w:t>
            </w:r>
          </w:p>
        </w:tc>
        <w:tc>
          <w:tcPr>
            <w:tcW w:w="469" w:type="dxa"/>
            <w:tcBorders>
              <w:top w:val="single" w:sz="4" w:space="0" w:color="BFBFBF"/>
              <w:left w:val="nil"/>
              <w:bottom w:val="nil"/>
              <w:right w:val="single" w:sz="18" w:space="0" w:color="002060"/>
            </w:tcBorders>
            <w:shd w:val="clear" w:color="auto" w:fill="auto"/>
            <w:noWrap/>
            <w:tcMar>
              <w:top w:w="15" w:type="dxa"/>
              <w:left w:w="15" w:type="dxa"/>
              <w:bottom w:w="0" w:type="dxa"/>
              <w:right w:w="15" w:type="dxa"/>
            </w:tcMar>
            <w:vAlign w:val="bottom"/>
            <w:hideMark/>
          </w:tcPr>
          <w:p w14:paraId="2EE7FDAC" w14:textId="77777777" w:rsidR="009A03BD" w:rsidRPr="005C2CEC" w:rsidRDefault="009A03BD" w:rsidP="009A03BD">
            <w:pPr>
              <w:spacing w:after="0"/>
              <w:rPr>
                <w:color w:val="000000"/>
                <w:sz w:val="20"/>
                <w:szCs w:val="20"/>
              </w:rPr>
            </w:pPr>
            <w:r w:rsidRPr="005C2CEC">
              <w:rPr>
                <w:color w:val="000000"/>
                <w:sz w:val="20"/>
                <w:szCs w:val="20"/>
              </w:rPr>
              <w:t> </w:t>
            </w:r>
          </w:p>
        </w:tc>
      </w:tr>
      <w:tr w:rsidR="009A03BD" w:rsidRPr="005C2CEC" w14:paraId="22468E35" w14:textId="77777777" w:rsidTr="00577F95">
        <w:trPr>
          <w:trHeight w:val="329"/>
        </w:trPr>
        <w:tc>
          <w:tcPr>
            <w:tcW w:w="1395" w:type="dxa"/>
            <w:vMerge/>
            <w:tcBorders>
              <w:top w:val="nil"/>
              <w:left w:val="single" w:sz="18" w:space="0" w:color="002060"/>
              <w:bottom w:val="single" w:sz="18" w:space="0" w:color="002060"/>
              <w:right w:val="single" w:sz="4" w:space="0" w:color="BFBFBF"/>
            </w:tcBorders>
            <w:vAlign w:val="center"/>
            <w:hideMark/>
          </w:tcPr>
          <w:p w14:paraId="0D12D1E5" w14:textId="77777777" w:rsidR="009A03BD" w:rsidRPr="005C2CEC" w:rsidRDefault="009A03BD" w:rsidP="009A03BD">
            <w:pPr>
              <w:spacing w:after="0"/>
              <w:jc w:val="left"/>
              <w:rPr>
                <w:color w:val="000000"/>
              </w:rPr>
            </w:pPr>
          </w:p>
        </w:tc>
        <w:tc>
          <w:tcPr>
            <w:tcW w:w="2410" w:type="dxa"/>
            <w:tcBorders>
              <w:top w:val="single" w:sz="4" w:space="0" w:color="BFBFBF"/>
              <w:left w:val="nil"/>
              <w:bottom w:val="single" w:sz="18" w:space="0" w:color="002060"/>
              <w:right w:val="single" w:sz="4" w:space="0" w:color="BFBFBF"/>
            </w:tcBorders>
            <w:shd w:val="clear" w:color="000000" w:fill="F2F2F2"/>
            <w:tcMar>
              <w:top w:w="15" w:type="dxa"/>
              <w:left w:w="15" w:type="dxa"/>
              <w:bottom w:w="0" w:type="dxa"/>
              <w:right w:w="15" w:type="dxa"/>
            </w:tcMar>
            <w:vAlign w:val="center"/>
            <w:hideMark/>
          </w:tcPr>
          <w:p w14:paraId="260AE874" w14:textId="77777777" w:rsidR="009A03BD" w:rsidRPr="005C2CEC" w:rsidRDefault="009A03BD" w:rsidP="009A03BD">
            <w:pPr>
              <w:spacing w:after="0"/>
              <w:jc w:val="left"/>
              <w:rPr>
                <w:color w:val="000000"/>
                <w:sz w:val="20"/>
                <w:szCs w:val="20"/>
              </w:rPr>
            </w:pPr>
            <w:r w:rsidRPr="005C2CEC">
              <w:rPr>
                <w:color w:val="000000"/>
                <w:sz w:val="20"/>
                <w:szCs w:val="20"/>
              </w:rPr>
              <w:t>Vplyv na zamestnanosť</w:t>
            </w:r>
          </w:p>
        </w:tc>
        <w:tc>
          <w:tcPr>
            <w:tcW w:w="3827" w:type="dxa"/>
            <w:tcBorders>
              <w:top w:val="single" w:sz="4" w:space="0" w:color="BFBFBF"/>
              <w:left w:val="nil"/>
              <w:bottom w:val="single" w:sz="18" w:space="0" w:color="002060"/>
              <w:right w:val="single" w:sz="4" w:space="0" w:color="BFBFBF"/>
            </w:tcBorders>
            <w:shd w:val="clear" w:color="000000" w:fill="F2F2F2"/>
            <w:tcMar>
              <w:top w:w="15" w:type="dxa"/>
              <w:left w:w="15" w:type="dxa"/>
              <w:bottom w:w="0" w:type="dxa"/>
              <w:right w:w="15" w:type="dxa"/>
            </w:tcMar>
            <w:vAlign w:val="center"/>
            <w:hideMark/>
          </w:tcPr>
          <w:p w14:paraId="0B846EB4" w14:textId="77777777" w:rsidR="009A03BD" w:rsidRPr="005C2CEC" w:rsidRDefault="009A03BD" w:rsidP="009A03BD">
            <w:pPr>
              <w:spacing w:after="0"/>
              <w:rPr>
                <w:i/>
                <w:iCs/>
                <w:color w:val="000000"/>
                <w:sz w:val="16"/>
                <w:szCs w:val="16"/>
              </w:rPr>
            </w:pPr>
            <w:r w:rsidRPr="005C2CEC">
              <w:rPr>
                <w:i/>
                <w:iCs/>
                <w:color w:val="000000"/>
                <w:sz w:val="16"/>
                <w:szCs w:val="16"/>
              </w:rPr>
              <w:t xml:space="preserve">Investícia má vplyv na zamestnanosť v regióne </w:t>
            </w:r>
          </w:p>
        </w:tc>
        <w:tc>
          <w:tcPr>
            <w:tcW w:w="992" w:type="dxa"/>
            <w:tcBorders>
              <w:top w:val="single" w:sz="4" w:space="0" w:color="BFBFBF"/>
              <w:left w:val="nil"/>
              <w:bottom w:val="single" w:sz="18" w:space="0" w:color="002060"/>
              <w:right w:val="single" w:sz="4" w:space="0" w:color="BFBFBF"/>
            </w:tcBorders>
            <w:shd w:val="clear" w:color="auto" w:fill="auto"/>
            <w:noWrap/>
            <w:tcMar>
              <w:top w:w="15" w:type="dxa"/>
              <w:left w:w="15" w:type="dxa"/>
              <w:bottom w:w="0" w:type="dxa"/>
              <w:right w:w="15" w:type="dxa"/>
            </w:tcMar>
            <w:vAlign w:val="center"/>
            <w:hideMark/>
          </w:tcPr>
          <w:p w14:paraId="7297AA95" w14:textId="59EBB584" w:rsidR="009A03BD" w:rsidRPr="005C2CEC" w:rsidRDefault="009A03BD" w:rsidP="009A03BD">
            <w:pPr>
              <w:spacing w:after="0"/>
              <w:jc w:val="center"/>
              <w:rPr>
                <w:sz w:val="20"/>
                <w:szCs w:val="20"/>
              </w:rPr>
            </w:pPr>
            <w:r w:rsidRPr="005C2CEC">
              <w:rPr>
                <w:sz w:val="20"/>
                <w:szCs w:val="20"/>
              </w:rPr>
              <w:t>ÁNO / NIE</w:t>
            </w:r>
          </w:p>
        </w:tc>
        <w:tc>
          <w:tcPr>
            <w:tcW w:w="1418" w:type="dxa"/>
            <w:tcBorders>
              <w:top w:val="single" w:sz="4" w:space="0" w:color="BFBFBF"/>
              <w:left w:val="nil"/>
              <w:bottom w:val="single" w:sz="18" w:space="0" w:color="002060"/>
              <w:right w:val="single" w:sz="4" w:space="0" w:color="BFBFBF"/>
            </w:tcBorders>
            <w:shd w:val="clear" w:color="auto" w:fill="auto"/>
            <w:noWrap/>
            <w:tcMar>
              <w:top w:w="15" w:type="dxa"/>
              <w:left w:w="15" w:type="dxa"/>
              <w:bottom w:w="0" w:type="dxa"/>
              <w:right w:w="15" w:type="dxa"/>
            </w:tcMar>
            <w:vAlign w:val="bottom"/>
            <w:hideMark/>
          </w:tcPr>
          <w:p w14:paraId="3F780300" w14:textId="77777777" w:rsidR="009A03BD" w:rsidRPr="005C2CEC" w:rsidRDefault="009A03BD" w:rsidP="009A03BD">
            <w:pPr>
              <w:spacing w:after="0"/>
              <w:jc w:val="left"/>
              <w:rPr>
                <w:color w:val="000000"/>
                <w:sz w:val="20"/>
                <w:szCs w:val="20"/>
              </w:rPr>
            </w:pPr>
            <w:r w:rsidRPr="005C2CEC">
              <w:rPr>
                <w:color w:val="000000"/>
                <w:sz w:val="20"/>
                <w:szCs w:val="20"/>
              </w:rPr>
              <w:t> </w:t>
            </w:r>
          </w:p>
        </w:tc>
        <w:tc>
          <w:tcPr>
            <w:tcW w:w="1559" w:type="dxa"/>
            <w:tcBorders>
              <w:top w:val="single" w:sz="4" w:space="0" w:color="BFBFBF"/>
              <w:left w:val="nil"/>
              <w:bottom w:val="single" w:sz="18" w:space="0" w:color="002060"/>
              <w:right w:val="single" w:sz="4" w:space="0" w:color="BFBFBF"/>
            </w:tcBorders>
            <w:shd w:val="clear" w:color="auto" w:fill="auto"/>
            <w:noWrap/>
            <w:tcMar>
              <w:top w:w="15" w:type="dxa"/>
              <w:left w:w="15" w:type="dxa"/>
              <w:bottom w:w="0" w:type="dxa"/>
              <w:right w:w="15" w:type="dxa"/>
            </w:tcMar>
            <w:vAlign w:val="bottom"/>
            <w:hideMark/>
          </w:tcPr>
          <w:p w14:paraId="7A17EDFD" w14:textId="77777777" w:rsidR="009A03BD" w:rsidRPr="005C2CEC" w:rsidRDefault="009A03BD" w:rsidP="009A03BD">
            <w:pPr>
              <w:spacing w:after="0"/>
              <w:rPr>
                <w:color w:val="000000"/>
                <w:sz w:val="20"/>
                <w:szCs w:val="20"/>
              </w:rPr>
            </w:pPr>
            <w:r w:rsidRPr="005C2CEC">
              <w:rPr>
                <w:color w:val="000000"/>
                <w:sz w:val="20"/>
                <w:szCs w:val="20"/>
              </w:rPr>
              <w:t> </w:t>
            </w:r>
          </w:p>
        </w:tc>
        <w:tc>
          <w:tcPr>
            <w:tcW w:w="1134" w:type="dxa"/>
            <w:tcBorders>
              <w:top w:val="single" w:sz="4" w:space="0" w:color="BFBFBF"/>
              <w:left w:val="nil"/>
              <w:bottom w:val="single" w:sz="18" w:space="0" w:color="002060"/>
              <w:right w:val="single" w:sz="4" w:space="0" w:color="BFBFBF"/>
            </w:tcBorders>
            <w:shd w:val="clear" w:color="auto" w:fill="auto"/>
            <w:noWrap/>
            <w:tcMar>
              <w:top w:w="15" w:type="dxa"/>
              <w:left w:w="15" w:type="dxa"/>
              <w:bottom w:w="0" w:type="dxa"/>
              <w:right w:w="15" w:type="dxa"/>
            </w:tcMar>
            <w:vAlign w:val="bottom"/>
            <w:hideMark/>
          </w:tcPr>
          <w:p w14:paraId="0311FEB2" w14:textId="77777777" w:rsidR="009A03BD" w:rsidRPr="005C2CEC" w:rsidRDefault="009A03BD" w:rsidP="009A03BD">
            <w:pPr>
              <w:spacing w:after="0"/>
              <w:rPr>
                <w:color w:val="000000"/>
                <w:sz w:val="20"/>
                <w:szCs w:val="20"/>
              </w:rPr>
            </w:pPr>
            <w:r w:rsidRPr="005C2CEC">
              <w:rPr>
                <w:color w:val="000000"/>
                <w:sz w:val="20"/>
                <w:szCs w:val="20"/>
              </w:rPr>
              <w:t> </w:t>
            </w:r>
          </w:p>
        </w:tc>
        <w:tc>
          <w:tcPr>
            <w:tcW w:w="1276" w:type="dxa"/>
            <w:tcBorders>
              <w:top w:val="single" w:sz="4" w:space="0" w:color="BFBFBF"/>
              <w:left w:val="nil"/>
              <w:bottom w:val="single" w:sz="18" w:space="0" w:color="002060"/>
              <w:right w:val="single" w:sz="4" w:space="0" w:color="BFBFBF"/>
            </w:tcBorders>
            <w:shd w:val="clear" w:color="auto" w:fill="auto"/>
            <w:noWrap/>
            <w:tcMar>
              <w:top w:w="15" w:type="dxa"/>
              <w:left w:w="15" w:type="dxa"/>
              <w:bottom w:w="0" w:type="dxa"/>
              <w:right w:w="15" w:type="dxa"/>
            </w:tcMar>
            <w:vAlign w:val="bottom"/>
            <w:hideMark/>
          </w:tcPr>
          <w:p w14:paraId="6464A8D6" w14:textId="77777777" w:rsidR="009A03BD" w:rsidRPr="005C2CEC" w:rsidRDefault="009A03BD" w:rsidP="009A03BD">
            <w:pPr>
              <w:spacing w:after="0"/>
              <w:rPr>
                <w:color w:val="000000"/>
                <w:sz w:val="20"/>
                <w:szCs w:val="20"/>
              </w:rPr>
            </w:pPr>
            <w:r w:rsidRPr="005C2CEC">
              <w:rPr>
                <w:color w:val="000000"/>
                <w:sz w:val="20"/>
                <w:szCs w:val="20"/>
              </w:rPr>
              <w:t> </w:t>
            </w:r>
          </w:p>
        </w:tc>
        <w:tc>
          <w:tcPr>
            <w:tcW w:w="469" w:type="dxa"/>
            <w:tcBorders>
              <w:top w:val="single" w:sz="4" w:space="0" w:color="BFBFBF"/>
              <w:left w:val="nil"/>
              <w:bottom w:val="single" w:sz="18" w:space="0" w:color="002060"/>
              <w:right w:val="single" w:sz="18" w:space="0" w:color="002060"/>
            </w:tcBorders>
            <w:shd w:val="clear" w:color="auto" w:fill="auto"/>
            <w:noWrap/>
            <w:tcMar>
              <w:top w:w="15" w:type="dxa"/>
              <w:left w:w="15" w:type="dxa"/>
              <w:bottom w:w="0" w:type="dxa"/>
              <w:right w:w="15" w:type="dxa"/>
            </w:tcMar>
            <w:vAlign w:val="bottom"/>
            <w:hideMark/>
          </w:tcPr>
          <w:p w14:paraId="04AE001A" w14:textId="77777777" w:rsidR="009A03BD" w:rsidRPr="005C2CEC" w:rsidRDefault="009A03BD" w:rsidP="009A03BD">
            <w:pPr>
              <w:spacing w:after="0"/>
              <w:rPr>
                <w:i/>
                <w:iCs/>
                <w:color w:val="000000"/>
                <w:sz w:val="20"/>
                <w:szCs w:val="20"/>
              </w:rPr>
            </w:pPr>
            <w:r w:rsidRPr="005C2CEC">
              <w:rPr>
                <w:i/>
                <w:iCs/>
                <w:color w:val="000000"/>
                <w:sz w:val="20"/>
                <w:szCs w:val="20"/>
              </w:rPr>
              <w:t> </w:t>
            </w:r>
          </w:p>
        </w:tc>
      </w:tr>
      <w:tr w:rsidR="009A03BD" w:rsidRPr="005C2CEC" w14:paraId="41308111" w14:textId="77777777" w:rsidTr="00577F95">
        <w:trPr>
          <w:trHeight w:val="421"/>
        </w:trPr>
        <w:tc>
          <w:tcPr>
            <w:tcW w:w="1395" w:type="dxa"/>
            <w:vMerge w:val="restart"/>
            <w:tcBorders>
              <w:top w:val="single" w:sz="18" w:space="0" w:color="002060"/>
              <w:left w:val="single" w:sz="18" w:space="0" w:color="002060"/>
              <w:bottom w:val="single" w:sz="8" w:space="0" w:color="000000"/>
              <w:right w:val="single" w:sz="4" w:space="0" w:color="BFBFBF"/>
            </w:tcBorders>
            <w:shd w:val="clear" w:color="000000" w:fill="C6E0B4"/>
            <w:noWrap/>
            <w:tcMar>
              <w:top w:w="15" w:type="dxa"/>
              <w:left w:w="15" w:type="dxa"/>
              <w:bottom w:w="0" w:type="dxa"/>
              <w:right w:w="15" w:type="dxa"/>
            </w:tcMar>
            <w:vAlign w:val="center"/>
            <w:hideMark/>
          </w:tcPr>
          <w:p w14:paraId="07CA59E7" w14:textId="77777777" w:rsidR="009A03BD" w:rsidRPr="005C2CEC" w:rsidRDefault="009A03BD" w:rsidP="009A03BD">
            <w:pPr>
              <w:spacing w:after="0"/>
              <w:jc w:val="left"/>
              <w:rPr>
                <w:color w:val="000000"/>
              </w:rPr>
            </w:pPr>
            <w:r w:rsidRPr="005C2CEC">
              <w:rPr>
                <w:color w:val="000000"/>
              </w:rPr>
              <w:t>Environmentálne</w:t>
            </w:r>
          </w:p>
        </w:tc>
        <w:tc>
          <w:tcPr>
            <w:tcW w:w="2410" w:type="dxa"/>
            <w:tcBorders>
              <w:top w:val="single" w:sz="18" w:space="0" w:color="002060"/>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78E7B3CD" w14:textId="77777777" w:rsidR="009A03BD" w:rsidRPr="005C2CEC" w:rsidRDefault="009A03BD" w:rsidP="009A03BD">
            <w:pPr>
              <w:spacing w:after="0"/>
              <w:jc w:val="left"/>
              <w:rPr>
                <w:color w:val="000000"/>
                <w:sz w:val="20"/>
                <w:szCs w:val="20"/>
              </w:rPr>
            </w:pPr>
            <w:r w:rsidRPr="005C2CEC">
              <w:rPr>
                <w:color w:val="000000"/>
                <w:sz w:val="20"/>
                <w:szCs w:val="20"/>
              </w:rPr>
              <w:t>Hluk</w:t>
            </w:r>
          </w:p>
        </w:tc>
        <w:tc>
          <w:tcPr>
            <w:tcW w:w="3827" w:type="dxa"/>
            <w:tcBorders>
              <w:top w:val="single" w:sz="18" w:space="0" w:color="002060"/>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6BE9CB36" w14:textId="3B0AA67F" w:rsidR="009A03BD" w:rsidRPr="005C2CEC" w:rsidRDefault="009A03BD" w:rsidP="009A03BD">
            <w:pPr>
              <w:spacing w:after="0"/>
              <w:rPr>
                <w:i/>
                <w:iCs/>
                <w:color w:val="000000"/>
                <w:sz w:val="16"/>
                <w:szCs w:val="16"/>
              </w:rPr>
            </w:pPr>
            <w:r w:rsidRPr="005C2CEC">
              <w:rPr>
                <w:i/>
                <w:iCs/>
                <w:color w:val="000000"/>
                <w:sz w:val="16"/>
                <w:szCs w:val="16"/>
              </w:rPr>
              <w:t>Investícia má vplyv na hladinu hluku v regióne, predovšet</w:t>
            </w:r>
            <w:r w:rsidR="00B77B96" w:rsidRPr="005C2CEC">
              <w:rPr>
                <w:i/>
                <w:iCs/>
                <w:color w:val="000000"/>
                <w:sz w:val="16"/>
                <w:szCs w:val="16"/>
              </w:rPr>
              <w:t>kým v blízkosti obývaných území</w:t>
            </w:r>
          </w:p>
        </w:tc>
        <w:tc>
          <w:tcPr>
            <w:tcW w:w="992" w:type="dxa"/>
            <w:tcBorders>
              <w:top w:val="single" w:sz="18" w:space="0" w:color="002060"/>
              <w:left w:val="nil"/>
              <w:bottom w:val="single" w:sz="4" w:space="0" w:color="BFBFBF"/>
              <w:right w:val="single" w:sz="4" w:space="0" w:color="BFBFBF"/>
            </w:tcBorders>
            <w:shd w:val="clear" w:color="auto" w:fill="auto"/>
            <w:noWrap/>
            <w:tcMar>
              <w:top w:w="15" w:type="dxa"/>
              <w:left w:w="15" w:type="dxa"/>
              <w:bottom w:w="0" w:type="dxa"/>
              <w:right w:w="15" w:type="dxa"/>
            </w:tcMar>
            <w:vAlign w:val="center"/>
            <w:hideMark/>
          </w:tcPr>
          <w:p w14:paraId="0325CDAF" w14:textId="770B3E03" w:rsidR="009A03BD" w:rsidRPr="005C2CEC" w:rsidRDefault="009A03BD" w:rsidP="009A03BD">
            <w:pPr>
              <w:spacing w:after="0"/>
              <w:jc w:val="center"/>
              <w:rPr>
                <w:sz w:val="20"/>
                <w:szCs w:val="20"/>
              </w:rPr>
            </w:pPr>
            <w:r w:rsidRPr="005C2CEC">
              <w:rPr>
                <w:sz w:val="20"/>
                <w:szCs w:val="20"/>
              </w:rPr>
              <w:t>ÁNO / NIE</w:t>
            </w:r>
          </w:p>
        </w:tc>
        <w:tc>
          <w:tcPr>
            <w:tcW w:w="1418" w:type="dxa"/>
            <w:tcBorders>
              <w:top w:val="single" w:sz="18" w:space="0" w:color="002060"/>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5C5057D0" w14:textId="77777777" w:rsidR="009A03BD" w:rsidRPr="005C2CEC" w:rsidRDefault="009A03BD" w:rsidP="009A03BD">
            <w:pPr>
              <w:spacing w:after="0"/>
              <w:jc w:val="left"/>
              <w:rPr>
                <w:color w:val="000000"/>
                <w:sz w:val="20"/>
                <w:szCs w:val="20"/>
              </w:rPr>
            </w:pPr>
            <w:r w:rsidRPr="005C2CEC">
              <w:rPr>
                <w:color w:val="000000"/>
                <w:sz w:val="20"/>
                <w:szCs w:val="20"/>
              </w:rPr>
              <w:t> </w:t>
            </w:r>
          </w:p>
        </w:tc>
        <w:tc>
          <w:tcPr>
            <w:tcW w:w="1559" w:type="dxa"/>
            <w:tcBorders>
              <w:top w:val="single" w:sz="18" w:space="0" w:color="002060"/>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1145AAF9" w14:textId="77777777" w:rsidR="009A03BD" w:rsidRPr="005C2CEC" w:rsidRDefault="009A03BD" w:rsidP="009A03BD">
            <w:pPr>
              <w:spacing w:after="0"/>
              <w:rPr>
                <w:color w:val="000000"/>
                <w:sz w:val="20"/>
                <w:szCs w:val="20"/>
              </w:rPr>
            </w:pPr>
            <w:r w:rsidRPr="005C2CEC">
              <w:rPr>
                <w:color w:val="000000"/>
                <w:sz w:val="20"/>
                <w:szCs w:val="20"/>
              </w:rPr>
              <w:t> </w:t>
            </w:r>
          </w:p>
        </w:tc>
        <w:tc>
          <w:tcPr>
            <w:tcW w:w="1134" w:type="dxa"/>
            <w:tcBorders>
              <w:top w:val="single" w:sz="18" w:space="0" w:color="002060"/>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38BCC5DC" w14:textId="77777777" w:rsidR="009A03BD" w:rsidRPr="005C2CEC" w:rsidRDefault="009A03BD" w:rsidP="009A03BD">
            <w:pPr>
              <w:spacing w:after="0"/>
              <w:rPr>
                <w:color w:val="000000"/>
                <w:sz w:val="20"/>
                <w:szCs w:val="20"/>
              </w:rPr>
            </w:pPr>
            <w:r w:rsidRPr="005C2CEC">
              <w:rPr>
                <w:color w:val="000000"/>
                <w:sz w:val="20"/>
                <w:szCs w:val="20"/>
              </w:rPr>
              <w:t> </w:t>
            </w:r>
          </w:p>
        </w:tc>
        <w:tc>
          <w:tcPr>
            <w:tcW w:w="1276" w:type="dxa"/>
            <w:tcBorders>
              <w:top w:val="single" w:sz="18" w:space="0" w:color="002060"/>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3CFF53A0" w14:textId="77777777" w:rsidR="009A03BD" w:rsidRPr="005C2CEC" w:rsidRDefault="009A03BD" w:rsidP="009A03BD">
            <w:pPr>
              <w:spacing w:after="0"/>
              <w:rPr>
                <w:color w:val="000000"/>
                <w:sz w:val="20"/>
                <w:szCs w:val="20"/>
              </w:rPr>
            </w:pPr>
            <w:r w:rsidRPr="005C2CEC">
              <w:rPr>
                <w:color w:val="000000"/>
                <w:sz w:val="20"/>
                <w:szCs w:val="20"/>
              </w:rPr>
              <w:t> </w:t>
            </w:r>
          </w:p>
        </w:tc>
        <w:tc>
          <w:tcPr>
            <w:tcW w:w="469" w:type="dxa"/>
            <w:tcBorders>
              <w:top w:val="single" w:sz="18" w:space="0" w:color="002060"/>
              <w:left w:val="nil"/>
              <w:bottom w:val="single" w:sz="4" w:space="0" w:color="BFBFBF"/>
              <w:right w:val="single" w:sz="18" w:space="0" w:color="002060"/>
            </w:tcBorders>
            <w:shd w:val="clear" w:color="auto" w:fill="auto"/>
            <w:noWrap/>
            <w:tcMar>
              <w:top w:w="15" w:type="dxa"/>
              <w:left w:w="15" w:type="dxa"/>
              <w:bottom w:w="0" w:type="dxa"/>
              <w:right w:w="15" w:type="dxa"/>
            </w:tcMar>
            <w:vAlign w:val="bottom"/>
            <w:hideMark/>
          </w:tcPr>
          <w:p w14:paraId="2A37FEA3" w14:textId="77777777" w:rsidR="009A03BD" w:rsidRPr="005C2CEC" w:rsidRDefault="009A03BD" w:rsidP="009A03BD">
            <w:pPr>
              <w:spacing w:after="0"/>
              <w:rPr>
                <w:color w:val="000000"/>
                <w:sz w:val="20"/>
                <w:szCs w:val="20"/>
              </w:rPr>
            </w:pPr>
            <w:r w:rsidRPr="005C2CEC">
              <w:rPr>
                <w:color w:val="000000"/>
                <w:sz w:val="20"/>
                <w:szCs w:val="20"/>
              </w:rPr>
              <w:t> </w:t>
            </w:r>
          </w:p>
        </w:tc>
      </w:tr>
      <w:tr w:rsidR="009A03BD" w:rsidRPr="005C2CEC" w14:paraId="2960F5C5" w14:textId="77777777" w:rsidTr="00577F95">
        <w:trPr>
          <w:trHeight w:val="407"/>
        </w:trPr>
        <w:tc>
          <w:tcPr>
            <w:tcW w:w="1395" w:type="dxa"/>
            <w:vMerge/>
            <w:tcBorders>
              <w:top w:val="nil"/>
              <w:left w:val="single" w:sz="18" w:space="0" w:color="002060"/>
              <w:bottom w:val="single" w:sz="8" w:space="0" w:color="000000"/>
              <w:right w:val="single" w:sz="4" w:space="0" w:color="BFBFBF"/>
            </w:tcBorders>
            <w:vAlign w:val="center"/>
            <w:hideMark/>
          </w:tcPr>
          <w:p w14:paraId="7CD43872" w14:textId="77777777" w:rsidR="009A03BD" w:rsidRPr="005C2CEC" w:rsidRDefault="009A03BD" w:rsidP="009A03BD">
            <w:pPr>
              <w:spacing w:after="0"/>
              <w:jc w:val="left"/>
              <w:rPr>
                <w:color w:val="000000"/>
              </w:rPr>
            </w:pPr>
          </w:p>
        </w:tc>
        <w:tc>
          <w:tcPr>
            <w:tcW w:w="2410"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7486745B" w14:textId="77777777" w:rsidR="009A03BD" w:rsidRPr="005C2CEC" w:rsidRDefault="009A03BD" w:rsidP="009A03BD">
            <w:pPr>
              <w:spacing w:after="0"/>
              <w:jc w:val="left"/>
              <w:rPr>
                <w:color w:val="000000"/>
                <w:sz w:val="20"/>
                <w:szCs w:val="20"/>
              </w:rPr>
            </w:pPr>
            <w:r w:rsidRPr="005C2CEC">
              <w:rPr>
                <w:color w:val="000000"/>
                <w:sz w:val="20"/>
                <w:szCs w:val="20"/>
              </w:rPr>
              <w:t>Kvalita a znečistenie vzduchu</w:t>
            </w:r>
          </w:p>
        </w:tc>
        <w:tc>
          <w:tcPr>
            <w:tcW w:w="3827"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652ACC81" w14:textId="77777777" w:rsidR="009A03BD" w:rsidRPr="005C2CEC" w:rsidRDefault="009A03BD" w:rsidP="009A03BD">
            <w:pPr>
              <w:spacing w:after="0"/>
              <w:rPr>
                <w:i/>
                <w:iCs/>
                <w:color w:val="000000"/>
                <w:sz w:val="16"/>
                <w:szCs w:val="16"/>
              </w:rPr>
            </w:pPr>
            <w:r w:rsidRPr="005C2CEC">
              <w:rPr>
                <w:i/>
                <w:iCs/>
                <w:color w:val="000000"/>
                <w:sz w:val="16"/>
                <w:szCs w:val="16"/>
              </w:rPr>
              <w:t>Investícia má vplyv na kvalitu a znečistenie vzduchu. Vyjadrené koncentráciou NOx, PM a iných plynov.</w:t>
            </w:r>
          </w:p>
        </w:tc>
        <w:tc>
          <w:tcPr>
            <w:tcW w:w="992" w:type="dxa"/>
            <w:tcBorders>
              <w:top w:val="single" w:sz="4" w:space="0" w:color="BFBFBF"/>
              <w:left w:val="nil"/>
              <w:bottom w:val="single" w:sz="4" w:space="0" w:color="BFBFBF"/>
              <w:right w:val="single" w:sz="4" w:space="0" w:color="BFBFBF"/>
            </w:tcBorders>
            <w:shd w:val="clear" w:color="auto" w:fill="auto"/>
            <w:noWrap/>
            <w:tcMar>
              <w:top w:w="15" w:type="dxa"/>
              <w:left w:w="15" w:type="dxa"/>
              <w:bottom w:w="0" w:type="dxa"/>
              <w:right w:w="15" w:type="dxa"/>
            </w:tcMar>
            <w:vAlign w:val="center"/>
            <w:hideMark/>
          </w:tcPr>
          <w:p w14:paraId="35F45E09" w14:textId="7195C75F" w:rsidR="009A03BD" w:rsidRPr="005C2CEC" w:rsidRDefault="009A03BD" w:rsidP="009A03BD">
            <w:pPr>
              <w:spacing w:after="0"/>
              <w:jc w:val="center"/>
              <w:rPr>
                <w:sz w:val="20"/>
                <w:szCs w:val="20"/>
              </w:rPr>
            </w:pPr>
            <w:r w:rsidRPr="005C2CEC">
              <w:rPr>
                <w:sz w:val="20"/>
                <w:szCs w:val="20"/>
              </w:rPr>
              <w:t>ÁNO / NIE</w:t>
            </w:r>
          </w:p>
        </w:tc>
        <w:tc>
          <w:tcPr>
            <w:tcW w:w="1418"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7AC84BB1" w14:textId="77777777" w:rsidR="009A03BD" w:rsidRPr="005C2CEC" w:rsidRDefault="009A03BD" w:rsidP="009A03BD">
            <w:pPr>
              <w:spacing w:after="0"/>
              <w:jc w:val="left"/>
              <w:rPr>
                <w:color w:val="000000"/>
                <w:sz w:val="20"/>
                <w:szCs w:val="20"/>
              </w:rPr>
            </w:pPr>
            <w:r w:rsidRPr="005C2CEC">
              <w:rPr>
                <w:color w:val="000000"/>
                <w:sz w:val="20"/>
                <w:szCs w:val="20"/>
              </w:rPr>
              <w:t> </w:t>
            </w:r>
          </w:p>
        </w:tc>
        <w:tc>
          <w:tcPr>
            <w:tcW w:w="1559"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710CCFFE" w14:textId="77777777" w:rsidR="009A03BD" w:rsidRPr="005C2CEC" w:rsidRDefault="009A03BD" w:rsidP="009A03BD">
            <w:pPr>
              <w:spacing w:after="0"/>
              <w:rPr>
                <w:color w:val="000000"/>
                <w:sz w:val="20"/>
                <w:szCs w:val="20"/>
              </w:rPr>
            </w:pPr>
            <w:r w:rsidRPr="005C2CEC">
              <w:rPr>
                <w:color w:val="000000"/>
                <w:sz w:val="20"/>
                <w:szCs w:val="20"/>
              </w:rPr>
              <w:t> </w:t>
            </w:r>
          </w:p>
        </w:tc>
        <w:tc>
          <w:tcPr>
            <w:tcW w:w="1134"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13942582" w14:textId="77777777" w:rsidR="009A03BD" w:rsidRPr="005C2CEC" w:rsidRDefault="009A03BD" w:rsidP="009A03BD">
            <w:pPr>
              <w:spacing w:after="0"/>
              <w:rPr>
                <w:color w:val="000000"/>
                <w:sz w:val="20"/>
                <w:szCs w:val="20"/>
              </w:rPr>
            </w:pPr>
            <w:r w:rsidRPr="005C2CEC">
              <w:rPr>
                <w:color w:val="000000"/>
                <w:sz w:val="20"/>
                <w:szCs w:val="20"/>
              </w:rPr>
              <w:t> </w:t>
            </w:r>
          </w:p>
        </w:tc>
        <w:tc>
          <w:tcPr>
            <w:tcW w:w="1276"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356FA4CC" w14:textId="77777777" w:rsidR="009A03BD" w:rsidRPr="005C2CEC" w:rsidRDefault="009A03BD" w:rsidP="009A03BD">
            <w:pPr>
              <w:spacing w:after="0"/>
              <w:rPr>
                <w:color w:val="000000"/>
                <w:sz w:val="20"/>
                <w:szCs w:val="20"/>
              </w:rPr>
            </w:pPr>
            <w:r w:rsidRPr="005C2CEC">
              <w:rPr>
                <w:color w:val="000000"/>
                <w:sz w:val="20"/>
                <w:szCs w:val="20"/>
              </w:rPr>
              <w:t> </w:t>
            </w:r>
          </w:p>
        </w:tc>
        <w:tc>
          <w:tcPr>
            <w:tcW w:w="469" w:type="dxa"/>
            <w:tcBorders>
              <w:top w:val="nil"/>
              <w:left w:val="nil"/>
              <w:bottom w:val="single" w:sz="4" w:space="0" w:color="BFBFBF"/>
              <w:right w:val="single" w:sz="18" w:space="0" w:color="002060"/>
            </w:tcBorders>
            <w:shd w:val="clear" w:color="auto" w:fill="auto"/>
            <w:noWrap/>
            <w:tcMar>
              <w:top w:w="15" w:type="dxa"/>
              <w:left w:w="15" w:type="dxa"/>
              <w:bottom w:w="0" w:type="dxa"/>
              <w:right w:w="15" w:type="dxa"/>
            </w:tcMar>
            <w:vAlign w:val="bottom"/>
            <w:hideMark/>
          </w:tcPr>
          <w:p w14:paraId="17120545" w14:textId="77777777" w:rsidR="009A03BD" w:rsidRPr="005C2CEC" w:rsidRDefault="009A03BD" w:rsidP="009A03BD">
            <w:pPr>
              <w:spacing w:after="0"/>
              <w:rPr>
                <w:color w:val="000000"/>
                <w:sz w:val="20"/>
                <w:szCs w:val="20"/>
              </w:rPr>
            </w:pPr>
            <w:r w:rsidRPr="005C2CEC">
              <w:rPr>
                <w:color w:val="000000"/>
                <w:sz w:val="20"/>
                <w:szCs w:val="20"/>
              </w:rPr>
              <w:t> </w:t>
            </w:r>
          </w:p>
        </w:tc>
      </w:tr>
      <w:tr w:rsidR="009A03BD" w:rsidRPr="005C2CEC" w14:paraId="18F0704C" w14:textId="77777777" w:rsidTr="00577F95">
        <w:trPr>
          <w:trHeight w:val="385"/>
        </w:trPr>
        <w:tc>
          <w:tcPr>
            <w:tcW w:w="1395" w:type="dxa"/>
            <w:vMerge/>
            <w:tcBorders>
              <w:top w:val="nil"/>
              <w:left w:val="single" w:sz="18" w:space="0" w:color="002060"/>
              <w:bottom w:val="single" w:sz="8" w:space="0" w:color="000000"/>
              <w:right w:val="single" w:sz="4" w:space="0" w:color="BFBFBF"/>
            </w:tcBorders>
            <w:vAlign w:val="center"/>
            <w:hideMark/>
          </w:tcPr>
          <w:p w14:paraId="07C147E8" w14:textId="77777777" w:rsidR="009A03BD" w:rsidRPr="005C2CEC" w:rsidRDefault="009A03BD" w:rsidP="009A03BD">
            <w:pPr>
              <w:spacing w:after="0"/>
              <w:jc w:val="left"/>
              <w:rPr>
                <w:color w:val="000000"/>
              </w:rPr>
            </w:pPr>
          </w:p>
        </w:tc>
        <w:tc>
          <w:tcPr>
            <w:tcW w:w="2410"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1CF051BF" w14:textId="77777777" w:rsidR="009A03BD" w:rsidRPr="005C2CEC" w:rsidRDefault="009A03BD" w:rsidP="009A03BD">
            <w:pPr>
              <w:spacing w:after="0"/>
              <w:jc w:val="left"/>
              <w:rPr>
                <w:color w:val="000000"/>
                <w:sz w:val="20"/>
                <w:szCs w:val="20"/>
              </w:rPr>
            </w:pPr>
            <w:r w:rsidRPr="005C2CEC">
              <w:rPr>
                <w:color w:val="000000"/>
                <w:sz w:val="20"/>
                <w:szCs w:val="20"/>
              </w:rPr>
              <w:t>Emisie skleníkových plynov</w:t>
            </w:r>
          </w:p>
        </w:tc>
        <w:tc>
          <w:tcPr>
            <w:tcW w:w="3827"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4A7CC448" w14:textId="77777777" w:rsidR="009A03BD" w:rsidRPr="005C2CEC" w:rsidRDefault="009A03BD" w:rsidP="009A03BD">
            <w:pPr>
              <w:spacing w:after="0"/>
              <w:rPr>
                <w:i/>
                <w:iCs/>
                <w:color w:val="000000"/>
                <w:sz w:val="16"/>
                <w:szCs w:val="16"/>
              </w:rPr>
            </w:pPr>
            <w:r w:rsidRPr="005C2CEC">
              <w:rPr>
                <w:i/>
                <w:iCs/>
                <w:color w:val="000000"/>
                <w:sz w:val="16"/>
                <w:szCs w:val="16"/>
              </w:rPr>
              <w:t>Investícia vplýva na emisie skleníkových plynov, ktoré spôsobujú klimatické zmeny.</w:t>
            </w:r>
          </w:p>
        </w:tc>
        <w:tc>
          <w:tcPr>
            <w:tcW w:w="992" w:type="dxa"/>
            <w:tcBorders>
              <w:top w:val="single" w:sz="4" w:space="0" w:color="BFBFBF"/>
              <w:left w:val="nil"/>
              <w:bottom w:val="single" w:sz="4" w:space="0" w:color="BFBFBF"/>
              <w:right w:val="single" w:sz="4" w:space="0" w:color="BFBFBF"/>
            </w:tcBorders>
            <w:shd w:val="clear" w:color="auto" w:fill="auto"/>
            <w:noWrap/>
            <w:tcMar>
              <w:top w:w="15" w:type="dxa"/>
              <w:left w:w="15" w:type="dxa"/>
              <w:bottom w:w="0" w:type="dxa"/>
              <w:right w:w="15" w:type="dxa"/>
            </w:tcMar>
            <w:vAlign w:val="center"/>
            <w:hideMark/>
          </w:tcPr>
          <w:p w14:paraId="2F82EB54" w14:textId="389EFEA4" w:rsidR="009A03BD" w:rsidRPr="005C2CEC" w:rsidRDefault="009A03BD" w:rsidP="009A03BD">
            <w:pPr>
              <w:spacing w:after="0"/>
              <w:jc w:val="center"/>
              <w:rPr>
                <w:sz w:val="20"/>
                <w:szCs w:val="20"/>
              </w:rPr>
            </w:pPr>
            <w:r w:rsidRPr="005C2CEC">
              <w:rPr>
                <w:sz w:val="20"/>
                <w:szCs w:val="20"/>
              </w:rPr>
              <w:t>ÁNO / NIE</w:t>
            </w:r>
          </w:p>
        </w:tc>
        <w:tc>
          <w:tcPr>
            <w:tcW w:w="1418"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4C8AC1F1" w14:textId="77777777" w:rsidR="009A03BD" w:rsidRPr="005C2CEC" w:rsidRDefault="009A03BD" w:rsidP="009A03BD">
            <w:pPr>
              <w:spacing w:after="0"/>
              <w:jc w:val="left"/>
              <w:rPr>
                <w:color w:val="000000"/>
                <w:sz w:val="20"/>
                <w:szCs w:val="20"/>
              </w:rPr>
            </w:pPr>
            <w:r w:rsidRPr="005C2CEC">
              <w:rPr>
                <w:color w:val="000000"/>
                <w:sz w:val="20"/>
                <w:szCs w:val="20"/>
              </w:rPr>
              <w:t> </w:t>
            </w:r>
          </w:p>
        </w:tc>
        <w:tc>
          <w:tcPr>
            <w:tcW w:w="1559"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023F1EE2" w14:textId="77777777" w:rsidR="009A03BD" w:rsidRPr="005C2CEC" w:rsidRDefault="009A03BD" w:rsidP="009A03BD">
            <w:pPr>
              <w:spacing w:after="0"/>
              <w:rPr>
                <w:color w:val="000000"/>
                <w:sz w:val="20"/>
                <w:szCs w:val="20"/>
              </w:rPr>
            </w:pPr>
            <w:r w:rsidRPr="005C2CEC">
              <w:rPr>
                <w:color w:val="000000"/>
                <w:sz w:val="20"/>
                <w:szCs w:val="20"/>
              </w:rPr>
              <w:t> </w:t>
            </w:r>
          </w:p>
        </w:tc>
        <w:tc>
          <w:tcPr>
            <w:tcW w:w="1134"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4A907FE5" w14:textId="77777777" w:rsidR="009A03BD" w:rsidRPr="005C2CEC" w:rsidRDefault="009A03BD" w:rsidP="009A03BD">
            <w:pPr>
              <w:spacing w:after="0"/>
              <w:rPr>
                <w:color w:val="000000"/>
                <w:sz w:val="20"/>
                <w:szCs w:val="20"/>
              </w:rPr>
            </w:pPr>
            <w:r w:rsidRPr="005C2CEC">
              <w:rPr>
                <w:color w:val="000000"/>
                <w:sz w:val="20"/>
                <w:szCs w:val="20"/>
              </w:rPr>
              <w:t> </w:t>
            </w:r>
          </w:p>
        </w:tc>
        <w:tc>
          <w:tcPr>
            <w:tcW w:w="1276"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24874C16" w14:textId="77777777" w:rsidR="009A03BD" w:rsidRPr="005C2CEC" w:rsidRDefault="009A03BD" w:rsidP="009A03BD">
            <w:pPr>
              <w:spacing w:after="0"/>
              <w:rPr>
                <w:color w:val="000000"/>
                <w:sz w:val="20"/>
                <w:szCs w:val="20"/>
              </w:rPr>
            </w:pPr>
            <w:r w:rsidRPr="005C2CEC">
              <w:rPr>
                <w:color w:val="000000"/>
                <w:sz w:val="20"/>
                <w:szCs w:val="20"/>
              </w:rPr>
              <w:t> </w:t>
            </w:r>
          </w:p>
        </w:tc>
        <w:tc>
          <w:tcPr>
            <w:tcW w:w="469" w:type="dxa"/>
            <w:tcBorders>
              <w:top w:val="nil"/>
              <w:left w:val="nil"/>
              <w:bottom w:val="single" w:sz="4" w:space="0" w:color="BFBFBF"/>
              <w:right w:val="single" w:sz="18" w:space="0" w:color="002060"/>
            </w:tcBorders>
            <w:shd w:val="clear" w:color="auto" w:fill="auto"/>
            <w:noWrap/>
            <w:tcMar>
              <w:top w:w="15" w:type="dxa"/>
              <w:left w:w="15" w:type="dxa"/>
              <w:bottom w:w="0" w:type="dxa"/>
              <w:right w:w="15" w:type="dxa"/>
            </w:tcMar>
            <w:vAlign w:val="bottom"/>
            <w:hideMark/>
          </w:tcPr>
          <w:p w14:paraId="757EB4F1" w14:textId="77777777" w:rsidR="009A03BD" w:rsidRPr="005C2CEC" w:rsidRDefault="009A03BD" w:rsidP="009A03BD">
            <w:pPr>
              <w:spacing w:after="0"/>
              <w:rPr>
                <w:color w:val="000000"/>
                <w:sz w:val="20"/>
                <w:szCs w:val="20"/>
              </w:rPr>
            </w:pPr>
            <w:r w:rsidRPr="005C2CEC">
              <w:rPr>
                <w:color w:val="000000"/>
                <w:sz w:val="20"/>
                <w:szCs w:val="20"/>
              </w:rPr>
              <w:t> </w:t>
            </w:r>
          </w:p>
        </w:tc>
      </w:tr>
      <w:tr w:rsidR="009A03BD" w:rsidRPr="005C2CEC" w14:paraId="07F37418" w14:textId="77777777" w:rsidTr="00577F95">
        <w:trPr>
          <w:trHeight w:val="675"/>
        </w:trPr>
        <w:tc>
          <w:tcPr>
            <w:tcW w:w="1395" w:type="dxa"/>
            <w:vMerge/>
            <w:tcBorders>
              <w:top w:val="nil"/>
              <w:left w:val="single" w:sz="18" w:space="0" w:color="002060"/>
              <w:bottom w:val="single" w:sz="8" w:space="0" w:color="000000"/>
              <w:right w:val="single" w:sz="4" w:space="0" w:color="BFBFBF"/>
            </w:tcBorders>
            <w:vAlign w:val="center"/>
            <w:hideMark/>
          </w:tcPr>
          <w:p w14:paraId="5B10D911" w14:textId="77777777" w:rsidR="009A03BD" w:rsidRPr="005C2CEC" w:rsidRDefault="009A03BD" w:rsidP="009A03BD">
            <w:pPr>
              <w:spacing w:after="0"/>
              <w:jc w:val="left"/>
              <w:rPr>
                <w:color w:val="000000"/>
              </w:rPr>
            </w:pPr>
          </w:p>
        </w:tc>
        <w:tc>
          <w:tcPr>
            <w:tcW w:w="2410"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306449A1" w14:textId="0BEA0D41" w:rsidR="009A03BD" w:rsidRPr="005C2CEC" w:rsidRDefault="009A03BD" w:rsidP="009A03BD">
            <w:pPr>
              <w:spacing w:after="0"/>
              <w:jc w:val="left"/>
              <w:rPr>
                <w:color w:val="000000"/>
                <w:sz w:val="20"/>
                <w:szCs w:val="20"/>
              </w:rPr>
            </w:pPr>
            <w:r w:rsidRPr="005C2CEC">
              <w:rPr>
                <w:color w:val="000000"/>
                <w:sz w:val="20"/>
                <w:szCs w:val="20"/>
              </w:rPr>
              <w:t>Zásah d</w:t>
            </w:r>
            <w:r w:rsidR="00B77B96" w:rsidRPr="005C2CEC">
              <w:rPr>
                <w:color w:val="000000"/>
                <w:sz w:val="20"/>
                <w:szCs w:val="20"/>
              </w:rPr>
              <w:t>o NATURA 2000 a chránených územ</w:t>
            </w:r>
            <w:r w:rsidRPr="005C2CEC">
              <w:rPr>
                <w:color w:val="000000"/>
                <w:sz w:val="20"/>
                <w:szCs w:val="20"/>
              </w:rPr>
              <w:t>í</w:t>
            </w:r>
          </w:p>
        </w:tc>
        <w:tc>
          <w:tcPr>
            <w:tcW w:w="3827"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126960E9" w14:textId="4087F8FB" w:rsidR="009A03BD" w:rsidRPr="005C2CEC" w:rsidRDefault="009A03BD" w:rsidP="009A03BD">
            <w:pPr>
              <w:spacing w:after="0"/>
              <w:rPr>
                <w:i/>
                <w:iCs/>
                <w:color w:val="000000"/>
                <w:sz w:val="16"/>
                <w:szCs w:val="16"/>
              </w:rPr>
            </w:pPr>
            <w:r w:rsidRPr="005C2CEC">
              <w:rPr>
                <w:i/>
                <w:iCs/>
                <w:color w:val="000000"/>
                <w:sz w:val="16"/>
                <w:szCs w:val="16"/>
              </w:rPr>
              <w:t>Investí</w:t>
            </w:r>
            <w:r w:rsidR="00B77B96" w:rsidRPr="005C2CEC">
              <w:rPr>
                <w:i/>
                <w:iCs/>
                <w:color w:val="000000"/>
                <w:sz w:val="16"/>
                <w:szCs w:val="16"/>
              </w:rPr>
              <w:t>cia zasahuje do chránených územ</w:t>
            </w:r>
            <w:r w:rsidRPr="005C2CEC">
              <w:rPr>
                <w:i/>
                <w:iCs/>
                <w:color w:val="000000"/>
                <w:sz w:val="16"/>
                <w:szCs w:val="16"/>
              </w:rPr>
              <w:t>í (NP, CHKO, NATURA 2000...)</w:t>
            </w:r>
          </w:p>
        </w:tc>
        <w:tc>
          <w:tcPr>
            <w:tcW w:w="992" w:type="dxa"/>
            <w:tcBorders>
              <w:top w:val="single" w:sz="4" w:space="0" w:color="BFBFBF"/>
              <w:left w:val="nil"/>
              <w:bottom w:val="single" w:sz="4" w:space="0" w:color="BFBFBF"/>
              <w:right w:val="single" w:sz="4" w:space="0" w:color="BFBFBF"/>
            </w:tcBorders>
            <w:shd w:val="clear" w:color="auto" w:fill="auto"/>
            <w:noWrap/>
            <w:tcMar>
              <w:top w:w="15" w:type="dxa"/>
              <w:left w:w="15" w:type="dxa"/>
              <w:bottom w:w="0" w:type="dxa"/>
              <w:right w:w="15" w:type="dxa"/>
            </w:tcMar>
            <w:vAlign w:val="center"/>
            <w:hideMark/>
          </w:tcPr>
          <w:p w14:paraId="6FB77FB1" w14:textId="5EAEFC7F" w:rsidR="009A03BD" w:rsidRPr="005C2CEC" w:rsidRDefault="009A03BD" w:rsidP="009A03BD">
            <w:pPr>
              <w:spacing w:after="0"/>
              <w:jc w:val="center"/>
              <w:rPr>
                <w:sz w:val="20"/>
                <w:szCs w:val="20"/>
              </w:rPr>
            </w:pPr>
            <w:r w:rsidRPr="005C2CEC">
              <w:rPr>
                <w:sz w:val="20"/>
                <w:szCs w:val="20"/>
              </w:rPr>
              <w:t>ÁNO / NIE</w:t>
            </w:r>
          </w:p>
        </w:tc>
        <w:tc>
          <w:tcPr>
            <w:tcW w:w="1418"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6DAA9A37" w14:textId="77777777" w:rsidR="009A03BD" w:rsidRPr="005C2CEC" w:rsidRDefault="009A03BD" w:rsidP="009A03BD">
            <w:pPr>
              <w:spacing w:after="0"/>
              <w:jc w:val="left"/>
              <w:rPr>
                <w:color w:val="000000"/>
                <w:sz w:val="20"/>
                <w:szCs w:val="20"/>
              </w:rPr>
            </w:pPr>
            <w:r w:rsidRPr="005C2CEC">
              <w:rPr>
                <w:color w:val="000000"/>
                <w:sz w:val="20"/>
                <w:szCs w:val="20"/>
              </w:rPr>
              <w:t> </w:t>
            </w:r>
          </w:p>
        </w:tc>
        <w:tc>
          <w:tcPr>
            <w:tcW w:w="1559"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44EB25FE" w14:textId="77777777" w:rsidR="009A03BD" w:rsidRPr="005C2CEC" w:rsidRDefault="009A03BD" w:rsidP="009A03BD">
            <w:pPr>
              <w:spacing w:after="0"/>
              <w:rPr>
                <w:color w:val="000000"/>
                <w:sz w:val="20"/>
                <w:szCs w:val="20"/>
              </w:rPr>
            </w:pPr>
            <w:r w:rsidRPr="005C2CEC">
              <w:rPr>
                <w:color w:val="000000"/>
                <w:sz w:val="20"/>
                <w:szCs w:val="20"/>
              </w:rPr>
              <w:t> </w:t>
            </w:r>
          </w:p>
        </w:tc>
        <w:tc>
          <w:tcPr>
            <w:tcW w:w="1134"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0C1D5E6A" w14:textId="77777777" w:rsidR="009A03BD" w:rsidRPr="005C2CEC" w:rsidRDefault="009A03BD" w:rsidP="009A03BD">
            <w:pPr>
              <w:spacing w:after="0"/>
              <w:rPr>
                <w:color w:val="000000"/>
                <w:sz w:val="20"/>
                <w:szCs w:val="20"/>
              </w:rPr>
            </w:pPr>
            <w:r w:rsidRPr="005C2CEC">
              <w:rPr>
                <w:color w:val="000000"/>
                <w:sz w:val="20"/>
                <w:szCs w:val="20"/>
              </w:rPr>
              <w:t> </w:t>
            </w:r>
          </w:p>
        </w:tc>
        <w:tc>
          <w:tcPr>
            <w:tcW w:w="1276"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5DBBB384" w14:textId="77777777" w:rsidR="009A03BD" w:rsidRPr="005C2CEC" w:rsidRDefault="009A03BD" w:rsidP="009A03BD">
            <w:pPr>
              <w:spacing w:after="0"/>
              <w:rPr>
                <w:color w:val="000000"/>
                <w:sz w:val="20"/>
                <w:szCs w:val="20"/>
              </w:rPr>
            </w:pPr>
            <w:r w:rsidRPr="005C2CEC">
              <w:rPr>
                <w:color w:val="000000"/>
                <w:sz w:val="20"/>
                <w:szCs w:val="20"/>
              </w:rPr>
              <w:t> </w:t>
            </w:r>
          </w:p>
        </w:tc>
        <w:tc>
          <w:tcPr>
            <w:tcW w:w="469" w:type="dxa"/>
            <w:tcBorders>
              <w:top w:val="nil"/>
              <w:left w:val="nil"/>
              <w:bottom w:val="single" w:sz="4" w:space="0" w:color="BFBFBF"/>
              <w:right w:val="single" w:sz="18" w:space="0" w:color="002060"/>
            </w:tcBorders>
            <w:shd w:val="clear" w:color="auto" w:fill="auto"/>
            <w:noWrap/>
            <w:tcMar>
              <w:top w:w="15" w:type="dxa"/>
              <w:left w:w="15" w:type="dxa"/>
              <w:bottom w:w="0" w:type="dxa"/>
              <w:right w:w="15" w:type="dxa"/>
            </w:tcMar>
            <w:vAlign w:val="bottom"/>
            <w:hideMark/>
          </w:tcPr>
          <w:p w14:paraId="04E2B2D6" w14:textId="77777777" w:rsidR="009A03BD" w:rsidRPr="005C2CEC" w:rsidRDefault="009A03BD" w:rsidP="009A03BD">
            <w:pPr>
              <w:spacing w:after="0"/>
              <w:rPr>
                <w:color w:val="000000"/>
                <w:sz w:val="20"/>
                <w:szCs w:val="20"/>
              </w:rPr>
            </w:pPr>
            <w:r w:rsidRPr="005C2CEC">
              <w:rPr>
                <w:color w:val="000000"/>
                <w:sz w:val="20"/>
                <w:szCs w:val="20"/>
              </w:rPr>
              <w:t> </w:t>
            </w:r>
          </w:p>
        </w:tc>
      </w:tr>
      <w:tr w:rsidR="009A03BD" w:rsidRPr="005C2CEC" w14:paraId="28BCF65A" w14:textId="77777777" w:rsidTr="00577F95">
        <w:trPr>
          <w:trHeight w:val="427"/>
        </w:trPr>
        <w:tc>
          <w:tcPr>
            <w:tcW w:w="1395" w:type="dxa"/>
            <w:vMerge/>
            <w:tcBorders>
              <w:top w:val="nil"/>
              <w:left w:val="single" w:sz="18" w:space="0" w:color="002060"/>
              <w:bottom w:val="single" w:sz="8" w:space="0" w:color="000000"/>
              <w:right w:val="single" w:sz="4" w:space="0" w:color="BFBFBF"/>
            </w:tcBorders>
            <w:vAlign w:val="center"/>
            <w:hideMark/>
          </w:tcPr>
          <w:p w14:paraId="21B9609D" w14:textId="77777777" w:rsidR="009A03BD" w:rsidRPr="005C2CEC" w:rsidRDefault="009A03BD" w:rsidP="009A03BD">
            <w:pPr>
              <w:spacing w:after="0"/>
              <w:jc w:val="left"/>
              <w:rPr>
                <w:color w:val="000000"/>
              </w:rPr>
            </w:pPr>
          </w:p>
        </w:tc>
        <w:tc>
          <w:tcPr>
            <w:tcW w:w="2410"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5FBC1ABC" w14:textId="77777777" w:rsidR="009A03BD" w:rsidRPr="005C2CEC" w:rsidRDefault="009A03BD" w:rsidP="009A03BD">
            <w:pPr>
              <w:spacing w:after="0"/>
              <w:jc w:val="left"/>
              <w:rPr>
                <w:color w:val="000000"/>
                <w:sz w:val="20"/>
                <w:szCs w:val="20"/>
              </w:rPr>
            </w:pPr>
            <w:r w:rsidRPr="005C2CEC">
              <w:rPr>
                <w:color w:val="000000"/>
                <w:sz w:val="20"/>
                <w:szCs w:val="20"/>
              </w:rPr>
              <w:t>Zdroje pitnej vody a vodných tokov</w:t>
            </w:r>
          </w:p>
        </w:tc>
        <w:tc>
          <w:tcPr>
            <w:tcW w:w="3827"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4E5A84E0" w14:textId="77777777" w:rsidR="009A03BD" w:rsidRPr="005C2CEC" w:rsidRDefault="009A03BD" w:rsidP="009A03BD">
            <w:pPr>
              <w:spacing w:after="0"/>
              <w:rPr>
                <w:i/>
                <w:iCs/>
                <w:color w:val="000000"/>
                <w:sz w:val="16"/>
                <w:szCs w:val="16"/>
              </w:rPr>
            </w:pPr>
            <w:r w:rsidRPr="005C2CEC">
              <w:rPr>
                <w:i/>
                <w:iCs/>
                <w:color w:val="000000"/>
                <w:sz w:val="16"/>
                <w:szCs w:val="16"/>
              </w:rPr>
              <w:t>Investícia ovplyvňuje zdroje pitnej vody, vodné toky a ekosystémy, či čistotu vodných zdrojov.</w:t>
            </w:r>
          </w:p>
        </w:tc>
        <w:tc>
          <w:tcPr>
            <w:tcW w:w="992" w:type="dxa"/>
            <w:tcBorders>
              <w:top w:val="single" w:sz="4" w:space="0" w:color="BFBFBF"/>
              <w:left w:val="nil"/>
              <w:bottom w:val="single" w:sz="4" w:space="0" w:color="BFBFBF"/>
              <w:right w:val="single" w:sz="4" w:space="0" w:color="BFBFBF"/>
            </w:tcBorders>
            <w:shd w:val="clear" w:color="auto" w:fill="auto"/>
            <w:noWrap/>
            <w:tcMar>
              <w:top w:w="15" w:type="dxa"/>
              <w:left w:w="15" w:type="dxa"/>
              <w:bottom w:w="0" w:type="dxa"/>
              <w:right w:w="15" w:type="dxa"/>
            </w:tcMar>
            <w:vAlign w:val="center"/>
            <w:hideMark/>
          </w:tcPr>
          <w:p w14:paraId="01A85268" w14:textId="41348C99" w:rsidR="009A03BD" w:rsidRPr="005C2CEC" w:rsidRDefault="009A03BD" w:rsidP="009A03BD">
            <w:pPr>
              <w:spacing w:after="0"/>
              <w:jc w:val="center"/>
              <w:rPr>
                <w:sz w:val="20"/>
                <w:szCs w:val="20"/>
              </w:rPr>
            </w:pPr>
            <w:r w:rsidRPr="005C2CEC">
              <w:rPr>
                <w:sz w:val="20"/>
                <w:szCs w:val="20"/>
              </w:rPr>
              <w:t>ÁNO / NIE</w:t>
            </w:r>
          </w:p>
        </w:tc>
        <w:tc>
          <w:tcPr>
            <w:tcW w:w="1418"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316E08C5" w14:textId="77777777" w:rsidR="009A03BD" w:rsidRPr="005C2CEC" w:rsidRDefault="009A03BD" w:rsidP="009A03BD">
            <w:pPr>
              <w:spacing w:after="0"/>
              <w:jc w:val="left"/>
              <w:rPr>
                <w:color w:val="000000"/>
                <w:sz w:val="20"/>
                <w:szCs w:val="20"/>
              </w:rPr>
            </w:pPr>
            <w:r w:rsidRPr="005C2CEC">
              <w:rPr>
                <w:color w:val="000000"/>
                <w:sz w:val="20"/>
                <w:szCs w:val="20"/>
              </w:rPr>
              <w:t> </w:t>
            </w:r>
          </w:p>
        </w:tc>
        <w:tc>
          <w:tcPr>
            <w:tcW w:w="1559"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65532EC1" w14:textId="77777777" w:rsidR="009A03BD" w:rsidRPr="005C2CEC" w:rsidRDefault="009A03BD" w:rsidP="009A03BD">
            <w:pPr>
              <w:spacing w:after="0"/>
              <w:rPr>
                <w:color w:val="000000"/>
                <w:sz w:val="20"/>
                <w:szCs w:val="20"/>
              </w:rPr>
            </w:pPr>
            <w:r w:rsidRPr="005C2CEC">
              <w:rPr>
                <w:color w:val="000000"/>
                <w:sz w:val="20"/>
                <w:szCs w:val="20"/>
              </w:rPr>
              <w:t> </w:t>
            </w:r>
          </w:p>
        </w:tc>
        <w:tc>
          <w:tcPr>
            <w:tcW w:w="1134"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43358881" w14:textId="77777777" w:rsidR="009A03BD" w:rsidRPr="005C2CEC" w:rsidRDefault="009A03BD" w:rsidP="009A03BD">
            <w:pPr>
              <w:spacing w:after="0"/>
              <w:rPr>
                <w:color w:val="000000"/>
                <w:sz w:val="20"/>
                <w:szCs w:val="20"/>
              </w:rPr>
            </w:pPr>
            <w:r w:rsidRPr="005C2CEC">
              <w:rPr>
                <w:color w:val="000000"/>
                <w:sz w:val="20"/>
                <w:szCs w:val="20"/>
              </w:rPr>
              <w:t> </w:t>
            </w:r>
          </w:p>
        </w:tc>
        <w:tc>
          <w:tcPr>
            <w:tcW w:w="1276"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77C28BAF" w14:textId="77777777" w:rsidR="009A03BD" w:rsidRPr="005C2CEC" w:rsidRDefault="009A03BD" w:rsidP="009A03BD">
            <w:pPr>
              <w:spacing w:after="0"/>
              <w:rPr>
                <w:color w:val="000000"/>
                <w:sz w:val="20"/>
                <w:szCs w:val="20"/>
              </w:rPr>
            </w:pPr>
            <w:r w:rsidRPr="005C2CEC">
              <w:rPr>
                <w:color w:val="000000"/>
                <w:sz w:val="20"/>
                <w:szCs w:val="20"/>
              </w:rPr>
              <w:t> </w:t>
            </w:r>
          </w:p>
        </w:tc>
        <w:tc>
          <w:tcPr>
            <w:tcW w:w="469" w:type="dxa"/>
            <w:tcBorders>
              <w:top w:val="nil"/>
              <w:left w:val="nil"/>
              <w:bottom w:val="single" w:sz="4" w:space="0" w:color="BFBFBF"/>
              <w:right w:val="single" w:sz="18" w:space="0" w:color="002060"/>
            </w:tcBorders>
            <w:shd w:val="clear" w:color="auto" w:fill="auto"/>
            <w:noWrap/>
            <w:tcMar>
              <w:top w:w="15" w:type="dxa"/>
              <w:left w:w="15" w:type="dxa"/>
              <w:bottom w:w="0" w:type="dxa"/>
              <w:right w:w="15" w:type="dxa"/>
            </w:tcMar>
            <w:vAlign w:val="bottom"/>
            <w:hideMark/>
          </w:tcPr>
          <w:p w14:paraId="7D75BC12" w14:textId="77777777" w:rsidR="009A03BD" w:rsidRPr="005C2CEC" w:rsidRDefault="009A03BD" w:rsidP="009A03BD">
            <w:pPr>
              <w:spacing w:after="0"/>
              <w:rPr>
                <w:color w:val="000000"/>
                <w:sz w:val="20"/>
                <w:szCs w:val="20"/>
              </w:rPr>
            </w:pPr>
            <w:r w:rsidRPr="005C2CEC">
              <w:rPr>
                <w:color w:val="000000"/>
                <w:sz w:val="20"/>
                <w:szCs w:val="20"/>
              </w:rPr>
              <w:t> </w:t>
            </w:r>
          </w:p>
        </w:tc>
      </w:tr>
      <w:tr w:rsidR="009A03BD" w:rsidRPr="005C2CEC" w14:paraId="0C90D74C" w14:textId="77777777" w:rsidTr="00577F95">
        <w:trPr>
          <w:trHeight w:val="239"/>
        </w:trPr>
        <w:tc>
          <w:tcPr>
            <w:tcW w:w="1395" w:type="dxa"/>
            <w:vMerge/>
            <w:tcBorders>
              <w:top w:val="nil"/>
              <w:left w:val="single" w:sz="18" w:space="0" w:color="002060"/>
              <w:bottom w:val="single" w:sz="8" w:space="0" w:color="000000"/>
              <w:right w:val="single" w:sz="4" w:space="0" w:color="BFBFBF"/>
            </w:tcBorders>
            <w:vAlign w:val="center"/>
            <w:hideMark/>
          </w:tcPr>
          <w:p w14:paraId="74439F40" w14:textId="77777777" w:rsidR="009A03BD" w:rsidRPr="005C2CEC" w:rsidRDefault="009A03BD" w:rsidP="009A03BD">
            <w:pPr>
              <w:spacing w:after="0"/>
              <w:jc w:val="left"/>
              <w:rPr>
                <w:color w:val="000000"/>
              </w:rPr>
            </w:pPr>
          </w:p>
        </w:tc>
        <w:tc>
          <w:tcPr>
            <w:tcW w:w="2410"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6141622B" w14:textId="77777777" w:rsidR="009A03BD" w:rsidRPr="005C2CEC" w:rsidRDefault="009A03BD" w:rsidP="009A03BD">
            <w:pPr>
              <w:spacing w:after="0"/>
              <w:jc w:val="left"/>
              <w:rPr>
                <w:color w:val="000000"/>
                <w:sz w:val="20"/>
                <w:szCs w:val="20"/>
              </w:rPr>
            </w:pPr>
            <w:r w:rsidRPr="005C2CEC">
              <w:rPr>
                <w:color w:val="000000"/>
                <w:sz w:val="20"/>
                <w:szCs w:val="20"/>
              </w:rPr>
              <w:t>Migračné prúdy živočíchov</w:t>
            </w:r>
          </w:p>
        </w:tc>
        <w:tc>
          <w:tcPr>
            <w:tcW w:w="3827"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245FF8A5" w14:textId="77777777" w:rsidR="009A03BD" w:rsidRPr="005C2CEC" w:rsidRDefault="009A03BD" w:rsidP="009A03BD">
            <w:pPr>
              <w:spacing w:after="0"/>
              <w:rPr>
                <w:i/>
                <w:iCs/>
                <w:color w:val="000000"/>
                <w:sz w:val="16"/>
                <w:szCs w:val="16"/>
              </w:rPr>
            </w:pPr>
            <w:r w:rsidRPr="005C2CEC">
              <w:rPr>
                <w:i/>
                <w:iCs/>
                <w:color w:val="000000"/>
                <w:sz w:val="16"/>
                <w:szCs w:val="16"/>
              </w:rPr>
              <w:t>Investícia zasahuje do migračných prúdov živočíchov.</w:t>
            </w:r>
          </w:p>
        </w:tc>
        <w:tc>
          <w:tcPr>
            <w:tcW w:w="992" w:type="dxa"/>
            <w:tcBorders>
              <w:top w:val="single" w:sz="4" w:space="0" w:color="BFBFBF"/>
              <w:left w:val="nil"/>
              <w:bottom w:val="single" w:sz="4" w:space="0" w:color="BFBFBF"/>
              <w:right w:val="single" w:sz="4" w:space="0" w:color="BFBFBF"/>
            </w:tcBorders>
            <w:shd w:val="clear" w:color="auto" w:fill="auto"/>
            <w:noWrap/>
            <w:tcMar>
              <w:top w:w="15" w:type="dxa"/>
              <w:left w:w="15" w:type="dxa"/>
              <w:bottom w:w="0" w:type="dxa"/>
              <w:right w:w="15" w:type="dxa"/>
            </w:tcMar>
            <w:vAlign w:val="center"/>
            <w:hideMark/>
          </w:tcPr>
          <w:p w14:paraId="10D2906F" w14:textId="3894B449" w:rsidR="009A03BD" w:rsidRPr="005C2CEC" w:rsidRDefault="009A03BD" w:rsidP="009A03BD">
            <w:pPr>
              <w:spacing w:after="0"/>
              <w:jc w:val="center"/>
              <w:rPr>
                <w:sz w:val="20"/>
                <w:szCs w:val="20"/>
              </w:rPr>
            </w:pPr>
            <w:r w:rsidRPr="005C2CEC">
              <w:rPr>
                <w:sz w:val="20"/>
                <w:szCs w:val="20"/>
              </w:rPr>
              <w:t>ÁNO / NIE</w:t>
            </w:r>
          </w:p>
        </w:tc>
        <w:tc>
          <w:tcPr>
            <w:tcW w:w="1418"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78FBB887" w14:textId="77777777" w:rsidR="009A03BD" w:rsidRPr="005C2CEC" w:rsidRDefault="009A03BD" w:rsidP="009A03BD">
            <w:pPr>
              <w:spacing w:after="0"/>
              <w:jc w:val="left"/>
              <w:rPr>
                <w:color w:val="000000"/>
                <w:sz w:val="20"/>
                <w:szCs w:val="20"/>
              </w:rPr>
            </w:pPr>
            <w:r w:rsidRPr="005C2CEC">
              <w:rPr>
                <w:color w:val="000000"/>
                <w:sz w:val="20"/>
                <w:szCs w:val="20"/>
              </w:rPr>
              <w:t> </w:t>
            </w:r>
          </w:p>
        </w:tc>
        <w:tc>
          <w:tcPr>
            <w:tcW w:w="1559"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6BE31AD0" w14:textId="77777777" w:rsidR="009A03BD" w:rsidRPr="005C2CEC" w:rsidRDefault="009A03BD" w:rsidP="009A03BD">
            <w:pPr>
              <w:spacing w:after="0"/>
              <w:rPr>
                <w:color w:val="000000"/>
                <w:sz w:val="20"/>
                <w:szCs w:val="20"/>
              </w:rPr>
            </w:pPr>
            <w:r w:rsidRPr="005C2CEC">
              <w:rPr>
                <w:color w:val="000000"/>
                <w:sz w:val="20"/>
                <w:szCs w:val="20"/>
              </w:rPr>
              <w:t> </w:t>
            </w:r>
          </w:p>
        </w:tc>
        <w:tc>
          <w:tcPr>
            <w:tcW w:w="1134"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02887C80" w14:textId="77777777" w:rsidR="009A03BD" w:rsidRPr="005C2CEC" w:rsidRDefault="009A03BD" w:rsidP="009A03BD">
            <w:pPr>
              <w:spacing w:after="0"/>
              <w:rPr>
                <w:color w:val="000000"/>
                <w:sz w:val="20"/>
                <w:szCs w:val="20"/>
              </w:rPr>
            </w:pPr>
            <w:r w:rsidRPr="005C2CEC">
              <w:rPr>
                <w:color w:val="000000"/>
                <w:sz w:val="20"/>
                <w:szCs w:val="20"/>
              </w:rPr>
              <w:t> </w:t>
            </w:r>
          </w:p>
        </w:tc>
        <w:tc>
          <w:tcPr>
            <w:tcW w:w="1276"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491CF35F" w14:textId="77777777" w:rsidR="009A03BD" w:rsidRPr="005C2CEC" w:rsidRDefault="009A03BD" w:rsidP="009A03BD">
            <w:pPr>
              <w:spacing w:after="0"/>
              <w:rPr>
                <w:color w:val="000000"/>
                <w:sz w:val="20"/>
                <w:szCs w:val="20"/>
              </w:rPr>
            </w:pPr>
            <w:r w:rsidRPr="005C2CEC">
              <w:rPr>
                <w:color w:val="000000"/>
                <w:sz w:val="20"/>
                <w:szCs w:val="20"/>
              </w:rPr>
              <w:t> </w:t>
            </w:r>
          </w:p>
        </w:tc>
        <w:tc>
          <w:tcPr>
            <w:tcW w:w="469" w:type="dxa"/>
            <w:tcBorders>
              <w:top w:val="nil"/>
              <w:left w:val="nil"/>
              <w:bottom w:val="single" w:sz="4" w:space="0" w:color="BFBFBF"/>
              <w:right w:val="single" w:sz="18" w:space="0" w:color="002060"/>
            </w:tcBorders>
            <w:shd w:val="clear" w:color="auto" w:fill="auto"/>
            <w:noWrap/>
            <w:tcMar>
              <w:top w:w="15" w:type="dxa"/>
              <w:left w:w="15" w:type="dxa"/>
              <w:bottom w:w="0" w:type="dxa"/>
              <w:right w:w="15" w:type="dxa"/>
            </w:tcMar>
            <w:vAlign w:val="bottom"/>
            <w:hideMark/>
          </w:tcPr>
          <w:p w14:paraId="76B1582E" w14:textId="77777777" w:rsidR="009A03BD" w:rsidRPr="005C2CEC" w:rsidRDefault="009A03BD" w:rsidP="009A03BD">
            <w:pPr>
              <w:spacing w:after="0"/>
              <w:rPr>
                <w:color w:val="000000"/>
                <w:sz w:val="20"/>
                <w:szCs w:val="20"/>
              </w:rPr>
            </w:pPr>
            <w:r w:rsidRPr="005C2CEC">
              <w:rPr>
                <w:color w:val="000000"/>
                <w:sz w:val="20"/>
                <w:szCs w:val="20"/>
              </w:rPr>
              <w:t> </w:t>
            </w:r>
          </w:p>
        </w:tc>
      </w:tr>
      <w:tr w:rsidR="009A03BD" w:rsidRPr="005C2CEC" w14:paraId="7AA4F159" w14:textId="77777777" w:rsidTr="00577F95">
        <w:trPr>
          <w:trHeight w:val="303"/>
        </w:trPr>
        <w:tc>
          <w:tcPr>
            <w:tcW w:w="1395" w:type="dxa"/>
            <w:vMerge/>
            <w:tcBorders>
              <w:top w:val="nil"/>
              <w:left w:val="single" w:sz="18" w:space="0" w:color="002060"/>
              <w:bottom w:val="single" w:sz="18" w:space="0" w:color="002060"/>
              <w:right w:val="single" w:sz="4" w:space="0" w:color="BFBFBF"/>
            </w:tcBorders>
            <w:vAlign w:val="center"/>
            <w:hideMark/>
          </w:tcPr>
          <w:p w14:paraId="2BA03861" w14:textId="77777777" w:rsidR="009A03BD" w:rsidRPr="005C2CEC" w:rsidRDefault="009A03BD" w:rsidP="009A03BD">
            <w:pPr>
              <w:spacing w:after="0"/>
              <w:jc w:val="left"/>
              <w:rPr>
                <w:color w:val="000000"/>
              </w:rPr>
            </w:pPr>
          </w:p>
        </w:tc>
        <w:tc>
          <w:tcPr>
            <w:tcW w:w="2410" w:type="dxa"/>
            <w:tcBorders>
              <w:top w:val="nil"/>
              <w:left w:val="nil"/>
              <w:bottom w:val="single" w:sz="18" w:space="0" w:color="002060"/>
              <w:right w:val="single" w:sz="4" w:space="0" w:color="BFBFBF"/>
            </w:tcBorders>
            <w:shd w:val="clear" w:color="000000" w:fill="F2F2F2"/>
            <w:tcMar>
              <w:top w:w="15" w:type="dxa"/>
              <w:left w:w="15" w:type="dxa"/>
              <w:bottom w:w="0" w:type="dxa"/>
              <w:right w:w="15" w:type="dxa"/>
            </w:tcMar>
            <w:vAlign w:val="center"/>
            <w:hideMark/>
          </w:tcPr>
          <w:p w14:paraId="3C9FBCCD" w14:textId="77777777" w:rsidR="009A03BD" w:rsidRPr="005C2CEC" w:rsidRDefault="009A03BD" w:rsidP="009A03BD">
            <w:pPr>
              <w:spacing w:after="0"/>
              <w:jc w:val="left"/>
              <w:rPr>
                <w:color w:val="000000"/>
                <w:sz w:val="20"/>
                <w:szCs w:val="20"/>
              </w:rPr>
            </w:pPr>
            <w:r w:rsidRPr="005C2CEC">
              <w:rPr>
                <w:color w:val="000000"/>
                <w:sz w:val="20"/>
                <w:szCs w:val="20"/>
              </w:rPr>
              <w:t>Biodiverzita a regenerácia</w:t>
            </w:r>
          </w:p>
        </w:tc>
        <w:tc>
          <w:tcPr>
            <w:tcW w:w="3827" w:type="dxa"/>
            <w:tcBorders>
              <w:top w:val="nil"/>
              <w:left w:val="nil"/>
              <w:bottom w:val="single" w:sz="18" w:space="0" w:color="002060"/>
              <w:right w:val="single" w:sz="4" w:space="0" w:color="BFBFBF"/>
            </w:tcBorders>
            <w:shd w:val="clear" w:color="000000" w:fill="F2F2F2"/>
            <w:tcMar>
              <w:top w:w="15" w:type="dxa"/>
              <w:left w:w="15" w:type="dxa"/>
              <w:bottom w:w="0" w:type="dxa"/>
              <w:right w:w="15" w:type="dxa"/>
            </w:tcMar>
            <w:vAlign w:val="center"/>
            <w:hideMark/>
          </w:tcPr>
          <w:p w14:paraId="571ADCF6" w14:textId="77777777" w:rsidR="009A03BD" w:rsidRPr="005C2CEC" w:rsidRDefault="009A03BD" w:rsidP="009A03BD">
            <w:pPr>
              <w:spacing w:after="0"/>
              <w:rPr>
                <w:i/>
                <w:iCs/>
                <w:color w:val="000000"/>
                <w:sz w:val="16"/>
                <w:szCs w:val="16"/>
              </w:rPr>
            </w:pPr>
            <w:r w:rsidRPr="005C2CEC">
              <w:rPr>
                <w:i/>
                <w:iCs/>
                <w:color w:val="000000"/>
                <w:sz w:val="16"/>
                <w:szCs w:val="16"/>
              </w:rPr>
              <w:t>Investícia vplýva na biodiverzitu a regeneráciu životného prostredia v regióne.</w:t>
            </w:r>
          </w:p>
        </w:tc>
        <w:tc>
          <w:tcPr>
            <w:tcW w:w="992" w:type="dxa"/>
            <w:tcBorders>
              <w:top w:val="single" w:sz="4" w:space="0" w:color="BFBFBF"/>
              <w:left w:val="nil"/>
              <w:bottom w:val="single" w:sz="18" w:space="0" w:color="002060"/>
              <w:right w:val="single" w:sz="4" w:space="0" w:color="BFBFBF"/>
            </w:tcBorders>
            <w:shd w:val="clear" w:color="auto" w:fill="auto"/>
            <w:noWrap/>
            <w:tcMar>
              <w:top w:w="15" w:type="dxa"/>
              <w:left w:w="15" w:type="dxa"/>
              <w:bottom w:w="0" w:type="dxa"/>
              <w:right w:w="15" w:type="dxa"/>
            </w:tcMar>
            <w:vAlign w:val="center"/>
            <w:hideMark/>
          </w:tcPr>
          <w:p w14:paraId="3C9BB710" w14:textId="7C439262" w:rsidR="009A03BD" w:rsidRPr="005C2CEC" w:rsidRDefault="009A03BD" w:rsidP="009A03BD">
            <w:pPr>
              <w:spacing w:after="0"/>
              <w:jc w:val="center"/>
              <w:rPr>
                <w:sz w:val="20"/>
                <w:szCs w:val="20"/>
              </w:rPr>
            </w:pPr>
            <w:r w:rsidRPr="005C2CEC">
              <w:rPr>
                <w:sz w:val="20"/>
                <w:szCs w:val="20"/>
              </w:rPr>
              <w:t>ÁNO / NIE</w:t>
            </w:r>
          </w:p>
        </w:tc>
        <w:tc>
          <w:tcPr>
            <w:tcW w:w="1418" w:type="dxa"/>
            <w:tcBorders>
              <w:top w:val="nil"/>
              <w:left w:val="nil"/>
              <w:bottom w:val="single" w:sz="18" w:space="0" w:color="002060"/>
              <w:right w:val="single" w:sz="4" w:space="0" w:color="BFBFBF"/>
            </w:tcBorders>
            <w:shd w:val="clear" w:color="auto" w:fill="auto"/>
            <w:noWrap/>
            <w:tcMar>
              <w:top w:w="15" w:type="dxa"/>
              <w:left w:w="15" w:type="dxa"/>
              <w:bottom w:w="0" w:type="dxa"/>
              <w:right w:w="15" w:type="dxa"/>
            </w:tcMar>
            <w:vAlign w:val="bottom"/>
            <w:hideMark/>
          </w:tcPr>
          <w:p w14:paraId="3CCAB7A8" w14:textId="77777777" w:rsidR="009A03BD" w:rsidRPr="005C2CEC" w:rsidRDefault="009A03BD" w:rsidP="009A03BD">
            <w:pPr>
              <w:spacing w:after="0"/>
              <w:jc w:val="left"/>
              <w:rPr>
                <w:color w:val="000000"/>
                <w:sz w:val="20"/>
                <w:szCs w:val="20"/>
              </w:rPr>
            </w:pPr>
            <w:r w:rsidRPr="005C2CEC">
              <w:rPr>
                <w:color w:val="000000"/>
                <w:sz w:val="20"/>
                <w:szCs w:val="20"/>
              </w:rPr>
              <w:t> </w:t>
            </w:r>
          </w:p>
        </w:tc>
        <w:tc>
          <w:tcPr>
            <w:tcW w:w="1559" w:type="dxa"/>
            <w:tcBorders>
              <w:top w:val="nil"/>
              <w:left w:val="nil"/>
              <w:bottom w:val="single" w:sz="18" w:space="0" w:color="002060"/>
              <w:right w:val="single" w:sz="4" w:space="0" w:color="BFBFBF"/>
            </w:tcBorders>
            <w:shd w:val="clear" w:color="auto" w:fill="auto"/>
            <w:noWrap/>
            <w:tcMar>
              <w:top w:w="15" w:type="dxa"/>
              <w:left w:w="15" w:type="dxa"/>
              <w:bottom w:w="0" w:type="dxa"/>
              <w:right w:w="15" w:type="dxa"/>
            </w:tcMar>
            <w:vAlign w:val="bottom"/>
            <w:hideMark/>
          </w:tcPr>
          <w:p w14:paraId="47F46F83" w14:textId="77777777" w:rsidR="009A03BD" w:rsidRPr="005C2CEC" w:rsidRDefault="009A03BD" w:rsidP="009A03BD">
            <w:pPr>
              <w:spacing w:after="0"/>
              <w:rPr>
                <w:color w:val="000000"/>
                <w:sz w:val="20"/>
                <w:szCs w:val="20"/>
              </w:rPr>
            </w:pPr>
            <w:r w:rsidRPr="005C2CEC">
              <w:rPr>
                <w:color w:val="000000"/>
                <w:sz w:val="20"/>
                <w:szCs w:val="20"/>
              </w:rPr>
              <w:t> </w:t>
            </w:r>
          </w:p>
        </w:tc>
        <w:tc>
          <w:tcPr>
            <w:tcW w:w="1134" w:type="dxa"/>
            <w:tcBorders>
              <w:top w:val="nil"/>
              <w:left w:val="nil"/>
              <w:bottom w:val="single" w:sz="18" w:space="0" w:color="002060"/>
              <w:right w:val="single" w:sz="4" w:space="0" w:color="BFBFBF"/>
            </w:tcBorders>
            <w:shd w:val="clear" w:color="auto" w:fill="auto"/>
            <w:noWrap/>
            <w:tcMar>
              <w:top w:w="15" w:type="dxa"/>
              <w:left w:w="15" w:type="dxa"/>
              <w:bottom w:w="0" w:type="dxa"/>
              <w:right w:w="15" w:type="dxa"/>
            </w:tcMar>
            <w:vAlign w:val="bottom"/>
            <w:hideMark/>
          </w:tcPr>
          <w:p w14:paraId="0766D95F" w14:textId="77777777" w:rsidR="009A03BD" w:rsidRPr="005C2CEC" w:rsidRDefault="009A03BD" w:rsidP="009A03BD">
            <w:pPr>
              <w:spacing w:after="0"/>
              <w:rPr>
                <w:color w:val="000000"/>
                <w:sz w:val="20"/>
                <w:szCs w:val="20"/>
              </w:rPr>
            </w:pPr>
            <w:r w:rsidRPr="005C2CEC">
              <w:rPr>
                <w:color w:val="000000"/>
                <w:sz w:val="20"/>
                <w:szCs w:val="20"/>
              </w:rPr>
              <w:t> </w:t>
            </w:r>
          </w:p>
        </w:tc>
        <w:tc>
          <w:tcPr>
            <w:tcW w:w="1276" w:type="dxa"/>
            <w:tcBorders>
              <w:top w:val="nil"/>
              <w:left w:val="nil"/>
              <w:bottom w:val="single" w:sz="18" w:space="0" w:color="002060"/>
              <w:right w:val="single" w:sz="4" w:space="0" w:color="BFBFBF"/>
            </w:tcBorders>
            <w:shd w:val="clear" w:color="auto" w:fill="auto"/>
            <w:noWrap/>
            <w:tcMar>
              <w:top w:w="15" w:type="dxa"/>
              <w:left w:w="15" w:type="dxa"/>
              <w:bottom w:w="0" w:type="dxa"/>
              <w:right w:w="15" w:type="dxa"/>
            </w:tcMar>
            <w:vAlign w:val="bottom"/>
            <w:hideMark/>
          </w:tcPr>
          <w:p w14:paraId="0FADD0C1" w14:textId="77777777" w:rsidR="009A03BD" w:rsidRPr="005C2CEC" w:rsidRDefault="009A03BD" w:rsidP="009A03BD">
            <w:pPr>
              <w:spacing w:after="0"/>
              <w:rPr>
                <w:color w:val="000000"/>
                <w:sz w:val="20"/>
                <w:szCs w:val="20"/>
              </w:rPr>
            </w:pPr>
            <w:r w:rsidRPr="005C2CEC">
              <w:rPr>
                <w:color w:val="000000"/>
                <w:sz w:val="20"/>
                <w:szCs w:val="20"/>
              </w:rPr>
              <w:t> </w:t>
            </w:r>
          </w:p>
        </w:tc>
        <w:tc>
          <w:tcPr>
            <w:tcW w:w="469" w:type="dxa"/>
            <w:tcBorders>
              <w:top w:val="nil"/>
              <w:left w:val="nil"/>
              <w:bottom w:val="single" w:sz="18" w:space="0" w:color="002060"/>
              <w:right w:val="single" w:sz="18" w:space="0" w:color="002060"/>
            </w:tcBorders>
            <w:shd w:val="clear" w:color="auto" w:fill="auto"/>
            <w:noWrap/>
            <w:tcMar>
              <w:top w:w="15" w:type="dxa"/>
              <w:left w:w="15" w:type="dxa"/>
              <w:bottom w:w="0" w:type="dxa"/>
              <w:right w:w="15" w:type="dxa"/>
            </w:tcMar>
            <w:vAlign w:val="bottom"/>
            <w:hideMark/>
          </w:tcPr>
          <w:p w14:paraId="1A2E3B48" w14:textId="77777777" w:rsidR="009A03BD" w:rsidRPr="005C2CEC" w:rsidRDefault="009A03BD" w:rsidP="009A03BD">
            <w:pPr>
              <w:spacing w:after="0"/>
              <w:rPr>
                <w:color w:val="000000"/>
                <w:sz w:val="20"/>
                <w:szCs w:val="20"/>
              </w:rPr>
            </w:pPr>
            <w:r w:rsidRPr="005C2CEC">
              <w:rPr>
                <w:color w:val="000000"/>
                <w:sz w:val="20"/>
                <w:szCs w:val="20"/>
              </w:rPr>
              <w:t> </w:t>
            </w:r>
          </w:p>
        </w:tc>
      </w:tr>
      <w:tr w:rsidR="009A03BD" w:rsidRPr="005C2CEC" w14:paraId="4315EC77" w14:textId="77777777" w:rsidTr="00577F95">
        <w:trPr>
          <w:trHeight w:val="484"/>
        </w:trPr>
        <w:tc>
          <w:tcPr>
            <w:tcW w:w="1395" w:type="dxa"/>
            <w:vMerge w:val="restart"/>
            <w:tcBorders>
              <w:top w:val="single" w:sz="18" w:space="0" w:color="002060"/>
              <w:left w:val="single" w:sz="18" w:space="0" w:color="002060"/>
              <w:bottom w:val="single" w:sz="8" w:space="0" w:color="000000"/>
              <w:right w:val="single" w:sz="4" w:space="0" w:color="BFBFBF"/>
            </w:tcBorders>
            <w:shd w:val="clear" w:color="000000" w:fill="F8CBAD"/>
            <w:tcMar>
              <w:top w:w="15" w:type="dxa"/>
              <w:left w:w="15" w:type="dxa"/>
              <w:bottom w:w="0" w:type="dxa"/>
              <w:right w:w="15" w:type="dxa"/>
            </w:tcMar>
            <w:vAlign w:val="center"/>
            <w:hideMark/>
          </w:tcPr>
          <w:p w14:paraId="24CBEC61" w14:textId="77777777" w:rsidR="009A03BD" w:rsidRPr="005C2CEC" w:rsidRDefault="009A03BD" w:rsidP="009A03BD">
            <w:pPr>
              <w:spacing w:after="0"/>
              <w:jc w:val="left"/>
              <w:rPr>
                <w:color w:val="000000"/>
              </w:rPr>
            </w:pPr>
            <w:r w:rsidRPr="005C2CEC">
              <w:rPr>
                <w:color w:val="000000"/>
              </w:rPr>
              <w:t>Distribučné a sociálne</w:t>
            </w:r>
          </w:p>
        </w:tc>
        <w:tc>
          <w:tcPr>
            <w:tcW w:w="2410" w:type="dxa"/>
            <w:tcBorders>
              <w:top w:val="single" w:sz="18" w:space="0" w:color="002060"/>
              <w:left w:val="nil"/>
              <w:bottom w:val="nil"/>
              <w:right w:val="single" w:sz="4" w:space="0" w:color="BFBFBF"/>
            </w:tcBorders>
            <w:shd w:val="clear" w:color="000000" w:fill="F2F2F2"/>
            <w:tcMar>
              <w:top w:w="15" w:type="dxa"/>
              <w:left w:w="15" w:type="dxa"/>
              <w:bottom w:w="0" w:type="dxa"/>
              <w:right w:w="15" w:type="dxa"/>
            </w:tcMar>
            <w:vAlign w:val="center"/>
            <w:hideMark/>
          </w:tcPr>
          <w:p w14:paraId="3E380142" w14:textId="239660C9" w:rsidR="009A03BD" w:rsidRPr="005C2CEC" w:rsidRDefault="009A03BD" w:rsidP="00B77B96">
            <w:pPr>
              <w:spacing w:after="0"/>
              <w:jc w:val="left"/>
              <w:rPr>
                <w:color w:val="000000"/>
                <w:sz w:val="20"/>
                <w:szCs w:val="20"/>
              </w:rPr>
            </w:pPr>
            <w:r w:rsidRPr="005C2CEC">
              <w:rPr>
                <w:color w:val="000000"/>
                <w:sz w:val="20"/>
                <w:szCs w:val="20"/>
              </w:rPr>
              <w:t>Zapojenie vyl</w:t>
            </w:r>
            <w:r w:rsidR="00B77B96" w:rsidRPr="005C2CEC">
              <w:rPr>
                <w:color w:val="000000"/>
                <w:sz w:val="20"/>
                <w:szCs w:val="20"/>
              </w:rPr>
              <w:t>ú</w:t>
            </w:r>
            <w:r w:rsidRPr="005C2CEC">
              <w:rPr>
                <w:color w:val="000000"/>
                <w:sz w:val="20"/>
                <w:szCs w:val="20"/>
              </w:rPr>
              <w:t>čených skupín do spoločnosti</w:t>
            </w:r>
          </w:p>
        </w:tc>
        <w:tc>
          <w:tcPr>
            <w:tcW w:w="3827" w:type="dxa"/>
            <w:tcBorders>
              <w:top w:val="single" w:sz="18" w:space="0" w:color="002060"/>
              <w:left w:val="nil"/>
              <w:bottom w:val="nil"/>
              <w:right w:val="single" w:sz="4" w:space="0" w:color="BFBFBF"/>
            </w:tcBorders>
            <w:shd w:val="clear" w:color="000000" w:fill="F2F2F2"/>
            <w:tcMar>
              <w:top w:w="15" w:type="dxa"/>
              <w:left w:w="15" w:type="dxa"/>
              <w:bottom w:w="0" w:type="dxa"/>
              <w:right w:w="15" w:type="dxa"/>
            </w:tcMar>
            <w:vAlign w:val="center"/>
            <w:hideMark/>
          </w:tcPr>
          <w:p w14:paraId="0595076A" w14:textId="77777777" w:rsidR="009A03BD" w:rsidRPr="005C2CEC" w:rsidRDefault="009A03BD" w:rsidP="009A03BD">
            <w:pPr>
              <w:spacing w:after="0"/>
              <w:rPr>
                <w:i/>
                <w:iCs/>
                <w:color w:val="000000"/>
                <w:sz w:val="16"/>
                <w:szCs w:val="16"/>
              </w:rPr>
            </w:pPr>
            <w:r w:rsidRPr="005C2CEC">
              <w:rPr>
                <w:i/>
                <w:iCs/>
                <w:color w:val="000000"/>
                <w:sz w:val="16"/>
                <w:szCs w:val="16"/>
              </w:rPr>
              <w:t>Investícia podporuje zapojenie vylúčených skupín do spoločenského a ekonomického života</w:t>
            </w:r>
          </w:p>
        </w:tc>
        <w:tc>
          <w:tcPr>
            <w:tcW w:w="992" w:type="dxa"/>
            <w:tcBorders>
              <w:top w:val="single" w:sz="18" w:space="0" w:color="002060"/>
              <w:left w:val="single" w:sz="4" w:space="0" w:color="BFBFBF"/>
              <w:bottom w:val="nil"/>
              <w:right w:val="single" w:sz="4" w:space="0" w:color="BFBFBF"/>
            </w:tcBorders>
            <w:shd w:val="clear" w:color="auto" w:fill="auto"/>
            <w:noWrap/>
            <w:tcMar>
              <w:top w:w="15" w:type="dxa"/>
              <w:left w:w="15" w:type="dxa"/>
              <w:bottom w:w="0" w:type="dxa"/>
              <w:right w:w="15" w:type="dxa"/>
            </w:tcMar>
            <w:vAlign w:val="center"/>
            <w:hideMark/>
          </w:tcPr>
          <w:p w14:paraId="414A1718" w14:textId="7267E171" w:rsidR="009A03BD" w:rsidRPr="005C2CEC" w:rsidRDefault="009A03BD" w:rsidP="009A03BD">
            <w:pPr>
              <w:spacing w:after="0"/>
              <w:jc w:val="center"/>
              <w:rPr>
                <w:sz w:val="20"/>
                <w:szCs w:val="20"/>
              </w:rPr>
            </w:pPr>
            <w:r w:rsidRPr="005C2CEC">
              <w:rPr>
                <w:sz w:val="20"/>
                <w:szCs w:val="20"/>
              </w:rPr>
              <w:t>ÁNO / NIE</w:t>
            </w:r>
          </w:p>
        </w:tc>
        <w:tc>
          <w:tcPr>
            <w:tcW w:w="1418" w:type="dxa"/>
            <w:tcBorders>
              <w:top w:val="single" w:sz="18" w:space="0" w:color="002060"/>
              <w:left w:val="nil"/>
              <w:bottom w:val="nil"/>
              <w:right w:val="single" w:sz="4" w:space="0" w:color="BFBFBF"/>
            </w:tcBorders>
            <w:shd w:val="clear" w:color="auto" w:fill="auto"/>
            <w:noWrap/>
            <w:tcMar>
              <w:top w:w="15" w:type="dxa"/>
              <w:left w:w="15" w:type="dxa"/>
              <w:bottom w:w="0" w:type="dxa"/>
              <w:right w:w="15" w:type="dxa"/>
            </w:tcMar>
            <w:vAlign w:val="bottom"/>
            <w:hideMark/>
          </w:tcPr>
          <w:p w14:paraId="5264C64A" w14:textId="77777777" w:rsidR="009A03BD" w:rsidRPr="005C2CEC" w:rsidRDefault="009A03BD" w:rsidP="009A03BD">
            <w:pPr>
              <w:spacing w:after="0"/>
              <w:jc w:val="left"/>
              <w:rPr>
                <w:color w:val="000000"/>
                <w:sz w:val="20"/>
                <w:szCs w:val="20"/>
              </w:rPr>
            </w:pPr>
            <w:r w:rsidRPr="005C2CEC">
              <w:rPr>
                <w:color w:val="000000"/>
                <w:sz w:val="20"/>
                <w:szCs w:val="20"/>
              </w:rPr>
              <w:t> </w:t>
            </w:r>
          </w:p>
        </w:tc>
        <w:tc>
          <w:tcPr>
            <w:tcW w:w="1559" w:type="dxa"/>
            <w:tcBorders>
              <w:top w:val="single" w:sz="18" w:space="0" w:color="002060"/>
              <w:left w:val="nil"/>
              <w:bottom w:val="nil"/>
              <w:right w:val="single" w:sz="4" w:space="0" w:color="BFBFBF"/>
            </w:tcBorders>
            <w:shd w:val="clear" w:color="auto" w:fill="auto"/>
            <w:noWrap/>
            <w:tcMar>
              <w:top w:w="15" w:type="dxa"/>
              <w:left w:w="15" w:type="dxa"/>
              <w:bottom w:w="0" w:type="dxa"/>
              <w:right w:w="15" w:type="dxa"/>
            </w:tcMar>
            <w:vAlign w:val="bottom"/>
            <w:hideMark/>
          </w:tcPr>
          <w:p w14:paraId="7F17E52A" w14:textId="77777777" w:rsidR="009A03BD" w:rsidRPr="005C2CEC" w:rsidRDefault="009A03BD" w:rsidP="009A03BD">
            <w:pPr>
              <w:spacing w:after="0"/>
              <w:rPr>
                <w:color w:val="000000"/>
                <w:sz w:val="20"/>
                <w:szCs w:val="20"/>
              </w:rPr>
            </w:pPr>
            <w:r w:rsidRPr="005C2CEC">
              <w:rPr>
                <w:color w:val="000000"/>
                <w:sz w:val="20"/>
                <w:szCs w:val="20"/>
              </w:rPr>
              <w:t> </w:t>
            </w:r>
          </w:p>
        </w:tc>
        <w:tc>
          <w:tcPr>
            <w:tcW w:w="1134" w:type="dxa"/>
            <w:tcBorders>
              <w:top w:val="single" w:sz="18" w:space="0" w:color="002060"/>
              <w:left w:val="nil"/>
              <w:bottom w:val="nil"/>
              <w:right w:val="single" w:sz="4" w:space="0" w:color="BFBFBF"/>
            </w:tcBorders>
            <w:shd w:val="clear" w:color="auto" w:fill="auto"/>
            <w:noWrap/>
            <w:tcMar>
              <w:top w:w="15" w:type="dxa"/>
              <w:left w:w="15" w:type="dxa"/>
              <w:bottom w:w="0" w:type="dxa"/>
              <w:right w:w="15" w:type="dxa"/>
            </w:tcMar>
            <w:vAlign w:val="bottom"/>
            <w:hideMark/>
          </w:tcPr>
          <w:p w14:paraId="52BF65C2" w14:textId="77777777" w:rsidR="009A03BD" w:rsidRPr="005C2CEC" w:rsidRDefault="009A03BD" w:rsidP="009A03BD">
            <w:pPr>
              <w:spacing w:after="0"/>
              <w:rPr>
                <w:color w:val="000000"/>
                <w:sz w:val="20"/>
                <w:szCs w:val="20"/>
              </w:rPr>
            </w:pPr>
            <w:r w:rsidRPr="005C2CEC">
              <w:rPr>
                <w:color w:val="000000"/>
                <w:sz w:val="20"/>
                <w:szCs w:val="20"/>
              </w:rPr>
              <w:t> </w:t>
            </w:r>
          </w:p>
        </w:tc>
        <w:tc>
          <w:tcPr>
            <w:tcW w:w="1276" w:type="dxa"/>
            <w:tcBorders>
              <w:top w:val="single" w:sz="18" w:space="0" w:color="002060"/>
              <w:left w:val="nil"/>
              <w:bottom w:val="nil"/>
              <w:right w:val="single" w:sz="4" w:space="0" w:color="BFBFBF"/>
            </w:tcBorders>
            <w:shd w:val="clear" w:color="auto" w:fill="auto"/>
            <w:noWrap/>
            <w:tcMar>
              <w:top w:w="15" w:type="dxa"/>
              <w:left w:w="15" w:type="dxa"/>
              <w:bottom w:w="0" w:type="dxa"/>
              <w:right w:w="15" w:type="dxa"/>
            </w:tcMar>
            <w:vAlign w:val="bottom"/>
            <w:hideMark/>
          </w:tcPr>
          <w:p w14:paraId="13AF93BA" w14:textId="77777777" w:rsidR="009A03BD" w:rsidRPr="005C2CEC" w:rsidRDefault="009A03BD" w:rsidP="009A03BD">
            <w:pPr>
              <w:spacing w:after="0"/>
              <w:rPr>
                <w:color w:val="000000"/>
                <w:sz w:val="20"/>
                <w:szCs w:val="20"/>
              </w:rPr>
            </w:pPr>
            <w:r w:rsidRPr="005C2CEC">
              <w:rPr>
                <w:color w:val="000000"/>
                <w:sz w:val="20"/>
                <w:szCs w:val="20"/>
              </w:rPr>
              <w:t> </w:t>
            </w:r>
          </w:p>
        </w:tc>
        <w:tc>
          <w:tcPr>
            <w:tcW w:w="469" w:type="dxa"/>
            <w:tcBorders>
              <w:top w:val="single" w:sz="18" w:space="0" w:color="002060"/>
              <w:left w:val="nil"/>
              <w:bottom w:val="nil"/>
              <w:right w:val="single" w:sz="18" w:space="0" w:color="002060"/>
            </w:tcBorders>
            <w:shd w:val="clear" w:color="auto" w:fill="auto"/>
            <w:noWrap/>
            <w:tcMar>
              <w:top w:w="15" w:type="dxa"/>
              <w:left w:w="15" w:type="dxa"/>
              <w:bottom w:w="0" w:type="dxa"/>
              <w:right w:w="15" w:type="dxa"/>
            </w:tcMar>
            <w:vAlign w:val="bottom"/>
            <w:hideMark/>
          </w:tcPr>
          <w:p w14:paraId="51C30EA7" w14:textId="77777777" w:rsidR="009A03BD" w:rsidRPr="005C2CEC" w:rsidRDefault="009A03BD" w:rsidP="009A03BD">
            <w:pPr>
              <w:spacing w:after="0"/>
              <w:rPr>
                <w:color w:val="000000"/>
                <w:sz w:val="20"/>
                <w:szCs w:val="20"/>
              </w:rPr>
            </w:pPr>
            <w:r w:rsidRPr="005C2CEC">
              <w:rPr>
                <w:color w:val="000000"/>
                <w:sz w:val="20"/>
                <w:szCs w:val="20"/>
              </w:rPr>
              <w:t> </w:t>
            </w:r>
          </w:p>
        </w:tc>
      </w:tr>
      <w:tr w:rsidR="009A03BD" w:rsidRPr="005C2CEC" w14:paraId="761E9583" w14:textId="77777777" w:rsidTr="00577F95">
        <w:trPr>
          <w:trHeight w:val="358"/>
        </w:trPr>
        <w:tc>
          <w:tcPr>
            <w:tcW w:w="1395" w:type="dxa"/>
            <w:vMerge/>
            <w:tcBorders>
              <w:top w:val="nil"/>
              <w:left w:val="single" w:sz="18" w:space="0" w:color="002060"/>
              <w:bottom w:val="single" w:sz="8" w:space="0" w:color="000000"/>
              <w:right w:val="single" w:sz="4" w:space="0" w:color="BFBFBF"/>
            </w:tcBorders>
            <w:vAlign w:val="center"/>
            <w:hideMark/>
          </w:tcPr>
          <w:p w14:paraId="3B1D7C3B" w14:textId="77777777" w:rsidR="009A03BD" w:rsidRPr="005C2CEC" w:rsidRDefault="009A03BD" w:rsidP="009A03BD">
            <w:pPr>
              <w:spacing w:after="0"/>
              <w:jc w:val="left"/>
              <w:rPr>
                <w:color w:val="000000"/>
              </w:rPr>
            </w:pPr>
          </w:p>
        </w:tc>
        <w:tc>
          <w:tcPr>
            <w:tcW w:w="2410" w:type="dxa"/>
            <w:tcBorders>
              <w:top w:val="single" w:sz="4" w:space="0" w:color="BFBFBF"/>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7533A598" w14:textId="77777777" w:rsidR="009A03BD" w:rsidRPr="005C2CEC" w:rsidRDefault="009A03BD" w:rsidP="009A03BD">
            <w:pPr>
              <w:spacing w:after="0"/>
              <w:jc w:val="left"/>
              <w:rPr>
                <w:color w:val="000000"/>
                <w:sz w:val="20"/>
                <w:szCs w:val="20"/>
              </w:rPr>
            </w:pPr>
            <w:r w:rsidRPr="005C2CEC">
              <w:rPr>
                <w:color w:val="000000"/>
                <w:sz w:val="20"/>
                <w:szCs w:val="20"/>
              </w:rPr>
              <w:t>Podpora zamestnania znevýhodnených skupín</w:t>
            </w:r>
          </w:p>
        </w:tc>
        <w:tc>
          <w:tcPr>
            <w:tcW w:w="3827" w:type="dxa"/>
            <w:tcBorders>
              <w:top w:val="single" w:sz="4" w:space="0" w:color="BFBFBF"/>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5964A0F8" w14:textId="77777777" w:rsidR="009A03BD" w:rsidRPr="005C2CEC" w:rsidRDefault="009A03BD" w:rsidP="009A03BD">
            <w:pPr>
              <w:spacing w:after="0"/>
              <w:rPr>
                <w:i/>
                <w:iCs/>
                <w:color w:val="000000"/>
                <w:sz w:val="16"/>
                <w:szCs w:val="16"/>
              </w:rPr>
            </w:pPr>
            <w:r w:rsidRPr="005C2CEC">
              <w:rPr>
                <w:i/>
                <w:iCs/>
                <w:color w:val="000000"/>
                <w:sz w:val="16"/>
                <w:szCs w:val="16"/>
              </w:rPr>
              <w:t xml:space="preserve">Investícia podporuje zamestnanie znevýhodnených skupín </w:t>
            </w:r>
          </w:p>
        </w:tc>
        <w:tc>
          <w:tcPr>
            <w:tcW w:w="992" w:type="dxa"/>
            <w:tcBorders>
              <w:top w:val="single" w:sz="4" w:space="0" w:color="BFBFBF"/>
              <w:left w:val="nil"/>
              <w:bottom w:val="single" w:sz="4" w:space="0" w:color="BFBFBF"/>
              <w:right w:val="single" w:sz="4" w:space="0" w:color="BFBFBF"/>
            </w:tcBorders>
            <w:shd w:val="clear" w:color="auto" w:fill="auto"/>
            <w:noWrap/>
            <w:tcMar>
              <w:top w:w="15" w:type="dxa"/>
              <w:left w:w="15" w:type="dxa"/>
              <w:bottom w:w="0" w:type="dxa"/>
              <w:right w:w="15" w:type="dxa"/>
            </w:tcMar>
            <w:vAlign w:val="center"/>
            <w:hideMark/>
          </w:tcPr>
          <w:p w14:paraId="0480218A" w14:textId="48933D27" w:rsidR="009A03BD" w:rsidRPr="005C2CEC" w:rsidRDefault="009A03BD" w:rsidP="009A03BD">
            <w:pPr>
              <w:spacing w:after="0"/>
              <w:jc w:val="center"/>
              <w:rPr>
                <w:sz w:val="20"/>
                <w:szCs w:val="20"/>
              </w:rPr>
            </w:pPr>
            <w:r w:rsidRPr="005C2CEC">
              <w:rPr>
                <w:sz w:val="20"/>
                <w:szCs w:val="20"/>
              </w:rPr>
              <w:t>ÁNO / NIE</w:t>
            </w:r>
          </w:p>
        </w:tc>
        <w:tc>
          <w:tcPr>
            <w:tcW w:w="1418" w:type="dxa"/>
            <w:tcBorders>
              <w:top w:val="nil"/>
              <w:left w:val="nil"/>
              <w:bottom w:val="nil"/>
              <w:right w:val="single" w:sz="4" w:space="0" w:color="BFBFBF"/>
            </w:tcBorders>
            <w:shd w:val="clear" w:color="auto" w:fill="auto"/>
            <w:noWrap/>
            <w:tcMar>
              <w:top w:w="15" w:type="dxa"/>
              <w:left w:w="15" w:type="dxa"/>
              <w:bottom w:w="0" w:type="dxa"/>
              <w:right w:w="15" w:type="dxa"/>
            </w:tcMar>
            <w:vAlign w:val="bottom"/>
            <w:hideMark/>
          </w:tcPr>
          <w:p w14:paraId="42935DA2" w14:textId="77777777" w:rsidR="009A03BD" w:rsidRPr="005C2CEC" w:rsidRDefault="009A03BD" w:rsidP="009A03BD">
            <w:pPr>
              <w:spacing w:after="0"/>
              <w:jc w:val="left"/>
              <w:rPr>
                <w:color w:val="000000"/>
                <w:sz w:val="20"/>
                <w:szCs w:val="20"/>
              </w:rPr>
            </w:pPr>
            <w:r w:rsidRPr="005C2CEC">
              <w:rPr>
                <w:color w:val="000000"/>
                <w:sz w:val="20"/>
                <w:szCs w:val="20"/>
              </w:rPr>
              <w:t> </w:t>
            </w:r>
          </w:p>
        </w:tc>
        <w:tc>
          <w:tcPr>
            <w:tcW w:w="1559" w:type="dxa"/>
            <w:tcBorders>
              <w:top w:val="nil"/>
              <w:left w:val="nil"/>
              <w:bottom w:val="nil"/>
              <w:right w:val="single" w:sz="4" w:space="0" w:color="BFBFBF"/>
            </w:tcBorders>
            <w:shd w:val="clear" w:color="auto" w:fill="auto"/>
            <w:noWrap/>
            <w:tcMar>
              <w:top w:w="15" w:type="dxa"/>
              <w:left w:w="15" w:type="dxa"/>
              <w:bottom w:w="0" w:type="dxa"/>
              <w:right w:w="15" w:type="dxa"/>
            </w:tcMar>
            <w:vAlign w:val="bottom"/>
            <w:hideMark/>
          </w:tcPr>
          <w:p w14:paraId="2A7BFA07" w14:textId="77777777" w:rsidR="009A03BD" w:rsidRPr="005C2CEC" w:rsidRDefault="009A03BD" w:rsidP="009A03BD">
            <w:pPr>
              <w:spacing w:after="0"/>
              <w:rPr>
                <w:color w:val="000000"/>
                <w:sz w:val="20"/>
                <w:szCs w:val="20"/>
              </w:rPr>
            </w:pPr>
            <w:r w:rsidRPr="005C2CEC">
              <w:rPr>
                <w:color w:val="000000"/>
                <w:sz w:val="20"/>
                <w:szCs w:val="20"/>
              </w:rPr>
              <w:t> </w:t>
            </w:r>
          </w:p>
        </w:tc>
        <w:tc>
          <w:tcPr>
            <w:tcW w:w="1134" w:type="dxa"/>
            <w:tcBorders>
              <w:top w:val="nil"/>
              <w:left w:val="nil"/>
              <w:bottom w:val="nil"/>
              <w:right w:val="single" w:sz="4" w:space="0" w:color="BFBFBF"/>
            </w:tcBorders>
            <w:shd w:val="clear" w:color="auto" w:fill="auto"/>
            <w:noWrap/>
            <w:tcMar>
              <w:top w:w="15" w:type="dxa"/>
              <w:left w:w="15" w:type="dxa"/>
              <w:bottom w:w="0" w:type="dxa"/>
              <w:right w:w="15" w:type="dxa"/>
            </w:tcMar>
            <w:vAlign w:val="bottom"/>
            <w:hideMark/>
          </w:tcPr>
          <w:p w14:paraId="7133A0C7" w14:textId="77777777" w:rsidR="009A03BD" w:rsidRPr="005C2CEC" w:rsidRDefault="009A03BD" w:rsidP="009A03BD">
            <w:pPr>
              <w:spacing w:after="0"/>
              <w:rPr>
                <w:color w:val="000000"/>
                <w:sz w:val="20"/>
                <w:szCs w:val="20"/>
              </w:rPr>
            </w:pPr>
            <w:r w:rsidRPr="005C2CEC">
              <w:rPr>
                <w:color w:val="000000"/>
                <w:sz w:val="20"/>
                <w:szCs w:val="20"/>
              </w:rPr>
              <w:t> </w:t>
            </w:r>
          </w:p>
        </w:tc>
        <w:tc>
          <w:tcPr>
            <w:tcW w:w="1276" w:type="dxa"/>
            <w:tcBorders>
              <w:top w:val="nil"/>
              <w:left w:val="nil"/>
              <w:bottom w:val="nil"/>
              <w:right w:val="single" w:sz="4" w:space="0" w:color="BFBFBF"/>
            </w:tcBorders>
            <w:shd w:val="clear" w:color="auto" w:fill="auto"/>
            <w:noWrap/>
            <w:tcMar>
              <w:top w:w="15" w:type="dxa"/>
              <w:left w:w="15" w:type="dxa"/>
              <w:bottom w:w="0" w:type="dxa"/>
              <w:right w:w="15" w:type="dxa"/>
            </w:tcMar>
            <w:vAlign w:val="bottom"/>
            <w:hideMark/>
          </w:tcPr>
          <w:p w14:paraId="64ABE202" w14:textId="77777777" w:rsidR="009A03BD" w:rsidRPr="005C2CEC" w:rsidRDefault="009A03BD" w:rsidP="009A03BD">
            <w:pPr>
              <w:spacing w:after="0"/>
              <w:rPr>
                <w:color w:val="000000"/>
                <w:sz w:val="20"/>
                <w:szCs w:val="20"/>
              </w:rPr>
            </w:pPr>
            <w:r w:rsidRPr="005C2CEC">
              <w:rPr>
                <w:color w:val="000000"/>
                <w:sz w:val="20"/>
                <w:szCs w:val="20"/>
              </w:rPr>
              <w:t> </w:t>
            </w:r>
          </w:p>
        </w:tc>
        <w:tc>
          <w:tcPr>
            <w:tcW w:w="469" w:type="dxa"/>
            <w:tcBorders>
              <w:top w:val="nil"/>
              <w:left w:val="nil"/>
              <w:bottom w:val="nil"/>
              <w:right w:val="single" w:sz="18" w:space="0" w:color="002060"/>
            </w:tcBorders>
            <w:shd w:val="clear" w:color="auto" w:fill="auto"/>
            <w:noWrap/>
            <w:tcMar>
              <w:top w:w="15" w:type="dxa"/>
              <w:left w:w="15" w:type="dxa"/>
              <w:bottom w:w="0" w:type="dxa"/>
              <w:right w:w="15" w:type="dxa"/>
            </w:tcMar>
            <w:vAlign w:val="bottom"/>
            <w:hideMark/>
          </w:tcPr>
          <w:p w14:paraId="310A6056" w14:textId="77777777" w:rsidR="009A03BD" w:rsidRPr="005C2CEC" w:rsidRDefault="009A03BD" w:rsidP="009A03BD">
            <w:pPr>
              <w:spacing w:after="0"/>
              <w:rPr>
                <w:color w:val="000000"/>
                <w:sz w:val="20"/>
                <w:szCs w:val="20"/>
              </w:rPr>
            </w:pPr>
            <w:r w:rsidRPr="005C2CEC">
              <w:rPr>
                <w:color w:val="000000"/>
                <w:sz w:val="20"/>
                <w:szCs w:val="20"/>
              </w:rPr>
              <w:t> </w:t>
            </w:r>
          </w:p>
        </w:tc>
      </w:tr>
      <w:tr w:rsidR="009A03BD" w:rsidRPr="005C2CEC" w14:paraId="46DF6FA1" w14:textId="77777777" w:rsidTr="00577F95">
        <w:trPr>
          <w:trHeight w:val="223"/>
        </w:trPr>
        <w:tc>
          <w:tcPr>
            <w:tcW w:w="1395" w:type="dxa"/>
            <w:vMerge/>
            <w:tcBorders>
              <w:top w:val="nil"/>
              <w:left w:val="single" w:sz="18" w:space="0" w:color="002060"/>
              <w:bottom w:val="single" w:sz="8" w:space="0" w:color="000000"/>
              <w:right w:val="single" w:sz="4" w:space="0" w:color="BFBFBF"/>
            </w:tcBorders>
            <w:vAlign w:val="center"/>
            <w:hideMark/>
          </w:tcPr>
          <w:p w14:paraId="0E5AAD5E" w14:textId="77777777" w:rsidR="009A03BD" w:rsidRPr="005C2CEC" w:rsidRDefault="009A03BD" w:rsidP="009A03BD">
            <w:pPr>
              <w:spacing w:after="0"/>
              <w:jc w:val="left"/>
              <w:rPr>
                <w:color w:val="000000"/>
              </w:rPr>
            </w:pPr>
          </w:p>
        </w:tc>
        <w:tc>
          <w:tcPr>
            <w:tcW w:w="2410"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47B99C7B" w14:textId="77777777" w:rsidR="009A03BD" w:rsidRPr="005C2CEC" w:rsidRDefault="009A03BD" w:rsidP="009A03BD">
            <w:pPr>
              <w:spacing w:after="0"/>
              <w:jc w:val="left"/>
              <w:rPr>
                <w:color w:val="000000"/>
                <w:sz w:val="20"/>
                <w:szCs w:val="20"/>
              </w:rPr>
            </w:pPr>
            <w:r w:rsidRPr="005C2CEC">
              <w:rPr>
                <w:color w:val="000000"/>
                <w:sz w:val="20"/>
                <w:szCs w:val="20"/>
              </w:rPr>
              <w:t>Redistribučné efekty investície</w:t>
            </w:r>
          </w:p>
        </w:tc>
        <w:tc>
          <w:tcPr>
            <w:tcW w:w="3827"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36B4F067" w14:textId="77777777" w:rsidR="009A03BD" w:rsidRPr="005C2CEC" w:rsidRDefault="009A03BD" w:rsidP="009A03BD">
            <w:pPr>
              <w:spacing w:after="0"/>
              <w:rPr>
                <w:i/>
                <w:iCs/>
                <w:color w:val="000000"/>
                <w:sz w:val="16"/>
                <w:szCs w:val="16"/>
              </w:rPr>
            </w:pPr>
            <w:r w:rsidRPr="005C2CEC">
              <w:rPr>
                <w:i/>
                <w:iCs/>
                <w:color w:val="000000"/>
                <w:sz w:val="16"/>
                <w:szCs w:val="16"/>
              </w:rPr>
              <w:t>Investícia má vplyv na redistribúciu príjmov medzi socioekonomickým skupinami krajiny</w:t>
            </w:r>
          </w:p>
        </w:tc>
        <w:tc>
          <w:tcPr>
            <w:tcW w:w="992" w:type="dxa"/>
            <w:tcBorders>
              <w:top w:val="single" w:sz="4" w:space="0" w:color="BFBFBF"/>
              <w:left w:val="nil"/>
              <w:bottom w:val="single" w:sz="4" w:space="0" w:color="BFBFBF"/>
              <w:right w:val="single" w:sz="4" w:space="0" w:color="BFBFBF"/>
            </w:tcBorders>
            <w:shd w:val="clear" w:color="auto" w:fill="auto"/>
            <w:noWrap/>
            <w:tcMar>
              <w:top w:w="15" w:type="dxa"/>
              <w:left w:w="15" w:type="dxa"/>
              <w:bottom w:w="0" w:type="dxa"/>
              <w:right w:w="15" w:type="dxa"/>
            </w:tcMar>
            <w:vAlign w:val="center"/>
            <w:hideMark/>
          </w:tcPr>
          <w:p w14:paraId="56777177" w14:textId="6A4C48DF" w:rsidR="009A03BD" w:rsidRPr="005C2CEC" w:rsidRDefault="009A03BD" w:rsidP="009A03BD">
            <w:pPr>
              <w:spacing w:after="0"/>
              <w:jc w:val="center"/>
              <w:rPr>
                <w:sz w:val="20"/>
                <w:szCs w:val="20"/>
              </w:rPr>
            </w:pPr>
            <w:r w:rsidRPr="005C2CEC">
              <w:rPr>
                <w:sz w:val="20"/>
                <w:szCs w:val="20"/>
              </w:rPr>
              <w:t>ÁNO / NIE</w:t>
            </w:r>
          </w:p>
        </w:tc>
        <w:tc>
          <w:tcPr>
            <w:tcW w:w="1418" w:type="dxa"/>
            <w:tcBorders>
              <w:top w:val="nil"/>
              <w:left w:val="nil"/>
              <w:bottom w:val="nil"/>
              <w:right w:val="single" w:sz="4" w:space="0" w:color="BFBFBF"/>
            </w:tcBorders>
            <w:shd w:val="clear" w:color="auto" w:fill="auto"/>
            <w:noWrap/>
            <w:tcMar>
              <w:top w:w="15" w:type="dxa"/>
              <w:left w:w="15" w:type="dxa"/>
              <w:bottom w:w="0" w:type="dxa"/>
              <w:right w:w="15" w:type="dxa"/>
            </w:tcMar>
            <w:vAlign w:val="bottom"/>
            <w:hideMark/>
          </w:tcPr>
          <w:p w14:paraId="3F48B819" w14:textId="77777777" w:rsidR="009A03BD" w:rsidRPr="005C2CEC" w:rsidRDefault="009A03BD" w:rsidP="009A03BD">
            <w:pPr>
              <w:spacing w:after="0"/>
              <w:jc w:val="left"/>
              <w:rPr>
                <w:color w:val="000000"/>
                <w:sz w:val="20"/>
                <w:szCs w:val="20"/>
              </w:rPr>
            </w:pPr>
            <w:r w:rsidRPr="005C2CEC">
              <w:rPr>
                <w:color w:val="000000"/>
                <w:sz w:val="20"/>
                <w:szCs w:val="20"/>
              </w:rPr>
              <w:t> </w:t>
            </w:r>
          </w:p>
        </w:tc>
        <w:tc>
          <w:tcPr>
            <w:tcW w:w="1559" w:type="dxa"/>
            <w:tcBorders>
              <w:top w:val="nil"/>
              <w:left w:val="nil"/>
              <w:bottom w:val="nil"/>
              <w:right w:val="single" w:sz="4" w:space="0" w:color="BFBFBF"/>
            </w:tcBorders>
            <w:shd w:val="clear" w:color="auto" w:fill="auto"/>
            <w:noWrap/>
            <w:tcMar>
              <w:top w:w="15" w:type="dxa"/>
              <w:left w:w="15" w:type="dxa"/>
              <w:bottom w:w="0" w:type="dxa"/>
              <w:right w:w="15" w:type="dxa"/>
            </w:tcMar>
            <w:vAlign w:val="bottom"/>
            <w:hideMark/>
          </w:tcPr>
          <w:p w14:paraId="63CB7710" w14:textId="77777777" w:rsidR="009A03BD" w:rsidRPr="005C2CEC" w:rsidRDefault="009A03BD" w:rsidP="009A03BD">
            <w:pPr>
              <w:spacing w:after="0"/>
              <w:rPr>
                <w:color w:val="000000"/>
                <w:sz w:val="20"/>
                <w:szCs w:val="20"/>
              </w:rPr>
            </w:pPr>
            <w:r w:rsidRPr="005C2CEC">
              <w:rPr>
                <w:color w:val="000000"/>
                <w:sz w:val="20"/>
                <w:szCs w:val="20"/>
              </w:rPr>
              <w:t> </w:t>
            </w:r>
          </w:p>
        </w:tc>
        <w:tc>
          <w:tcPr>
            <w:tcW w:w="1134" w:type="dxa"/>
            <w:tcBorders>
              <w:top w:val="nil"/>
              <w:left w:val="nil"/>
              <w:bottom w:val="nil"/>
              <w:right w:val="single" w:sz="4" w:space="0" w:color="BFBFBF"/>
            </w:tcBorders>
            <w:shd w:val="clear" w:color="auto" w:fill="auto"/>
            <w:noWrap/>
            <w:tcMar>
              <w:top w:w="15" w:type="dxa"/>
              <w:left w:w="15" w:type="dxa"/>
              <w:bottom w:w="0" w:type="dxa"/>
              <w:right w:w="15" w:type="dxa"/>
            </w:tcMar>
            <w:vAlign w:val="bottom"/>
            <w:hideMark/>
          </w:tcPr>
          <w:p w14:paraId="0FA394CE" w14:textId="77777777" w:rsidR="009A03BD" w:rsidRPr="005C2CEC" w:rsidRDefault="009A03BD" w:rsidP="009A03BD">
            <w:pPr>
              <w:spacing w:after="0"/>
              <w:rPr>
                <w:color w:val="000000"/>
                <w:sz w:val="20"/>
                <w:szCs w:val="20"/>
              </w:rPr>
            </w:pPr>
            <w:r w:rsidRPr="005C2CEC">
              <w:rPr>
                <w:color w:val="000000"/>
                <w:sz w:val="20"/>
                <w:szCs w:val="20"/>
              </w:rPr>
              <w:t> </w:t>
            </w:r>
          </w:p>
        </w:tc>
        <w:tc>
          <w:tcPr>
            <w:tcW w:w="1276" w:type="dxa"/>
            <w:tcBorders>
              <w:top w:val="nil"/>
              <w:left w:val="nil"/>
              <w:bottom w:val="nil"/>
              <w:right w:val="single" w:sz="4" w:space="0" w:color="BFBFBF"/>
            </w:tcBorders>
            <w:shd w:val="clear" w:color="auto" w:fill="auto"/>
            <w:noWrap/>
            <w:tcMar>
              <w:top w:w="15" w:type="dxa"/>
              <w:left w:w="15" w:type="dxa"/>
              <w:bottom w:w="0" w:type="dxa"/>
              <w:right w:w="15" w:type="dxa"/>
            </w:tcMar>
            <w:vAlign w:val="bottom"/>
            <w:hideMark/>
          </w:tcPr>
          <w:p w14:paraId="11905D35" w14:textId="77777777" w:rsidR="009A03BD" w:rsidRPr="005C2CEC" w:rsidRDefault="009A03BD" w:rsidP="009A03BD">
            <w:pPr>
              <w:spacing w:after="0"/>
              <w:rPr>
                <w:color w:val="000000"/>
                <w:sz w:val="20"/>
                <w:szCs w:val="20"/>
              </w:rPr>
            </w:pPr>
            <w:r w:rsidRPr="005C2CEC">
              <w:rPr>
                <w:color w:val="000000"/>
                <w:sz w:val="20"/>
                <w:szCs w:val="20"/>
              </w:rPr>
              <w:t> </w:t>
            </w:r>
          </w:p>
        </w:tc>
        <w:tc>
          <w:tcPr>
            <w:tcW w:w="469" w:type="dxa"/>
            <w:tcBorders>
              <w:top w:val="nil"/>
              <w:left w:val="nil"/>
              <w:bottom w:val="nil"/>
              <w:right w:val="single" w:sz="18" w:space="0" w:color="002060"/>
            </w:tcBorders>
            <w:shd w:val="clear" w:color="auto" w:fill="auto"/>
            <w:noWrap/>
            <w:tcMar>
              <w:top w:w="15" w:type="dxa"/>
              <w:left w:w="15" w:type="dxa"/>
              <w:bottom w:w="0" w:type="dxa"/>
              <w:right w:w="15" w:type="dxa"/>
            </w:tcMar>
            <w:vAlign w:val="bottom"/>
            <w:hideMark/>
          </w:tcPr>
          <w:p w14:paraId="6A5480D6" w14:textId="77777777" w:rsidR="009A03BD" w:rsidRPr="005C2CEC" w:rsidRDefault="009A03BD" w:rsidP="009A03BD">
            <w:pPr>
              <w:spacing w:after="0"/>
              <w:rPr>
                <w:color w:val="000000"/>
                <w:sz w:val="20"/>
                <w:szCs w:val="20"/>
              </w:rPr>
            </w:pPr>
            <w:r w:rsidRPr="005C2CEC">
              <w:rPr>
                <w:color w:val="000000"/>
                <w:sz w:val="20"/>
                <w:szCs w:val="20"/>
              </w:rPr>
              <w:t> </w:t>
            </w:r>
          </w:p>
        </w:tc>
      </w:tr>
      <w:tr w:rsidR="009A03BD" w:rsidRPr="005C2CEC" w14:paraId="29B1A048" w14:textId="77777777" w:rsidTr="00577F95">
        <w:trPr>
          <w:trHeight w:val="348"/>
        </w:trPr>
        <w:tc>
          <w:tcPr>
            <w:tcW w:w="1395" w:type="dxa"/>
            <w:vMerge/>
            <w:tcBorders>
              <w:top w:val="nil"/>
              <w:left w:val="single" w:sz="18" w:space="0" w:color="002060"/>
              <w:bottom w:val="single" w:sz="18" w:space="0" w:color="002060"/>
              <w:right w:val="single" w:sz="4" w:space="0" w:color="BFBFBF"/>
            </w:tcBorders>
            <w:vAlign w:val="center"/>
            <w:hideMark/>
          </w:tcPr>
          <w:p w14:paraId="04CA3DD2" w14:textId="77777777" w:rsidR="009A03BD" w:rsidRPr="005C2CEC" w:rsidRDefault="009A03BD" w:rsidP="009A03BD">
            <w:pPr>
              <w:spacing w:after="0"/>
              <w:jc w:val="left"/>
              <w:rPr>
                <w:color w:val="000000"/>
              </w:rPr>
            </w:pPr>
          </w:p>
        </w:tc>
        <w:tc>
          <w:tcPr>
            <w:tcW w:w="2410" w:type="dxa"/>
            <w:tcBorders>
              <w:top w:val="nil"/>
              <w:left w:val="nil"/>
              <w:bottom w:val="single" w:sz="18" w:space="0" w:color="002060"/>
              <w:right w:val="single" w:sz="4" w:space="0" w:color="BFBFBF"/>
            </w:tcBorders>
            <w:shd w:val="clear" w:color="000000" w:fill="F2F2F2"/>
            <w:tcMar>
              <w:top w:w="15" w:type="dxa"/>
              <w:left w:w="15" w:type="dxa"/>
              <w:bottom w:w="0" w:type="dxa"/>
              <w:right w:w="15" w:type="dxa"/>
            </w:tcMar>
            <w:vAlign w:val="center"/>
            <w:hideMark/>
          </w:tcPr>
          <w:p w14:paraId="5DB25BF5" w14:textId="77777777" w:rsidR="009A03BD" w:rsidRPr="005C2CEC" w:rsidRDefault="009A03BD" w:rsidP="009A03BD">
            <w:pPr>
              <w:spacing w:after="0"/>
              <w:jc w:val="left"/>
              <w:rPr>
                <w:color w:val="000000"/>
                <w:sz w:val="20"/>
                <w:szCs w:val="20"/>
              </w:rPr>
            </w:pPr>
            <w:r w:rsidRPr="005C2CEC">
              <w:rPr>
                <w:color w:val="000000"/>
                <w:sz w:val="20"/>
                <w:szCs w:val="20"/>
              </w:rPr>
              <w:t>Vplyv na zníženie miery chudoby</w:t>
            </w:r>
          </w:p>
        </w:tc>
        <w:tc>
          <w:tcPr>
            <w:tcW w:w="3827" w:type="dxa"/>
            <w:tcBorders>
              <w:top w:val="nil"/>
              <w:left w:val="nil"/>
              <w:bottom w:val="single" w:sz="18" w:space="0" w:color="002060"/>
              <w:right w:val="single" w:sz="4" w:space="0" w:color="BFBFBF"/>
            </w:tcBorders>
            <w:shd w:val="clear" w:color="000000" w:fill="F2F2F2"/>
            <w:tcMar>
              <w:top w:w="15" w:type="dxa"/>
              <w:left w:w="15" w:type="dxa"/>
              <w:bottom w:w="0" w:type="dxa"/>
              <w:right w:w="15" w:type="dxa"/>
            </w:tcMar>
            <w:vAlign w:val="center"/>
            <w:hideMark/>
          </w:tcPr>
          <w:p w14:paraId="1E7EA876" w14:textId="77777777" w:rsidR="009A03BD" w:rsidRPr="005C2CEC" w:rsidRDefault="009A03BD" w:rsidP="009A03BD">
            <w:pPr>
              <w:spacing w:after="0"/>
              <w:rPr>
                <w:i/>
                <w:iCs/>
                <w:color w:val="000000"/>
                <w:sz w:val="16"/>
                <w:szCs w:val="16"/>
              </w:rPr>
            </w:pPr>
            <w:r w:rsidRPr="005C2CEC">
              <w:rPr>
                <w:i/>
                <w:iCs/>
                <w:color w:val="000000"/>
                <w:sz w:val="16"/>
                <w:szCs w:val="16"/>
              </w:rPr>
              <w:t>Investícia má vplyv na zníženie miery chudoby v krajine</w:t>
            </w:r>
          </w:p>
        </w:tc>
        <w:tc>
          <w:tcPr>
            <w:tcW w:w="992" w:type="dxa"/>
            <w:tcBorders>
              <w:top w:val="nil"/>
              <w:left w:val="single" w:sz="4" w:space="0" w:color="BFBFBF"/>
              <w:bottom w:val="single" w:sz="18" w:space="0" w:color="002060"/>
              <w:right w:val="single" w:sz="4" w:space="0" w:color="BFBFBF"/>
            </w:tcBorders>
            <w:shd w:val="clear" w:color="auto" w:fill="auto"/>
            <w:noWrap/>
            <w:tcMar>
              <w:top w:w="15" w:type="dxa"/>
              <w:left w:w="15" w:type="dxa"/>
              <w:bottom w:w="0" w:type="dxa"/>
              <w:right w:w="15" w:type="dxa"/>
            </w:tcMar>
            <w:vAlign w:val="center"/>
            <w:hideMark/>
          </w:tcPr>
          <w:p w14:paraId="7C118444" w14:textId="597109BC" w:rsidR="009A03BD" w:rsidRPr="005C2CEC" w:rsidRDefault="009A03BD" w:rsidP="009A03BD">
            <w:pPr>
              <w:spacing w:after="0"/>
              <w:jc w:val="center"/>
              <w:rPr>
                <w:sz w:val="20"/>
                <w:szCs w:val="20"/>
              </w:rPr>
            </w:pPr>
            <w:r w:rsidRPr="005C2CEC">
              <w:rPr>
                <w:sz w:val="20"/>
                <w:szCs w:val="20"/>
              </w:rPr>
              <w:t>ÁNO / NIE</w:t>
            </w:r>
          </w:p>
        </w:tc>
        <w:tc>
          <w:tcPr>
            <w:tcW w:w="1418" w:type="dxa"/>
            <w:tcBorders>
              <w:top w:val="nil"/>
              <w:left w:val="nil"/>
              <w:bottom w:val="single" w:sz="18" w:space="0" w:color="002060"/>
              <w:right w:val="single" w:sz="4" w:space="0" w:color="BFBFBF"/>
            </w:tcBorders>
            <w:shd w:val="clear" w:color="auto" w:fill="auto"/>
            <w:noWrap/>
            <w:tcMar>
              <w:top w:w="15" w:type="dxa"/>
              <w:left w:w="15" w:type="dxa"/>
              <w:bottom w:w="0" w:type="dxa"/>
              <w:right w:w="15" w:type="dxa"/>
            </w:tcMar>
            <w:vAlign w:val="bottom"/>
            <w:hideMark/>
          </w:tcPr>
          <w:p w14:paraId="470C16E5" w14:textId="77777777" w:rsidR="009A03BD" w:rsidRPr="005C2CEC" w:rsidRDefault="009A03BD" w:rsidP="009A03BD">
            <w:pPr>
              <w:spacing w:after="0"/>
              <w:jc w:val="left"/>
              <w:rPr>
                <w:color w:val="000000"/>
                <w:sz w:val="20"/>
                <w:szCs w:val="20"/>
              </w:rPr>
            </w:pPr>
            <w:r w:rsidRPr="005C2CEC">
              <w:rPr>
                <w:color w:val="000000"/>
                <w:sz w:val="20"/>
                <w:szCs w:val="20"/>
              </w:rPr>
              <w:t> </w:t>
            </w:r>
          </w:p>
        </w:tc>
        <w:tc>
          <w:tcPr>
            <w:tcW w:w="1559" w:type="dxa"/>
            <w:tcBorders>
              <w:top w:val="nil"/>
              <w:left w:val="nil"/>
              <w:bottom w:val="single" w:sz="18" w:space="0" w:color="002060"/>
              <w:right w:val="single" w:sz="4" w:space="0" w:color="BFBFBF"/>
            </w:tcBorders>
            <w:shd w:val="clear" w:color="auto" w:fill="auto"/>
            <w:noWrap/>
            <w:tcMar>
              <w:top w:w="15" w:type="dxa"/>
              <w:left w:w="15" w:type="dxa"/>
              <w:bottom w:w="0" w:type="dxa"/>
              <w:right w:w="15" w:type="dxa"/>
            </w:tcMar>
            <w:vAlign w:val="bottom"/>
            <w:hideMark/>
          </w:tcPr>
          <w:p w14:paraId="35D72223" w14:textId="77777777" w:rsidR="009A03BD" w:rsidRPr="005C2CEC" w:rsidRDefault="009A03BD" w:rsidP="009A03BD">
            <w:pPr>
              <w:spacing w:after="0"/>
              <w:rPr>
                <w:color w:val="000000"/>
                <w:sz w:val="20"/>
                <w:szCs w:val="20"/>
              </w:rPr>
            </w:pPr>
            <w:r w:rsidRPr="005C2CEC">
              <w:rPr>
                <w:color w:val="000000"/>
                <w:sz w:val="20"/>
                <w:szCs w:val="20"/>
              </w:rPr>
              <w:t> </w:t>
            </w:r>
          </w:p>
        </w:tc>
        <w:tc>
          <w:tcPr>
            <w:tcW w:w="1134" w:type="dxa"/>
            <w:tcBorders>
              <w:top w:val="nil"/>
              <w:left w:val="nil"/>
              <w:bottom w:val="single" w:sz="18" w:space="0" w:color="002060"/>
              <w:right w:val="single" w:sz="4" w:space="0" w:color="BFBFBF"/>
            </w:tcBorders>
            <w:shd w:val="clear" w:color="auto" w:fill="auto"/>
            <w:noWrap/>
            <w:tcMar>
              <w:top w:w="15" w:type="dxa"/>
              <w:left w:w="15" w:type="dxa"/>
              <w:bottom w:w="0" w:type="dxa"/>
              <w:right w:w="15" w:type="dxa"/>
            </w:tcMar>
            <w:vAlign w:val="bottom"/>
            <w:hideMark/>
          </w:tcPr>
          <w:p w14:paraId="1945757B" w14:textId="77777777" w:rsidR="009A03BD" w:rsidRPr="005C2CEC" w:rsidRDefault="009A03BD" w:rsidP="009A03BD">
            <w:pPr>
              <w:spacing w:after="0"/>
              <w:rPr>
                <w:color w:val="000000"/>
                <w:sz w:val="20"/>
                <w:szCs w:val="20"/>
              </w:rPr>
            </w:pPr>
            <w:r w:rsidRPr="005C2CEC">
              <w:rPr>
                <w:color w:val="000000"/>
                <w:sz w:val="20"/>
                <w:szCs w:val="20"/>
              </w:rPr>
              <w:t> </w:t>
            </w:r>
          </w:p>
        </w:tc>
        <w:tc>
          <w:tcPr>
            <w:tcW w:w="1276" w:type="dxa"/>
            <w:tcBorders>
              <w:top w:val="nil"/>
              <w:left w:val="nil"/>
              <w:bottom w:val="single" w:sz="18" w:space="0" w:color="002060"/>
              <w:right w:val="single" w:sz="4" w:space="0" w:color="BFBFBF"/>
            </w:tcBorders>
            <w:shd w:val="clear" w:color="auto" w:fill="auto"/>
            <w:noWrap/>
            <w:tcMar>
              <w:top w:w="15" w:type="dxa"/>
              <w:left w:w="15" w:type="dxa"/>
              <w:bottom w:w="0" w:type="dxa"/>
              <w:right w:w="15" w:type="dxa"/>
            </w:tcMar>
            <w:vAlign w:val="bottom"/>
            <w:hideMark/>
          </w:tcPr>
          <w:p w14:paraId="18B89E37" w14:textId="77777777" w:rsidR="009A03BD" w:rsidRPr="005C2CEC" w:rsidRDefault="009A03BD" w:rsidP="009A03BD">
            <w:pPr>
              <w:spacing w:after="0"/>
              <w:rPr>
                <w:color w:val="000000"/>
                <w:sz w:val="20"/>
                <w:szCs w:val="20"/>
              </w:rPr>
            </w:pPr>
            <w:r w:rsidRPr="005C2CEC">
              <w:rPr>
                <w:color w:val="000000"/>
                <w:sz w:val="20"/>
                <w:szCs w:val="20"/>
              </w:rPr>
              <w:t> </w:t>
            </w:r>
          </w:p>
        </w:tc>
        <w:tc>
          <w:tcPr>
            <w:tcW w:w="469" w:type="dxa"/>
            <w:tcBorders>
              <w:top w:val="nil"/>
              <w:left w:val="nil"/>
              <w:bottom w:val="single" w:sz="18" w:space="0" w:color="002060"/>
              <w:right w:val="single" w:sz="18" w:space="0" w:color="002060"/>
            </w:tcBorders>
            <w:shd w:val="clear" w:color="auto" w:fill="auto"/>
            <w:noWrap/>
            <w:tcMar>
              <w:top w:w="15" w:type="dxa"/>
              <w:left w:w="15" w:type="dxa"/>
              <w:bottom w:w="0" w:type="dxa"/>
              <w:right w:w="15" w:type="dxa"/>
            </w:tcMar>
            <w:vAlign w:val="bottom"/>
            <w:hideMark/>
          </w:tcPr>
          <w:p w14:paraId="7D9A7619" w14:textId="77777777" w:rsidR="009A03BD" w:rsidRPr="005C2CEC" w:rsidRDefault="009A03BD" w:rsidP="009A03BD">
            <w:pPr>
              <w:spacing w:after="0"/>
              <w:rPr>
                <w:color w:val="000000"/>
                <w:sz w:val="20"/>
                <w:szCs w:val="20"/>
              </w:rPr>
            </w:pPr>
            <w:r w:rsidRPr="005C2CEC">
              <w:rPr>
                <w:color w:val="000000"/>
                <w:sz w:val="20"/>
                <w:szCs w:val="20"/>
              </w:rPr>
              <w:t> </w:t>
            </w:r>
          </w:p>
        </w:tc>
      </w:tr>
      <w:tr w:rsidR="009A03BD" w:rsidRPr="005C2CEC" w14:paraId="53493764" w14:textId="77777777" w:rsidTr="00577F95">
        <w:trPr>
          <w:trHeight w:val="471"/>
        </w:trPr>
        <w:tc>
          <w:tcPr>
            <w:tcW w:w="1395" w:type="dxa"/>
            <w:vMerge w:val="restart"/>
            <w:tcBorders>
              <w:top w:val="single" w:sz="18" w:space="0" w:color="002060"/>
              <w:left w:val="single" w:sz="18" w:space="0" w:color="002060"/>
              <w:bottom w:val="single" w:sz="8" w:space="0" w:color="000000"/>
              <w:right w:val="single" w:sz="4" w:space="0" w:color="BFBFBF"/>
            </w:tcBorders>
            <w:shd w:val="clear" w:color="000000" w:fill="FFE699"/>
            <w:noWrap/>
            <w:tcMar>
              <w:top w:w="15" w:type="dxa"/>
              <w:left w:w="15" w:type="dxa"/>
              <w:bottom w:w="0" w:type="dxa"/>
              <w:right w:w="15" w:type="dxa"/>
            </w:tcMar>
            <w:vAlign w:val="center"/>
            <w:hideMark/>
          </w:tcPr>
          <w:p w14:paraId="1E5EC618" w14:textId="77777777" w:rsidR="009A03BD" w:rsidRPr="005C2CEC" w:rsidRDefault="009A03BD" w:rsidP="009A03BD">
            <w:pPr>
              <w:spacing w:after="0"/>
              <w:jc w:val="left"/>
              <w:rPr>
                <w:color w:val="000000"/>
              </w:rPr>
            </w:pPr>
            <w:r w:rsidRPr="005C2CEC">
              <w:rPr>
                <w:color w:val="000000"/>
              </w:rPr>
              <w:t>Občianske</w:t>
            </w:r>
          </w:p>
        </w:tc>
        <w:tc>
          <w:tcPr>
            <w:tcW w:w="2410" w:type="dxa"/>
            <w:tcBorders>
              <w:top w:val="single" w:sz="18" w:space="0" w:color="002060"/>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34E25BB0" w14:textId="77777777" w:rsidR="009A03BD" w:rsidRPr="005C2CEC" w:rsidRDefault="009A03BD" w:rsidP="009A03BD">
            <w:pPr>
              <w:spacing w:after="0"/>
              <w:jc w:val="left"/>
              <w:rPr>
                <w:color w:val="000000"/>
                <w:sz w:val="20"/>
                <w:szCs w:val="20"/>
              </w:rPr>
            </w:pPr>
            <w:r w:rsidRPr="005C2CEC">
              <w:rPr>
                <w:color w:val="000000"/>
                <w:sz w:val="20"/>
                <w:szCs w:val="20"/>
              </w:rPr>
              <w:t>Dostupnosť regionálnych centier</w:t>
            </w:r>
          </w:p>
        </w:tc>
        <w:tc>
          <w:tcPr>
            <w:tcW w:w="3827" w:type="dxa"/>
            <w:tcBorders>
              <w:top w:val="single" w:sz="18" w:space="0" w:color="002060"/>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6AE44806" w14:textId="77777777" w:rsidR="009A03BD" w:rsidRPr="005C2CEC" w:rsidRDefault="009A03BD" w:rsidP="009A03BD">
            <w:pPr>
              <w:spacing w:after="0"/>
              <w:rPr>
                <w:i/>
                <w:iCs/>
                <w:color w:val="000000"/>
                <w:sz w:val="16"/>
                <w:szCs w:val="16"/>
              </w:rPr>
            </w:pPr>
            <w:r w:rsidRPr="005C2CEC">
              <w:rPr>
                <w:i/>
                <w:iCs/>
                <w:color w:val="000000"/>
                <w:sz w:val="16"/>
                <w:szCs w:val="16"/>
              </w:rPr>
              <w:t>Investícia uľahčuje dochádzanie do práce a zvyšuje dostupnosť regionálnych centier.</w:t>
            </w:r>
          </w:p>
        </w:tc>
        <w:tc>
          <w:tcPr>
            <w:tcW w:w="992" w:type="dxa"/>
            <w:tcBorders>
              <w:top w:val="single" w:sz="18" w:space="0" w:color="002060"/>
              <w:left w:val="nil"/>
              <w:bottom w:val="single" w:sz="4" w:space="0" w:color="BFBFBF"/>
              <w:right w:val="single" w:sz="4" w:space="0" w:color="BFBFBF"/>
            </w:tcBorders>
            <w:shd w:val="clear" w:color="auto" w:fill="auto"/>
            <w:noWrap/>
            <w:tcMar>
              <w:top w:w="15" w:type="dxa"/>
              <w:left w:w="15" w:type="dxa"/>
              <w:bottom w:w="0" w:type="dxa"/>
              <w:right w:w="15" w:type="dxa"/>
            </w:tcMar>
            <w:vAlign w:val="center"/>
            <w:hideMark/>
          </w:tcPr>
          <w:p w14:paraId="52AC0D42" w14:textId="76AC5394" w:rsidR="009A03BD" w:rsidRPr="005C2CEC" w:rsidRDefault="009A03BD" w:rsidP="009A03BD">
            <w:pPr>
              <w:spacing w:after="0"/>
              <w:jc w:val="center"/>
              <w:rPr>
                <w:sz w:val="20"/>
                <w:szCs w:val="20"/>
              </w:rPr>
            </w:pPr>
            <w:r w:rsidRPr="005C2CEC">
              <w:rPr>
                <w:sz w:val="20"/>
                <w:szCs w:val="20"/>
              </w:rPr>
              <w:t>ÁNO / NIE</w:t>
            </w:r>
          </w:p>
        </w:tc>
        <w:tc>
          <w:tcPr>
            <w:tcW w:w="1418" w:type="dxa"/>
            <w:tcBorders>
              <w:top w:val="single" w:sz="18" w:space="0" w:color="002060"/>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2D857937" w14:textId="77777777" w:rsidR="009A03BD" w:rsidRPr="005C2CEC" w:rsidRDefault="009A03BD" w:rsidP="009A03BD">
            <w:pPr>
              <w:spacing w:after="0"/>
              <w:jc w:val="left"/>
              <w:rPr>
                <w:color w:val="000000"/>
                <w:sz w:val="20"/>
                <w:szCs w:val="20"/>
              </w:rPr>
            </w:pPr>
            <w:r w:rsidRPr="005C2CEC">
              <w:rPr>
                <w:color w:val="000000"/>
                <w:sz w:val="20"/>
                <w:szCs w:val="20"/>
              </w:rPr>
              <w:t> </w:t>
            </w:r>
          </w:p>
        </w:tc>
        <w:tc>
          <w:tcPr>
            <w:tcW w:w="1559" w:type="dxa"/>
            <w:tcBorders>
              <w:top w:val="single" w:sz="18" w:space="0" w:color="002060"/>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7487FD75" w14:textId="77777777" w:rsidR="009A03BD" w:rsidRPr="005C2CEC" w:rsidRDefault="009A03BD" w:rsidP="009A03BD">
            <w:pPr>
              <w:spacing w:after="0"/>
              <w:rPr>
                <w:color w:val="000000"/>
                <w:sz w:val="20"/>
                <w:szCs w:val="20"/>
              </w:rPr>
            </w:pPr>
            <w:r w:rsidRPr="005C2CEC">
              <w:rPr>
                <w:color w:val="000000"/>
                <w:sz w:val="20"/>
                <w:szCs w:val="20"/>
              </w:rPr>
              <w:t> </w:t>
            </w:r>
          </w:p>
        </w:tc>
        <w:tc>
          <w:tcPr>
            <w:tcW w:w="1134" w:type="dxa"/>
            <w:tcBorders>
              <w:top w:val="single" w:sz="18" w:space="0" w:color="002060"/>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2013607A" w14:textId="77777777" w:rsidR="009A03BD" w:rsidRPr="005C2CEC" w:rsidRDefault="009A03BD" w:rsidP="009A03BD">
            <w:pPr>
              <w:spacing w:after="0"/>
              <w:rPr>
                <w:color w:val="000000"/>
                <w:sz w:val="20"/>
                <w:szCs w:val="20"/>
              </w:rPr>
            </w:pPr>
            <w:r w:rsidRPr="005C2CEC">
              <w:rPr>
                <w:color w:val="000000"/>
                <w:sz w:val="20"/>
                <w:szCs w:val="20"/>
              </w:rPr>
              <w:t> </w:t>
            </w:r>
          </w:p>
        </w:tc>
        <w:tc>
          <w:tcPr>
            <w:tcW w:w="1276" w:type="dxa"/>
            <w:tcBorders>
              <w:top w:val="single" w:sz="18" w:space="0" w:color="002060"/>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2268DC3F" w14:textId="77777777" w:rsidR="009A03BD" w:rsidRPr="005C2CEC" w:rsidRDefault="009A03BD" w:rsidP="009A03BD">
            <w:pPr>
              <w:spacing w:after="0"/>
              <w:rPr>
                <w:color w:val="000000"/>
                <w:sz w:val="20"/>
                <w:szCs w:val="20"/>
              </w:rPr>
            </w:pPr>
            <w:r w:rsidRPr="005C2CEC">
              <w:rPr>
                <w:color w:val="000000"/>
                <w:sz w:val="20"/>
                <w:szCs w:val="20"/>
              </w:rPr>
              <w:t> </w:t>
            </w:r>
          </w:p>
        </w:tc>
        <w:tc>
          <w:tcPr>
            <w:tcW w:w="469" w:type="dxa"/>
            <w:tcBorders>
              <w:top w:val="single" w:sz="18" w:space="0" w:color="002060"/>
              <w:left w:val="nil"/>
              <w:bottom w:val="single" w:sz="4" w:space="0" w:color="BFBFBF"/>
              <w:right w:val="single" w:sz="18" w:space="0" w:color="002060"/>
            </w:tcBorders>
            <w:shd w:val="clear" w:color="auto" w:fill="auto"/>
            <w:noWrap/>
            <w:tcMar>
              <w:top w:w="15" w:type="dxa"/>
              <w:left w:w="15" w:type="dxa"/>
              <w:bottom w:w="0" w:type="dxa"/>
              <w:right w:w="15" w:type="dxa"/>
            </w:tcMar>
            <w:vAlign w:val="bottom"/>
            <w:hideMark/>
          </w:tcPr>
          <w:p w14:paraId="2BD63202" w14:textId="77777777" w:rsidR="009A03BD" w:rsidRPr="005C2CEC" w:rsidRDefault="009A03BD" w:rsidP="009A03BD">
            <w:pPr>
              <w:spacing w:after="0"/>
              <w:rPr>
                <w:i/>
                <w:iCs/>
                <w:color w:val="000000"/>
                <w:sz w:val="20"/>
                <w:szCs w:val="20"/>
              </w:rPr>
            </w:pPr>
            <w:r w:rsidRPr="005C2CEC">
              <w:rPr>
                <w:i/>
                <w:iCs/>
                <w:color w:val="000000"/>
                <w:sz w:val="20"/>
                <w:szCs w:val="20"/>
              </w:rPr>
              <w:t> </w:t>
            </w:r>
          </w:p>
        </w:tc>
      </w:tr>
      <w:tr w:rsidR="00AE30E2" w:rsidRPr="005C2CEC" w14:paraId="416BACBE" w14:textId="77777777" w:rsidTr="00577F95">
        <w:trPr>
          <w:trHeight w:val="203"/>
        </w:trPr>
        <w:tc>
          <w:tcPr>
            <w:tcW w:w="1395" w:type="dxa"/>
            <w:vMerge/>
            <w:tcBorders>
              <w:top w:val="nil"/>
              <w:left w:val="single" w:sz="18" w:space="0" w:color="002060"/>
              <w:bottom w:val="single" w:sz="8" w:space="0" w:color="000000"/>
              <w:right w:val="single" w:sz="4" w:space="0" w:color="BFBFBF"/>
            </w:tcBorders>
            <w:vAlign w:val="center"/>
          </w:tcPr>
          <w:p w14:paraId="6B4A1DEC" w14:textId="77777777" w:rsidR="00AE30E2" w:rsidRPr="005C2CEC" w:rsidRDefault="00AE30E2" w:rsidP="009A03BD">
            <w:pPr>
              <w:spacing w:after="0"/>
              <w:jc w:val="left"/>
              <w:rPr>
                <w:color w:val="000000"/>
              </w:rPr>
            </w:pPr>
          </w:p>
        </w:tc>
        <w:tc>
          <w:tcPr>
            <w:tcW w:w="2410"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tcPr>
          <w:p w14:paraId="156AD734" w14:textId="48EE9C76" w:rsidR="00AE30E2" w:rsidRPr="005C2CEC" w:rsidRDefault="00AE30E2" w:rsidP="009A03BD">
            <w:pPr>
              <w:spacing w:after="0"/>
              <w:jc w:val="left"/>
              <w:rPr>
                <w:color w:val="000000"/>
                <w:sz w:val="20"/>
                <w:szCs w:val="20"/>
              </w:rPr>
            </w:pPr>
            <w:r>
              <w:rPr>
                <w:color w:val="000000"/>
                <w:sz w:val="20"/>
                <w:szCs w:val="20"/>
              </w:rPr>
              <w:t>Kultúra</w:t>
            </w:r>
          </w:p>
        </w:tc>
        <w:tc>
          <w:tcPr>
            <w:tcW w:w="3827"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tcPr>
          <w:p w14:paraId="3ECEB218" w14:textId="507049E2" w:rsidR="00AE30E2" w:rsidRPr="005C2CEC" w:rsidRDefault="00AE30E2" w:rsidP="009A03BD">
            <w:pPr>
              <w:spacing w:after="0"/>
              <w:rPr>
                <w:i/>
                <w:iCs/>
                <w:color w:val="000000"/>
                <w:sz w:val="16"/>
                <w:szCs w:val="16"/>
              </w:rPr>
            </w:pPr>
            <w:r w:rsidRPr="00AE30E2">
              <w:rPr>
                <w:i/>
                <w:iCs/>
                <w:color w:val="000000"/>
                <w:sz w:val="16"/>
                <w:szCs w:val="16"/>
              </w:rPr>
              <w:t>Investícia podporuje kultúrnu participáciu alebo zvyšuje dostupnosť kultúrnej infraštruktúry</w:t>
            </w:r>
          </w:p>
        </w:tc>
        <w:tc>
          <w:tcPr>
            <w:tcW w:w="992" w:type="dxa"/>
            <w:tcBorders>
              <w:top w:val="single" w:sz="4" w:space="0" w:color="BFBFBF"/>
              <w:left w:val="nil"/>
              <w:bottom w:val="single" w:sz="4" w:space="0" w:color="BFBFBF"/>
              <w:right w:val="single" w:sz="4" w:space="0" w:color="BFBFBF"/>
            </w:tcBorders>
            <w:shd w:val="clear" w:color="auto" w:fill="auto"/>
            <w:noWrap/>
            <w:tcMar>
              <w:top w:w="15" w:type="dxa"/>
              <w:left w:w="15" w:type="dxa"/>
              <w:bottom w:w="0" w:type="dxa"/>
              <w:right w:w="15" w:type="dxa"/>
            </w:tcMar>
            <w:vAlign w:val="center"/>
          </w:tcPr>
          <w:p w14:paraId="1A931225" w14:textId="275624BE" w:rsidR="00AE30E2" w:rsidRPr="005C2CEC" w:rsidRDefault="00AE30E2" w:rsidP="009A03BD">
            <w:pPr>
              <w:spacing w:after="0"/>
              <w:jc w:val="center"/>
              <w:rPr>
                <w:sz w:val="20"/>
                <w:szCs w:val="20"/>
              </w:rPr>
            </w:pPr>
            <w:r w:rsidRPr="005C2CEC">
              <w:rPr>
                <w:sz w:val="20"/>
                <w:szCs w:val="20"/>
              </w:rPr>
              <w:t>ÁNO / NIE</w:t>
            </w:r>
          </w:p>
        </w:tc>
        <w:tc>
          <w:tcPr>
            <w:tcW w:w="1418"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tcPr>
          <w:p w14:paraId="172BDD9A" w14:textId="77777777" w:rsidR="00AE30E2" w:rsidRPr="005C2CEC" w:rsidRDefault="00AE30E2" w:rsidP="009A03BD">
            <w:pPr>
              <w:spacing w:after="0"/>
              <w:jc w:val="left"/>
              <w:rPr>
                <w:color w:val="000000"/>
                <w:sz w:val="20"/>
                <w:szCs w:val="20"/>
              </w:rPr>
            </w:pPr>
          </w:p>
        </w:tc>
        <w:tc>
          <w:tcPr>
            <w:tcW w:w="1559"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tcPr>
          <w:p w14:paraId="08E10D5A" w14:textId="77777777" w:rsidR="00AE30E2" w:rsidRPr="005C2CEC" w:rsidRDefault="00AE30E2" w:rsidP="009A03BD">
            <w:pPr>
              <w:spacing w:after="0"/>
              <w:rPr>
                <w:color w:val="000000"/>
                <w:sz w:val="20"/>
                <w:szCs w:val="20"/>
              </w:rPr>
            </w:pPr>
          </w:p>
        </w:tc>
        <w:tc>
          <w:tcPr>
            <w:tcW w:w="1134"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tcPr>
          <w:p w14:paraId="3CC9F636" w14:textId="77777777" w:rsidR="00AE30E2" w:rsidRPr="005C2CEC" w:rsidRDefault="00AE30E2" w:rsidP="009A03BD">
            <w:pPr>
              <w:spacing w:after="0"/>
              <w:rPr>
                <w:color w:val="000000"/>
                <w:sz w:val="20"/>
                <w:szCs w:val="20"/>
              </w:rPr>
            </w:pPr>
          </w:p>
        </w:tc>
        <w:tc>
          <w:tcPr>
            <w:tcW w:w="1276"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tcPr>
          <w:p w14:paraId="2AF73828" w14:textId="77777777" w:rsidR="00AE30E2" w:rsidRPr="005C2CEC" w:rsidRDefault="00AE30E2" w:rsidP="009A03BD">
            <w:pPr>
              <w:spacing w:after="0"/>
              <w:rPr>
                <w:color w:val="000000"/>
                <w:sz w:val="20"/>
                <w:szCs w:val="20"/>
              </w:rPr>
            </w:pPr>
          </w:p>
        </w:tc>
        <w:tc>
          <w:tcPr>
            <w:tcW w:w="469" w:type="dxa"/>
            <w:tcBorders>
              <w:top w:val="nil"/>
              <w:left w:val="nil"/>
              <w:bottom w:val="single" w:sz="4" w:space="0" w:color="BFBFBF"/>
              <w:right w:val="single" w:sz="18" w:space="0" w:color="002060"/>
            </w:tcBorders>
            <w:shd w:val="clear" w:color="auto" w:fill="auto"/>
            <w:noWrap/>
            <w:tcMar>
              <w:top w:w="15" w:type="dxa"/>
              <w:left w:w="15" w:type="dxa"/>
              <w:bottom w:w="0" w:type="dxa"/>
              <w:right w:w="15" w:type="dxa"/>
            </w:tcMar>
            <w:vAlign w:val="bottom"/>
          </w:tcPr>
          <w:p w14:paraId="69321565" w14:textId="77777777" w:rsidR="00AE30E2" w:rsidRPr="005C2CEC" w:rsidRDefault="00AE30E2" w:rsidP="009A03BD">
            <w:pPr>
              <w:spacing w:after="0"/>
              <w:rPr>
                <w:i/>
                <w:iCs/>
                <w:color w:val="000000"/>
                <w:sz w:val="20"/>
                <w:szCs w:val="20"/>
              </w:rPr>
            </w:pPr>
          </w:p>
        </w:tc>
      </w:tr>
      <w:tr w:rsidR="009A03BD" w:rsidRPr="005C2CEC" w14:paraId="26E2273F" w14:textId="77777777" w:rsidTr="00577F95">
        <w:trPr>
          <w:trHeight w:val="203"/>
        </w:trPr>
        <w:tc>
          <w:tcPr>
            <w:tcW w:w="1395" w:type="dxa"/>
            <w:vMerge/>
            <w:tcBorders>
              <w:top w:val="nil"/>
              <w:left w:val="single" w:sz="18" w:space="0" w:color="002060"/>
              <w:bottom w:val="single" w:sz="8" w:space="0" w:color="000000"/>
              <w:right w:val="single" w:sz="4" w:space="0" w:color="BFBFBF"/>
            </w:tcBorders>
            <w:vAlign w:val="center"/>
            <w:hideMark/>
          </w:tcPr>
          <w:p w14:paraId="3ADEC7CD" w14:textId="77777777" w:rsidR="009A03BD" w:rsidRPr="005C2CEC" w:rsidRDefault="009A03BD" w:rsidP="009A03BD">
            <w:pPr>
              <w:spacing w:after="0"/>
              <w:jc w:val="left"/>
              <w:rPr>
                <w:color w:val="000000"/>
              </w:rPr>
            </w:pPr>
          </w:p>
        </w:tc>
        <w:tc>
          <w:tcPr>
            <w:tcW w:w="2410"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0FA3E076" w14:textId="77777777" w:rsidR="009A03BD" w:rsidRPr="005C2CEC" w:rsidRDefault="009A03BD" w:rsidP="009A03BD">
            <w:pPr>
              <w:spacing w:after="0"/>
              <w:jc w:val="left"/>
              <w:rPr>
                <w:color w:val="000000"/>
                <w:sz w:val="20"/>
                <w:szCs w:val="20"/>
              </w:rPr>
            </w:pPr>
            <w:r w:rsidRPr="005C2CEC">
              <w:rPr>
                <w:color w:val="000000"/>
                <w:sz w:val="20"/>
                <w:szCs w:val="20"/>
              </w:rPr>
              <w:t>Regenerácia sídiel</w:t>
            </w:r>
          </w:p>
        </w:tc>
        <w:tc>
          <w:tcPr>
            <w:tcW w:w="3827"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1CE6D24E" w14:textId="77777777" w:rsidR="009A03BD" w:rsidRPr="005C2CEC" w:rsidRDefault="009A03BD" w:rsidP="009A03BD">
            <w:pPr>
              <w:spacing w:after="0"/>
              <w:rPr>
                <w:i/>
                <w:iCs/>
                <w:color w:val="000000"/>
                <w:sz w:val="16"/>
                <w:szCs w:val="16"/>
              </w:rPr>
            </w:pPr>
            <w:r w:rsidRPr="005C2CEC">
              <w:rPr>
                <w:i/>
                <w:iCs/>
                <w:color w:val="000000"/>
                <w:sz w:val="16"/>
                <w:szCs w:val="16"/>
              </w:rPr>
              <w:t>Investícia regeneruje občianske sídla</w:t>
            </w:r>
          </w:p>
        </w:tc>
        <w:tc>
          <w:tcPr>
            <w:tcW w:w="992" w:type="dxa"/>
            <w:tcBorders>
              <w:top w:val="single" w:sz="4" w:space="0" w:color="BFBFBF"/>
              <w:left w:val="nil"/>
              <w:bottom w:val="single" w:sz="4" w:space="0" w:color="BFBFBF"/>
              <w:right w:val="single" w:sz="4" w:space="0" w:color="BFBFBF"/>
            </w:tcBorders>
            <w:shd w:val="clear" w:color="auto" w:fill="auto"/>
            <w:noWrap/>
            <w:tcMar>
              <w:top w:w="15" w:type="dxa"/>
              <w:left w:w="15" w:type="dxa"/>
              <w:bottom w:w="0" w:type="dxa"/>
              <w:right w:w="15" w:type="dxa"/>
            </w:tcMar>
            <w:vAlign w:val="center"/>
            <w:hideMark/>
          </w:tcPr>
          <w:p w14:paraId="5E1EC018" w14:textId="029D66E2" w:rsidR="009A03BD" w:rsidRPr="005C2CEC" w:rsidRDefault="009A03BD" w:rsidP="009A03BD">
            <w:pPr>
              <w:spacing w:after="0"/>
              <w:jc w:val="center"/>
              <w:rPr>
                <w:sz w:val="20"/>
                <w:szCs w:val="20"/>
              </w:rPr>
            </w:pPr>
            <w:r w:rsidRPr="005C2CEC">
              <w:rPr>
                <w:sz w:val="20"/>
                <w:szCs w:val="20"/>
              </w:rPr>
              <w:t>ÁNO / NIE</w:t>
            </w:r>
          </w:p>
        </w:tc>
        <w:tc>
          <w:tcPr>
            <w:tcW w:w="1418"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5CBC36AD" w14:textId="77777777" w:rsidR="009A03BD" w:rsidRPr="005C2CEC" w:rsidRDefault="009A03BD" w:rsidP="009A03BD">
            <w:pPr>
              <w:spacing w:after="0"/>
              <w:jc w:val="left"/>
              <w:rPr>
                <w:color w:val="000000"/>
                <w:sz w:val="20"/>
                <w:szCs w:val="20"/>
              </w:rPr>
            </w:pPr>
            <w:r w:rsidRPr="005C2CEC">
              <w:rPr>
                <w:color w:val="000000"/>
                <w:sz w:val="20"/>
                <w:szCs w:val="20"/>
              </w:rPr>
              <w:t> </w:t>
            </w:r>
          </w:p>
        </w:tc>
        <w:tc>
          <w:tcPr>
            <w:tcW w:w="1559"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3B8A8282" w14:textId="77777777" w:rsidR="009A03BD" w:rsidRPr="005C2CEC" w:rsidRDefault="009A03BD" w:rsidP="009A03BD">
            <w:pPr>
              <w:spacing w:after="0"/>
              <w:rPr>
                <w:color w:val="000000"/>
                <w:sz w:val="20"/>
                <w:szCs w:val="20"/>
              </w:rPr>
            </w:pPr>
            <w:r w:rsidRPr="005C2CEC">
              <w:rPr>
                <w:color w:val="000000"/>
                <w:sz w:val="20"/>
                <w:szCs w:val="20"/>
              </w:rPr>
              <w:t> </w:t>
            </w:r>
          </w:p>
        </w:tc>
        <w:tc>
          <w:tcPr>
            <w:tcW w:w="1134"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4BBD9223" w14:textId="77777777" w:rsidR="009A03BD" w:rsidRPr="005C2CEC" w:rsidRDefault="009A03BD" w:rsidP="009A03BD">
            <w:pPr>
              <w:spacing w:after="0"/>
              <w:rPr>
                <w:color w:val="000000"/>
                <w:sz w:val="20"/>
                <w:szCs w:val="20"/>
              </w:rPr>
            </w:pPr>
            <w:r w:rsidRPr="005C2CEC">
              <w:rPr>
                <w:color w:val="000000"/>
                <w:sz w:val="20"/>
                <w:szCs w:val="20"/>
              </w:rPr>
              <w:t> </w:t>
            </w:r>
          </w:p>
        </w:tc>
        <w:tc>
          <w:tcPr>
            <w:tcW w:w="1276"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429C2B8C" w14:textId="77777777" w:rsidR="009A03BD" w:rsidRPr="005C2CEC" w:rsidRDefault="009A03BD" w:rsidP="009A03BD">
            <w:pPr>
              <w:spacing w:after="0"/>
              <w:rPr>
                <w:color w:val="000000"/>
                <w:sz w:val="20"/>
                <w:szCs w:val="20"/>
              </w:rPr>
            </w:pPr>
            <w:r w:rsidRPr="005C2CEC">
              <w:rPr>
                <w:color w:val="000000"/>
                <w:sz w:val="20"/>
                <w:szCs w:val="20"/>
              </w:rPr>
              <w:t> </w:t>
            </w:r>
          </w:p>
        </w:tc>
        <w:tc>
          <w:tcPr>
            <w:tcW w:w="469" w:type="dxa"/>
            <w:tcBorders>
              <w:top w:val="nil"/>
              <w:left w:val="nil"/>
              <w:bottom w:val="single" w:sz="4" w:space="0" w:color="BFBFBF"/>
              <w:right w:val="single" w:sz="18" w:space="0" w:color="002060"/>
            </w:tcBorders>
            <w:shd w:val="clear" w:color="auto" w:fill="auto"/>
            <w:noWrap/>
            <w:tcMar>
              <w:top w:w="15" w:type="dxa"/>
              <w:left w:w="15" w:type="dxa"/>
              <w:bottom w:w="0" w:type="dxa"/>
              <w:right w:w="15" w:type="dxa"/>
            </w:tcMar>
            <w:vAlign w:val="bottom"/>
            <w:hideMark/>
          </w:tcPr>
          <w:p w14:paraId="7C3F63BC" w14:textId="77777777" w:rsidR="009A03BD" w:rsidRPr="005C2CEC" w:rsidRDefault="009A03BD" w:rsidP="009A03BD">
            <w:pPr>
              <w:spacing w:after="0"/>
              <w:rPr>
                <w:i/>
                <w:iCs/>
                <w:color w:val="000000"/>
                <w:sz w:val="20"/>
                <w:szCs w:val="20"/>
              </w:rPr>
            </w:pPr>
            <w:r w:rsidRPr="005C2CEC">
              <w:rPr>
                <w:i/>
                <w:iCs/>
                <w:color w:val="000000"/>
                <w:sz w:val="20"/>
                <w:szCs w:val="20"/>
              </w:rPr>
              <w:t> </w:t>
            </w:r>
          </w:p>
        </w:tc>
      </w:tr>
      <w:tr w:rsidR="009A03BD" w:rsidRPr="005C2CEC" w14:paraId="453FF302" w14:textId="77777777" w:rsidTr="00577F95">
        <w:trPr>
          <w:trHeight w:val="619"/>
        </w:trPr>
        <w:tc>
          <w:tcPr>
            <w:tcW w:w="1395" w:type="dxa"/>
            <w:vMerge/>
            <w:tcBorders>
              <w:top w:val="nil"/>
              <w:left w:val="single" w:sz="18" w:space="0" w:color="002060"/>
              <w:bottom w:val="single" w:sz="8" w:space="0" w:color="000000"/>
              <w:right w:val="single" w:sz="4" w:space="0" w:color="BFBFBF"/>
            </w:tcBorders>
            <w:vAlign w:val="center"/>
            <w:hideMark/>
          </w:tcPr>
          <w:p w14:paraId="4D0870C8" w14:textId="77777777" w:rsidR="009A03BD" w:rsidRPr="005C2CEC" w:rsidRDefault="009A03BD" w:rsidP="009A03BD">
            <w:pPr>
              <w:spacing w:after="0"/>
              <w:jc w:val="left"/>
              <w:rPr>
                <w:color w:val="000000"/>
              </w:rPr>
            </w:pPr>
          </w:p>
        </w:tc>
        <w:tc>
          <w:tcPr>
            <w:tcW w:w="2410"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57DB7AC7" w14:textId="77777777" w:rsidR="009A03BD" w:rsidRPr="005C2CEC" w:rsidRDefault="009A03BD" w:rsidP="009A03BD">
            <w:pPr>
              <w:spacing w:after="0"/>
              <w:jc w:val="left"/>
              <w:rPr>
                <w:color w:val="000000"/>
                <w:sz w:val="20"/>
                <w:szCs w:val="20"/>
              </w:rPr>
            </w:pPr>
            <w:r w:rsidRPr="005C2CEC">
              <w:rPr>
                <w:color w:val="000000"/>
                <w:sz w:val="20"/>
                <w:szCs w:val="20"/>
              </w:rPr>
              <w:t>Vplyv na zdravie obyvateľstva</w:t>
            </w:r>
          </w:p>
        </w:tc>
        <w:tc>
          <w:tcPr>
            <w:tcW w:w="3827"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1A020122" w14:textId="77777777" w:rsidR="009A03BD" w:rsidRPr="005C2CEC" w:rsidRDefault="009A03BD" w:rsidP="009A03BD">
            <w:pPr>
              <w:spacing w:after="0"/>
              <w:rPr>
                <w:i/>
                <w:iCs/>
                <w:color w:val="000000"/>
                <w:sz w:val="16"/>
                <w:szCs w:val="16"/>
              </w:rPr>
            </w:pPr>
            <w:r w:rsidRPr="005C2CEC">
              <w:rPr>
                <w:i/>
                <w:iCs/>
                <w:color w:val="000000"/>
                <w:sz w:val="16"/>
                <w:szCs w:val="16"/>
              </w:rPr>
              <w:t>Investícia má vplyv na zdravie obyvateľstva, či už zvýšením aktivity, znížením negatívnych vplyvov, zmenou návykov, atď.</w:t>
            </w:r>
          </w:p>
        </w:tc>
        <w:tc>
          <w:tcPr>
            <w:tcW w:w="992" w:type="dxa"/>
            <w:tcBorders>
              <w:top w:val="single" w:sz="4" w:space="0" w:color="BFBFBF"/>
              <w:left w:val="nil"/>
              <w:bottom w:val="single" w:sz="4" w:space="0" w:color="BFBFBF"/>
              <w:right w:val="single" w:sz="4" w:space="0" w:color="BFBFBF"/>
            </w:tcBorders>
            <w:shd w:val="clear" w:color="auto" w:fill="auto"/>
            <w:noWrap/>
            <w:tcMar>
              <w:top w:w="15" w:type="dxa"/>
              <w:left w:w="15" w:type="dxa"/>
              <w:bottom w:w="0" w:type="dxa"/>
              <w:right w:w="15" w:type="dxa"/>
            </w:tcMar>
            <w:vAlign w:val="center"/>
            <w:hideMark/>
          </w:tcPr>
          <w:p w14:paraId="59F22AD9" w14:textId="3FDE694B" w:rsidR="009A03BD" w:rsidRPr="005C2CEC" w:rsidRDefault="009A03BD" w:rsidP="009A03BD">
            <w:pPr>
              <w:spacing w:after="0"/>
              <w:jc w:val="center"/>
              <w:rPr>
                <w:sz w:val="20"/>
                <w:szCs w:val="20"/>
              </w:rPr>
            </w:pPr>
            <w:r w:rsidRPr="005C2CEC">
              <w:rPr>
                <w:sz w:val="20"/>
                <w:szCs w:val="20"/>
              </w:rPr>
              <w:t>ÁNO / NIE</w:t>
            </w:r>
          </w:p>
        </w:tc>
        <w:tc>
          <w:tcPr>
            <w:tcW w:w="1418"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3A62BB32" w14:textId="77777777" w:rsidR="009A03BD" w:rsidRPr="005C2CEC" w:rsidRDefault="009A03BD" w:rsidP="009A03BD">
            <w:pPr>
              <w:spacing w:after="0"/>
              <w:jc w:val="left"/>
              <w:rPr>
                <w:color w:val="000000"/>
                <w:sz w:val="20"/>
                <w:szCs w:val="20"/>
              </w:rPr>
            </w:pPr>
            <w:r w:rsidRPr="005C2CEC">
              <w:rPr>
                <w:color w:val="000000"/>
                <w:sz w:val="20"/>
                <w:szCs w:val="20"/>
              </w:rPr>
              <w:t> </w:t>
            </w:r>
          </w:p>
        </w:tc>
        <w:tc>
          <w:tcPr>
            <w:tcW w:w="1559"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78B44A5F" w14:textId="77777777" w:rsidR="009A03BD" w:rsidRPr="005C2CEC" w:rsidRDefault="009A03BD" w:rsidP="009A03BD">
            <w:pPr>
              <w:spacing w:after="0"/>
              <w:rPr>
                <w:color w:val="000000"/>
                <w:sz w:val="20"/>
                <w:szCs w:val="20"/>
              </w:rPr>
            </w:pPr>
            <w:r w:rsidRPr="005C2CEC">
              <w:rPr>
                <w:color w:val="000000"/>
                <w:sz w:val="20"/>
                <w:szCs w:val="20"/>
              </w:rPr>
              <w:t> </w:t>
            </w:r>
          </w:p>
        </w:tc>
        <w:tc>
          <w:tcPr>
            <w:tcW w:w="1134"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37961D37" w14:textId="77777777" w:rsidR="009A03BD" w:rsidRPr="005C2CEC" w:rsidRDefault="009A03BD" w:rsidP="009A03BD">
            <w:pPr>
              <w:spacing w:after="0"/>
              <w:rPr>
                <w:color w:val="000000"/>
                <w:sz w:val="20"/>
                <w:szCs w:val="20"/>
              </w:rPr>
            </w:pPr>
            <w:r w:rsidRPr="005C2CEC">
              <w:rPr>
                <w:color w:val="000000"/>
                <w:sz w:val="20"/>
                <w:szCs w:val="20"/>
              </w:rPr>
              <w:t> </w:t>
            </w:r>
          </w:p>
        </w:tc>
        <w:tc>
          <w:tcPr>
            <w:tcW w:w="1276"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14EBA6D1" w14:textId="77777777" w:rsidR="009A03BD" w:rsidRPr="005C2CEC" w:rsidRDefault="009A03BD" w:rsidP="009A03BD">
            <w:pPr>
              <w:spacing w:after="0"/>
              <w:rPr>
                <w:color w:val="000000"/>
                <w:sz w:val="20"/>
                <w:szCs w:val="20"/>
              </w:rPr>
            </w:pPr>
            <w:r w:rsidRPr="005C2CEC">
              <w:rPr>
                <w:color w:val="000000"/>
                <w:sz w:val="20"/>
                <w:szCs w:val="20"/>
              </w:rPr>
              <w:t> </w:t>
            </w:r>
          </w:p>
        </w:tc>
        <w:tc>
          <w:tcPr>
            <w:tcW w:w="469" w:type="dxa"/>
            <w:tcBorders>
              <w:top w:val="nil"/>
              <w:left w:val="nil"/>
              <w:bottom w:val="single" w:sz="4" w:space="0" w:color="BFBFBF"/>
              <w:right w:val="single" w:sz="18" w:space="0" w:color="002060"/>
            </w:tcBorders>
            <w:shd w:val="clear" w:color="auto" w:fill="auto"/>
            <w:noWrap/>
            <w:tcMar>
              <w:top w:w="15" w:type="dxa"/>
              <w:left w:w="15" w:type="dxa"/>
              <w:bottom w:w="0" w:type="dxa"/>
              <w:right w:w="15" w:type="dxa"/>
            </w:tcMar>
            <w:vAlign w:val="bottom"/>
            <w:hideMark/>
          </w:tcPr>
          <w:p w14:paraId="2F6B5F9E" w14:textId="77777777" w:rsidR="009A03BD" w:rsidRPr="005C2CEC" w:rsidRDefault="009A03BD" w:rsidP="009A03BD">
            <w:pPr>
              <w:spacing w:after="0"/>
              <w:rPr>
                <w:i/>
                <w:iCs/>
                <w:color w:val="000000"/>
                <w:sz w:val="20"/>
                <w:szCs w:val="20"/>
              </w:rPr>
            </w:pPr>
            <w:r w:rsidRPr="005C2CEC">
              <w:rPr>
                <w:i/>
                <w:iCs/>
                <w:color w:val="000000"/>
                <w:sz w:val="20"/>
                <w:szCs w:val="20"/>
              </w:rPr>
              <w:t> </w:t>
            </w:r>
          </w:p>
        </w:tc>
      </w:tr>
      <w:tr w:rsidR="009A03BD" w:rsidRPr="005C2CEC" w14:paraId="44A99CF4" w14:textId="77777777" w:rsidTr="00577F95">
        <w:trPr>
          <w:trHeight w:val="387"/>
        </w:trPr>
        <w:tc>
          <w:tcPr>
            <w:tcW w:w="1395" w:type="dxa"/>
            <w:vMerge/>
            <w:tcBorders>
              <w:top w:val="nil"/>
              <w:left w:val="single" w:sz="18" w:space="0" w:color="002060"/>
              <w:bottom w:val="single" w:sz="8" w:space="0" w:color="000000"/>
              <w:right w:val="single" w:sz="4" w:space="0" w:color="BFBFBF"/>
            </w:tcBorders>
            <w:vAlign w:val="center"/>
            <w:hideMark/>
          </w:tcPr>
          <w:p w14:paraId="415A7FEC" w14:textId="77777777" w:rsidR="009A03BD" w:rsidRPr="005C2CEC" w:rsidRDefault="009A03BD" w:rsidP="009A03BD">
            <w:pPr>
              <w:spacing w:after="0"/>
              <w:jc w:val="left"/>
              <w:rPr>
                <w:color w:val="000000"/>
              </w:rPr>
            </w:pPr>
          </w:p>
        </w:tc>
        <w:tc>
          <w:tcPr>
            <w:tcW w:w="2410"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47EA65AA" w14:textId="77777777" w:rsidR="009A03BD" w:rsidRPr="005C2CEC" w:rsidRDefault="009A03BD" w:rsidP="009A03BD">
            <w:pPr>
              <w:spacing w:after="0"/>
              <w:jc w:val="left"/>
              <w:rPr>
                <w:color w:val="000000"/>
                <w:sz w:val="20"/>
                <w:szCs w:val="20"/>
              </w:rPr>
            </w:pPr>
            <w:r w:rsidRPr="005C2CEC">
              <w:rPr>
                <w:color w:val="000000"/>
                <w:sz w:val="20"/>
                <w:szCs w:val="20"/>
              </w:rPr>
              <w:t>Kvalita služieb</w:t>
            </w:r>
          </w:p>
        </w:tc>
        <w:tc>
          <w:tcPr>
            <w:tcW w:w="3827"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064AF7F0" w14:textId="77777777" w:rsidR="009A03BD" w:rsidRPr="005C2CEC" w:rsidRDefault="009A03BD" w:rsidP="009A03BD">
            <w:pPr>
              <w:spacing w:after="0"/>
              <w:rPr>
                <w:i/>
                <w:iCs/>
                <w:color w:val="000000"/>
                <w:sz w:val="16"/>
                <w:szCs w:val="16"/>
              </w:rPr>
            </w:pPr>
            <w:r w:rsidRPr="005C2CEC">
              <w:rPr>
                <w:i/>
                <w:iCs/>
                <w:color w:val="000000"/>
                <w:sz w:val="16"/>
                <w:szCs w:val="16"/>
              </w:rPr>
              <w:t>Investícia má vplyv na kvalitu verejných služieb a spokojnosť obyvateľstva so službami štátu.</w:t>
            </w:r>
          </w:p>
        </w:tc>
        <w:tc>
          <w:tcPr>
            <w:tcW w:w="992" w:type="dxa"/>
            <w:tcBorders>
              <w:top w:val="single" w:sz="4" w:space="0" w:color="BFBFBF"/>
              <w:left w:val="nil"/>
              <w:bottom w:val="single" w:sz="4" w:space="0" w:color="BFBFBF"/>
              <w:right w:val="single" w:sz="4" w:space="0" w:color="BFBFBF"/>
            </w:tcBorders>
            <w:shd w:val="clear" w:color="auto" w:fill="auto"/>
            <w:noWrap/>
            <w:tcMar>
              <w:top w:w="15" w:type="dxa"/>
              <w:left w:w="15" w:type="dxa"/>
              <w:bottom w:w="0" w:type="dxa"/>
              <w:right w:w="15" w:type="dxa"/>
            </w:tcMar>
            <w:vAlign w:val="center"/>
            <w:hideMark/>
          </w:tcPr>
          <w:p w14:paraId="0516691D" w14:textId="37FDD70B" w:rsidR="009A03BD" w:rsidRPr="005C2CEC" w:rsidRDefault="009A03BD" w:rsidP="009A03BD">
            <w:pPr>
              <w:spacing w:after="0"/>
              <w:jc w:val="center"/>
              <w:rPr>
                <w:sz w:val="20"/>
                <w:szCs w:val="20"/>
              </w:rPr>
            </w:pPr>
            <w:r w:rsidRPr="005C2CEC">
              <w:rPr>
                <w:sz w:val="20"/>
                <w:szCs w:val="20"/>
              </w:rPr>
              <w:t>ÁNO / NIE</w:t>
            </w:r>
          </w:p>
        </w:tc>
        <w:tc>
          <w:tcPr>
            <w:tcW w:w="1418"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47CB367B" w14:textId="77777777" w:rsidR="009A03BD" w:rsidRPr="005C2CEC" w:rsidRDefault="009A03BD" w:rsidP="009A03BD">
            <w:pPr>
              <w:spacing w:after="0"/>
              <w:jc w:val="left"/>
              <w:rPr>
                <w:color w:val="000000"/>
                <w:sz w:val="20"/>
                <w:szCs w:val="20"/>
              </w:rPr>
            </w:pPr>
            <w:r w:rsidRPr="005C2CEC">
              <w:rPr>
                <w:color w:val="000000"/>
                <w:sz w:val="20"/>
                <w:szCs w:val="20"/>
              </w:rPr>
              <w:t> </w:t>
            </w:r>
          </w:p>
        </w:tc>
        <w:tc>
          <w:tcPr>
            <w:tcW w:w="1559"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59F5E852" w14:textId="77777777" w:rsidR="009A03BD" w:rsidRPr="005C2CEC" w:rsidRDefault="009A03BD" w:rsidP="009A03BD">
            <w:pPr>
              <w:spacing w:after="0"/>
              <w:rPr>
                <w:color w:val="000000"/>
                <w:sz w:val="20"/>
                <w:szCs w:val="20"/>
              </w:rPr>
            </w:pPr>
            <w:r w:rsidRPr="005C2CEC">
              <w:rPr>
                <w:color w:val="000000"/>
                <w:sz w:val="20"/>
                <w:szCs w:val="20"/>
              </w:rPr>
              <w:t> </w:t>
            </w:r>
          </w:p>
        </w:tc>
        <w:tc>
          <w:tcPr>
            <w:tcW w:w="1134"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49DE713F" w14:textId="77777777" w:rsidR="009A03BD" w:rsidRPr="005C2CEC" w:rsidRDefault="009A03BD" w:rsidP="009A03BD">
            <w:pPr>
              <w:spacing w:after="0"/>
              <w:rPr>
                <w:color w:val="000000"/>
                <w:sz w:val="20"/>
                <w:szCs w:val="20"/>
              </w:rPr>
            </w:pPr>
            <w:r w:rsidRPr="005C2CEC">
              <w:rPr>
                <w:color w:val="000000"/>
                <w:sz w:val="20"/>
                <w:szCs w:val="20"/>
              </w:rPr>
              <w:t> </w:t>
            </w:r>
          </w:p>
        </w:tc>
        <w:tc>
          <w:tcPr>
            <w:tcW w:w="1276"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75AB6775" w14:textId="77777777" w:rsidR="009A03BD" w:rsidRPr="005C2CEC" w:rsidRDefault="009A03BD" w:rsidP="009A03BD">
            <w:pPr>
              <w:spacing w:after="0"/>
              <w:rPr>
                <w:color w:val="000000"/>
                <w:sz w:val="20"/>
                <w:szCs w:val="20"/>
              </w:rPr>
            </w:pPr>
            <w:r w:rsidRPr="005C2CEC">
              <w:rPr>
                <w:color w:val="000000"/>
                <w:sz w:val="20"/>
                <w:szCs w:val="20"/>
              </w:rPr>
              <w:t> </w:t>
            </w:r>
          </w:p>
        </w:tc>
        <w:tc>
          <w:tcPr>
            <w:tcW w:w="469" w:type="dxa"/>
            <w:tcBorders>
              <w:top w:val="nil"/>
              <w:left w:val="nil"/>
              <w:bottom w:val="single" w:sz="4" w:space="0" w:color="BFBFBF"/>
              <w:right w:val="single" w:sz="18" w:space="0" w:color="002060"/>
            </w:tcBorders>
            <w:shd w:val="clear" w:color="auto" w:fill="auto"/>
            <w:noWrap/>
            <w:tcMar>
              <w:top w:w="15" w:type="dxa"/>
              <w:left w:w="15" w:type="dxa"/>
              <w:bottom w:w="0" w:type="dxa"/>
              <w:right w:w="15" w:type="dxa"/>
            </w:tcMar>
            <w:vAlign w:val="bottom"/>
            <w:hideMark/>
          </w:tcPr>
          <w:p w14:paraId="4BACF115" w14:textId="77777777" w:rsidR="009A03BD" w:rsidRPr="005C2CEC" w:rsidRDefault="009A03BD" w:rsidP="009A03BD">
            <w:pPr>
              <w:spacing w:after="0"/>
              <w:rPr>
                <w:i/>
                <w:iCs/>
                <w:color w:val="000000"/>
                <w:sz w:val="20"/>
                <w:szCs w:val="20"/>
              </w:rPr>
            </w:pPr>
            <w:r w:rsidRPr="005C2CEC">
              <w:rPr>
                <w:i/>
                <w:iCs/>
                <w:color w:val="000000"/>
                <w:sz w:val="20"/>
                <w:szCs w:val="20"/>
              </w:rPr>
              <w:t> </w:t>
            </w:r>
          </w:p>
        </w:tc>
      </w:tr>
      <w:tr w:rsidR="009A03BD" w:rsidRPr="005C2CEC" w14:paraId="5956C5C7" w14:textId="77777777" w:rsidTr="00577F95">
        <w:trPr>
          <w:trHeight w:val="365"/>
        </w:trPr>
        <w:tc>
          <w:tcPr>
            <w:tcW w:w="1395" w:type="dxa"/>
            <w:vMerge/>
            <w:tcBorders>
              <w:top w:val="nil"/>
              <w:left w:val="single" w:sz="18" w:space="0" w:color="002060"/>
              <w:bottom w:val="single" w:sz="8" w:space="0" w:color="000000"/>
              <w:right w:val="single" w:sz="4" w:space="0" w:color="BFBFBF"/>
            </w:tcBorders>
            <w:vAlign w:val="center"/>
            <w:hideMark/>
          </w:tcPr>
          <w:p w14:paraId="39F70CD1" w14:textId="77777777" w:rsidR="009A03BD" w:rsidRPr="005C2CEC" w:rsidRDefault="009A03BD" w:rsidP="009A03BD">
            <w:pPr>
              <w:spacing w:after="0"/>
              <w:jc w:val="left"/>
              <w:rPr>
                <w:color w:val="000000"/>
              </w:rPr>
            </w:pPr>
          </w:p>
        </w:tc>
        <w:tc>
          <w:tcPr>
            <w:tcW w:w="2410"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55B36F0A" w14:textId="77777777" w:rsidR="009A03BD" w:rsidRPr="005C2CEC" w:rsidRDefault="009A03BD" w:rsidP="009A03BD">
            <w:pPr>
              <w:spacing w:after="0"/>
              <w:jc w:val="left"/>
              <w:rPr>
                <w:color w:val="000000"/>
                <w:sz w:val="20"/>
                <w:szCs w:val="20"/>
              </w:rPr>
            </w:pPr>
            <w:r w:rsidRPr="005C2CEC">
              <w:rPr>
                <w:color w:val="000000"/>
                <w:sz w:val="20"/>
                <w:szCs w:val="20"/>
              </w:rPr>
              <w:t>Bezpečnosť a nehodovosť</w:t>
            </w:r>
          </w:p>
        </w:tc>
        <w:tc>
          <w:tcPr>
            <w:tcW w:w="3827"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5FB7A68D" w14:textId="77777777" w:rsidR="009A03BD" w:rsidRPr="005C2CEC" w:rsidRDefault="009A03BD" w:rsidP="009A03BD">
            <w:pPr>
              <w:spacing w:after="0"/>
              <w:rPr>
                <w:i/>
                <w:iCs/>
                <w:color w:val="000000"/>
                <w:sz w:val="16"/>
                <w:szCs w:val="16"/>
              </w:rPr>
            </w:pPr>
            <w:r w:rsidRPr="005C2CEC">
              <w:rPr>
                <w:i/>
                <w:iCs/>
                <w:color w:val="000000"/>
                <w:sz w:val="16"/>
                <w:szCs w:val="16"/>
              </w:rPr>
              <w:t>Investícia vplýva na bezpečnosť verejných priestorov, nehodovosť na cestách, stavbách či v iných situáciách.</w:t>
            </w:r>
          </w:p>
        </w:tc>
        <w:tc>
          <w:tcPr>
            <w:tcW w:w="992" w:type="dxa"/>
            <w:tcBorders>
              <w:top w:val="single" w:sz="4" w:space="0" w:color="BFBFBF"/>
              <w:left w:val="nil"/>
              <w:bottom w:val="single" w:sz="4" w:space="0" w:color="BFBFBF"/>
              <w:right w:val="single" w:sz="4" w:space="0" w:color="BFBFBF"/>
            </w:tcBorders>
            <w:shd w:val="clear" w:color="auto" w:fill="auto"/>
            <w:noWrap/>
            <w:tcMar>
              <w:top w:w="15" w:type="dxa"/>
              <w:left w:w="15" w:type="dxa"/>
              <w:bottom w:w="0" w:type="dxa"/>
              <w:right w:w="15" w:type="dxa"/>
            </w:tcMar>
            <w:vAlign w:val="center"/>
            <w:hideMark/>
          </w:tcPr>
          <w:p w14:paraId="237D59D9" w14:textId="5A90B53A" w:rsidR="009A03BD" w:rsidRPr="005C2CEC" w:rsidRDefault="009A03BD" w:rsidP="009A03BD">
            <w:pPr>
              <w:spacing w:after="0"/>
              <w:jc w:val="center"/>
              <w:rPr>
                <w:sz w:val="20"/>
                <w:szCs w:val="20"/>
              </w:rPr>
            </w:pPr>
            <w:r w:rsidRPr="005C2CEC">
              <w:rPr>
                <w:sz w:val="20"/>
                <w:szCs w:val="20"/>
              </w:rPr>
              <w:t>ÁNO / NIE</w:t>
            </w:r>
          </w:p>
        </w:tc>
        <w:tc>
          <w:tcPr>
            <w:tcW w:w="1418"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1AEC9F85" w14:textId="77777777" w:rsidR="009A03BD" w:rsidRPr="005C2CEC" w:rsidRDefault="009A03BD" w:rsidP="009A03BD">
            <w:pPr>
              <w:spacing w:after="0"/>
              <w:jc w:val="left"/>
              <w:rPr>
                <w:color w:val="000000"/>
                <w:sz w:val="20"/>
                <w:szCs w:val="20"/>
              </w:rPr>
            </w:pPr>
            <w:r w:rsidRPr="005C2CEC">
              <w:rPr>
                <w:color w:val="000000"/>
                <w:sz w:val="20"/>
                <w:szCs w:val="20"/>
              </w:rPr>
              <w:t> </w:t>
            </w:r>
          </w:p>
        </w:tc>
        <w:tc>
          <w:tcPr>
            <w:tcW w:w="1559"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02B061F3" w14:textId="77777777" w:rsidR="009A03BD" w:rsidRPr="005C2CEC" w:rsidRDefault="009A03BD" w:rsidP="009A03BD">
            <w:pPr>
              <w:spacing w:after="0"/>
              <w:rPr>
                <w:color w:val="000000"/>
                <w:sz w:val="20"/>
                <w:szCs w:val="20"/>
              </w:rPr>
            </w:pPr>
            <w:r w:rsidRPr="005C2CEC">
              <w:rPr>
                <w:color w:val="000000"/>
                <w:sz w:val="20"/>
                <w:szCs w:val="20"/>
              </w:rPr>
              <w:t> </w:t>
            </w:r>
          </w:p>
        </w:tc>
        <w:tc>
          <w:tcPr>
            <w:tcW w:w="1134"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43AA5655" w14:textId="77777777" w:rsidR="009A03BD" w:rsidRPr="005C2CEC" w:rsidRDefault="009A03BD" w:rsidP="009A03BD">
            <w:pPr>
              <w:spacing w:after="0"/>
              <w:rPr>
                <w:color w:val="000000"/>
                <w:sz w:val="20"/>
                <w:szCs w:val="20"/>
              </w:rPr>
            </w:pPr>
            <w:r w:rsidRPr="005C2CEC">
              <w:rPr>
                <w:color w:val="000000"/>
                <w:sz w:val="20"/>
                <w:szCs w:val="20"/>
              </w:rPr>
              <w:t> </w:t>
            </w:r>
          </w:p>
        </w:tc>
        <w:tc>
          <w:tcPr>
            <w:tcW w:w="1276"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78BED76A" w14:textId="77777777" w:rsidR="009A03BD" w:rsidRPr="005C2CEC" w:rsidRDefault="009A03BD" w:rsidP="009A03BD">
            <w:pPr>
              <w:spacing w:after="0"/>
              <w:rPr>
                <w:color w:val="000000"/>
                <w:sz w:val="20"/>
                <w:szCs w:val="20"/>
              </w:rPr>
            </w:pPr>
            <w:r w:rsidRPr="005C2CEC">
              <w:rPr>
                <w:color w:val="000000"/>
                <w:sz w:val="20"/>
                <w:szCs w:val="20"/>
              </w:rPr>
              <w:t> </w:t>
            </w:r>
          </w:p>
        </w:tc>
        <w:tc>
          <w:tcPr>
            <w:tcW w:w="469" w:type="dxa"/>
            <w:tcBorders>
              <w:top w:val="nil"/>
              <w:left w:val="nil"/>
              <w:bottom w:val="single" w:sz="4" w:space="0" w:color="BFBFBF"/>
              <w:right w:val="single" w:sz="18" w:space="0" w:color="002060"/>
            </w:tcBorders>
            <w:shd w:val="clear" w:color="auto" w:fill="auto"/>
            <w:noWrap/>
            <w:tcMar>
              <w:top w:w="15" w:type="dxa"/>
              <w:left w:w="15" w:type="dxa"/>
              <w:bottom w:w="0" w:type="dxa"/>
              <w:right w:w="15" w:type="dxa"/>
            </w:tcMar>
            <w:vAlign w:val="bottom"/>
            <w:hideMark/>
          </w:tcPr>
          <w:p w14:paraId="4C5AFADD" w14:textId="77777777" w:rsidR="009A03BD" w:rsidRPr="005C2CEC" w:rsidRDefault="009A03BD" w:rsidP="009A03BD">
            <w:pPr>
              <w:spacing w:after="0"/>
              <w:rPr>
                <w:color w:val="000000"/>
                <w:sz w:val="20"/>
                <w:szCs w:val="20"/>
              </w:rPr>
            </w:pPr>
            <w:r w:rsidRPr="005C2CEC">
              <w:rPr>
                <w:color w:val="000000"/>
                <w:sz w:val="20"/>
                <w:szCs w:val="20"/>
              </w:rPr>
              <w:t> </w:t>
            </w:r>
          </w:p>
        </w:tc>
      </w:tr>
      <w:tr w:rsidR="009A03BD" w:rsidRPr="005C2CEC" w14:paraId="7C384290" w14:textId="77777777" w:rsidTr="00577F95">
        <w:trPr>
          <w:trHeight w:val="484"/>
        </w:trPr>
        <w:tc>
          <w:tcPr>
            <w:tcW w:w="1395" w:type="dxa"/>
            <w:vMerge/>
            <w:tcBorders>
              <w:top w:val="nil"/>
              <w:left w:val="single" w:sz="18" w:space="0" w:color="002060"/>
              <w:bottom w:val="single" w:sz="18" w:space="0" w:color="002060"/>
              <w:right w:val="single" w:sz="4" w:space="0" w:color="BFBFBF"/>
            </w:tcBorders>
            <w:vAlign w:val="center"/>
            <w:hideMark/>
          </w:tcPr>
          <w:p w14:paraId="70EE46CC" w14:textId="77777777" w:rsidR="009A03BD" w:rsidRPr="005C2CEC" w:rsidRDefault="009A03BD" w:rsidP="009A03BD">
            <w:pPr>
              <w:spacing w:after="0"/>
              <w:jc w:val="left"/>
              <w:rPr>
                <w:color w:val="000000"/>
              </w:rPr>
            </w:pPr>
          </w:p>
        </w:tc>
        <w:tc>
          <w:tcPr>
            <w:tcW w:w="2410" w:type="dxa"/>
            <w:tcBorders>
              <w:top w:val="nil"/>
              <w:left w:val="nil"/>
              <w:bottom w:val="single" w:sz="18" w:space="0" w:color="002060"/>
              <w:right w:val="single" w:sz="4" w:space="0" w:color="BFBFBF"/>
            </w:tcBorders>
            <w:shd w:val="clear" w:color="000000" w:fill="F2F2F2"/>
            <w:tcMar>
              <w:top w:w="15" w:type="dxa"/>
              <w:left w:w="15" w:type="dxa"/>
              <w:bottom w:w="0" w:type="dxa"/>
              <w:right w:w="15" w:type="dxa"/>
            </w:tcMar>
            <w:vAlign w:val="center"/>
            <w:hideMark/>
          </w:tcPr>
          <w:p w14:paraId="001EE258" w14:textId="77777777" w:rsidR="009A03BD" w:rsidRPr="005C2CEC" w:rsidRDefault="009A03BD" w:rsidP="009A03BD">
            <w:pPr>
              <w:spacing w:after="0"/>
              <w:jc w:val="left"/>
              <w:rPr>
                <w:color w:val="000000"/>
                <w:sz w:val="20"/>
                <w:szCs w:val="20"/>
              </w:rPr>
            </w:pPr>
            <w:r w:rsidRPr="005C2CEC">
              <w:rPr>
                <w:color w:val="000000"/>
                <w:sz w:val="20"/>
                <w:szCs w:val="20"/>
              </w:rPr>
              <w:t>Dostupnosť alternatív</w:t>
            </w:r>
          </w:p>
        </w:tc>
        <w:tc>
          <w:tcPr>
            <w:tcW w:w="3827" w:type="dxa"/>
            <w:tcBorders>
              <w:top w:val="nil"/>
              <w:left w:val="nil"/>
              <w:bottom w:val="single" w:sz="18" w:space="0" w:color="002060"/>
              <w:right w:val="single" w:sz="4" w:space="0" w:color="BFBFBF"/>
            </w:tcBorders>
            <w:shd w:val="clear" w:color="000000" w:fill="F2F2F2"/>
            <w:tcMar>
              <w:top w:w="15" w:type="dxa"/>
              <w:left w:w="15" w:type="dxa"/>
              <w:bottom w:w="0" w:type="dxa"/>
              <w:right w:w="15" w:type="dxa"/>
            </w:tcMar>
            <w:vAlign w:val="center"/>
            <w:hideMark/>
          </w:tcPr>
          <w:p w14:paraId="3BDE028A" w14:textId="77777777" w:rsidR="009A03BD" w:rsidRPr="005C2CEC" w:rsidRDefault="009A03BD" w:rsidP="009A03BD">
            <w:pPr>
              <w:spacing w:after="0"/>
              <w:rPr>
                <w:i/>
                <w:iCs/>
                <w:color w:val="000000"/>
                <w:sz w:val="16"/>
                <w:szCs w:val="16"/>
              </w:rPr>
            </w:pPr>
            <w:r w:rsidRPr="005C2CEC">
              <w:rPr>
                <w:i/>
                <w:iCs/>
                <w:color w:val="000000"/>
                <w:sz w:val="16"/>
                <w:szCs w:val="16"/>
              </w:rPr>
              <w:t>Investícia podporuje konkurenciu a umožňuje občanom vybrať si z viacerých alternatív v riešenej oblasti (napr. výber dopravných módov, poskytovateľov energií, či spôsobu interakcie so štátnou správou)</w:t>
            </w:r>
          </w:p>
        </w:tc>
        <w:tc>
          <w:tcPr>
            <w:tcW w:w="992" w:type="dxa"/>
            <w:tcBorders>
              <w:top w:val="single" w:sz="4" w:space="0" w:color="BFBFBF"/>
              <w:left w:val="nil"/>
              <w:bottom w:val="single" w:sz="18" w:space="0" w:color="002060"/>
              <w:right w:val="single" w:sz="4" w:space="0" w:color="BFBFBF"/>
            </w:tcBorders>
            <w:shd w:val="clear" w:color="auto" w:fill="auto"/>
            <w:noWrap/>
            <w:tcMar>
              <w:top w:w="15" w:type="dxa"/>
              <w:left w:w="15" w:type="dxa"/>
              <w:bottom w:w="0" w:type="dxa"/>
              <w:right w:w="15" w:type="dxa"/>
            </w:tcMar>
            <w:vAlign w:val="center"/>
            <w:hideMark/>
          </w:tcPr>
          <w:p w14:paraId="4F14474B" w14:textId="231F5FE7" w:rsidR="009A03BD" w:rsidRPr="005C2CEC" w:rsidRDefault="009A03BD" w:rsidP="009A03BD">
            <w:pPr>
              <w:spacing w:after="0"/>
              <w:jc w:val="center"/>
              <w:rPr>
                <w:sz w:val="20"/>
                <w:szCs w:val="20"/>
              </w:rPr>
            </w:pPr>
            <w:r w:rsidRPr="005C2CEC">
              <w:rPr>
                <w:sz w:val="20"/>
                <w:szCs w:val="20"/>
              </w:rPr>
              <w:t>ÁNO / NIE</w:t>
            </w:r>
          </w:p>
        </w:tc>
        <w:tc>
          <w:tcPr>
            <w:tcW w:w="1418" w:type="dxa"/>
            <w:tcBorders>
              <w:top w:val="nil"/>
              <w:left w:val="nil"/>
              <w:bottom w:val="single" w:sz="18" w:space="0" w:color="002060"/>
              <w:right w:val="single" w:sz="4" w:space="0" w:color="BFBFBF"/>
            </w:tcBorders>
            <w:shd w:val="clear" w:color="auto" w:fill="auto"/>
            <w:noWrap/>
            <w:tcMar>
              <w:top w:w="15" w:type="dxa"/>
              <w:left w:w="15" w:type="dxa"/>
              <w:bottom w:w="0" w:type="dxa"/>
              <w:right w:w="15" w:type="dxa"/>
            </w:tcMar>
            <w:vAlign w:val="bottom"/>
            <w:hideMark/>
          </w:tcPr>
          <w:p w14:paraId="57FFE455" w14:textId="77777777" w:rsidR="009A03BD" w:rsidRPr="005C2CEC" w:rsidRDefault="009A03BD" w:rsidP="009A03BD">
            <w:pPr>
              <w:spacing w:after="0"/>
              <w:jc w:val="left"/>
              <w:rPr>
                <w:color w:val="000000"/>
                <w:sz w:val="20"/>
                <w:szCs w:val="20"/>
              </w:rPr>
            </w:pPr>
            <w:r w:rsidRPr="005C2CEC">
              <w:rPr>
                <w:color w:val="000000"/>
                <w:sz w:val="20"/>
                <w:szCs w:val="20"/>
              </w:rPr>
              <w:t> </w:t>
            </w:r>
          </w:p>
        </w:tc>
        <w:tc>
          <w:tcPr>
            <w:tcW w:w="1559" w:type="dxa"/>
            <w:tcBorders>
              <w:top w:val="nil"/>
              <w:left w:val="nil"/>
              <w:bottom w:val="single" w:sz="18" w:space="0" w:color="002060"/>
              <w:right w:val="single" w:sz="4" w:space="0" w:color="BFBFBF"/>
            </w:tcBorders>
            <w:shd w:val="clear" w:color="auto" w:fill="auto"/>
            <w:noWrap/>
            <w:tcMar>
              <w:top w:w="15" w:type="dxa"/>
              <w:left w:w="15" w:type="dxa"/>
              <w:bottom w:w="0" w:type="dxa"/>
              <w:right w:w="15" w:type="dxa"/>
            </w:tcMar>
            <w:vAlign w:val="bottom"/>
            <w:hideMark/>
          </w:tcPr>
          <w:p w14:paraId="0EE773CA" w14:textId="77777777" w:rsidR="009A03BD" w:rsidRPr="005C2CEC" w:rsidRDefault="009A03BD" w:rsidP="009A03BD">
            <w:pPr>
              <w:spacing w:after="0"/>
              <w:rPr>
                <w:color w:val="000000"/>
                <w:sz w:val="20"/>
                <w:szCs w:val="20"/>
              </w:rPr>
            </w:pPr>
            <w:r w:rsidRPr="005C2CEC">
              <w:rPr>
                <w:color w:val="000000"/>
                <w:sz w:val="20"/>
                <w:szCs w:val="20"/>
              </w:rPr>
              <w:t> </w:t>
            </w:r>
          </w:p>
        </w:tc>
        <w:tc>
          <w:tcPr>
            <w:tcW w:w="1134" w:type="dxa"/>
            <w:tcBorders>
              <w:top w:val="nil"/>
              <w:left w:val="nil"/>
              <w:bottom w:val="single" w:sz="18" w:space="0" w:color="002060"/>
              <w:right w:val="single" w:sz="4" w:space="0" w:color="BFBFBF"/>
            </w:tcBorders>
            <w:shd w:val="clear" w:color="auto" w:fill="auto"/>
            <w:noWrap/>
            <w:tcMar>
              <w:top w:w="15" w:type="dxa"/>
              <w:left w:w="15" w:type="dxa"/>
              <w:bottom w:w="0" w:type="dxa"/>
              <w:right w:w="15" w:type="dxa"/>
            </w:tcMar>
            <w:vAlign w:val="bottom"/>
            <w:hideMark/>
          </w:tcPr>
          <w:p w14:paraId="6051B6DE" w14:textId="77777777" w:rsidR="009A03BD" w:rsidRPr="005C2CEC" w:rsidRDefault="009A03BD" w:rsidP="009A03BD">
            <w:pPr>
              <w:spacing w:after="0"/>
              <w:rPr>
                <w:color w:val="000000"/>
                <w:sz w:val="20"/>
                <w:szCs w:val="20"/>
              </w:rPr>
            </w:pPr>
            <w:r w:rsidRPr="005C2CEC">
              <w:rPr>
                <w:color w:val="000000"/>
                <w:sz w:val="20"/>
                <w:szCs w:val="20"/>
              </w:rPr>
              <w:t> </w:t>
            </w:r>
          </w:p>
        </w:tc>
        <w:tc>
          <w:tcPr>
            <w:tcW w:w="1276" w:type="dxa"/>
            <w:tcBorders>
              <w:top w:val="nil"/>
              <w:left w:val="nil"/>
              <w:bottom w:val="single" w:sz="18" w:space="0" w:color="002060"/>
              <w:right w:val="single" w:sz="4" w:space="0" w:color="BFBFBF"/>
            </w:tcBorders>
            <w:shd w:val="clear" w:color="auto" w:fill="auto"/>
            <w:noWrap/>
            <w:tcMar>
              <w:top w:w="15" w:type="dxa"/>
              <w:left w:w="15" w:type="dxa"/>
              <w:bottom w:w="0" w:type="dxa"/>
              <w:right w:w="15" w:type="dxa"/>
            </w:tcMar>
            <w:vAlign w:val="bottom"/>
            <w:hideMark/>
          </w:tcPr>
          <w:p w14:paraId="39E13C1D" w14:textId="77777777" w:rsidR="009A03BD" w:rsidRPr="005C2CEC" w:rsidRDefault="009A03BD" w:rsidP="009A03BD">
            <w:pPr>
              <w:spacing w:after="0"/>
              <w:rPr>
                <w:color w:val="000000"/>
                <w:sz w:val="20"/>
                <w:szCs w:val="20"/>
              </w:rPr>
            </w:pPr>
            <w:r w:rsidRPr="005C2CEC">
              <w:rPr>
                <w:color w:val="000000"/>
                <w:sz w:val="20"/>
                <w:szCs w:val="20"/>
              </w:rPr>
              <w:t> </w:t>
            </w:r>
          </w:p>
        </w:tc>
        <w:tc>
          <w:tcPr>
            <w:tcW w:w="469" w:type="dxa"/>
            <w:tcBorders>
              <w:top w:val="nil"/>
              <w:left w:val="nil"/>
              <w:bottom w:val="single" w:sz="18" w:space="0" w:color="002060"/>
              <w:right w:val="single" w:sz="18" w:space="0" w:color="002060"/>
            </w:tcBorders>
            <w:shd w:val="clear" w:color="auto" w:fill="auto"/>
            <w:noWrap/>
            <w:tcMar>
              <w:top w:w="15" w:type="dxa"/>
              <w:left w:w="15" w:type="dxa"/>
              <w:bottom w:w="0" w:type="dxa"/>
              <w:right w:w="15" w:type="dxa"/>
            </w:tcMar>
            <w:vAlign w:val="bottom"/>
            <w:hideMark/>
          </w:tcPr>
          <w:p w14:paraId="10CBF9BB" w14:textId="77777777" w:rsidR="009A03BD" w:rsidRPr="005C2CEC" w:rsidRDefault="009A03BD" w:rsidP="009A03BD">
            <w:pPr>
              <w:spacing w:after="0"/>
              <w:rPr>
                <w:i/>
                <w:iCs/>
                <w:color w:val="000000"/>
                <w:sz w:val="20"/>
                <w:szCs w:val="20"/>
              </w:rPr>
            </w:pPr>
            <w:r w:rsidRPr="005C2CEC">
              <w:rPr>
                <w:i/>
                <w:iCs/>
                <w:color w:val="000000"/>
                <w:sz w:val="20"/>
                <w:szCs w:val="20"/>
              </w:rPr>
              <w:t> </w:t>
            </w:r>
          </w:p>
        </w:tc>
      </w:tr>
      <w:tr w:rsidR="00C648F2" w:rsidRPr="005C2CEC" w14:paraId="72AA3364" w14:textId="77777777" w:rsidTr="00577F95">
        <w:trPr>
          <w:trHeight w:val="484"/>
        </w:trPr>
        <w:tc>
          <w:tcPr>
            <w:tcW w:w="1395" w:type="dxa"/>
            <w:vMerge w:val="restart"/>
            <w:tcBorders>
              <w:top w:val="nil"/>
              <w:left w:val="single" w:sz="18" w:space="0" w:color="002060"/>
              <w:right w:val="single" w:sz="4" w:space="0" w:color="BFBFBF"/>
            </w:tcBorders>
            <w:shd w:val="clear" w:color="auto" w:fill="C9C9C9" w:themeFill="accent3" w:themeFillTint="99"/>
            <w:vAlign w:val="center"/>
          </w:tcPr>
          <w:p w14:paraId="6DFED7CB" w14:textId="21C37DC1" w:rsidR="00C648F2" w:rsidRPr="005C2CEC" w:rsidRDefault="00C648F2" w:rsidP="00C648F2">
            <w:pPr>
              <w:spacing w:after="0"/>
              <w:jc w:val="left"/>
              <w:rPr>
                <w:color w:val="000000"/>
              </w:rPr>
            </w:pPr>
            <w:r w:rsidRPr="005C2CEC">
              <w:rPr>
                <w:color w:val="000000"/>
                <w:sz w:val="20"/>
                <w:szCs w:val="20"/>
                <w:lang w:eastAsia="sk-SK"/>
              </w:rPr>
              <w:t>Bezpečnosť a obrana</w:t>
            </w:r>
          </w:p>
        </w:tc>
        <w:tc>
          <w:tcPr>
            <w:tcW w:w="2410" w:type="dxa"/>
            <w:tcBorders>
              <w:top w:val="single" w:sz="18" w:space="0" w:color="002060"/>
              <w:left w:val="nil"/>
              <w:bottom w:val="single" w:sz="4" w:space="0" w:color="A6A6A6" w:themeColor="background1" w:themeShade="A6"/>
              <w:right w:val="single" w:sz="4" w:space="0" w:color="BFBFBF"/>
            </w:tcBorders>
            <w:shd w:val="clear" w:color="000000" w:fill="F2F2F2"/>
            <w:tcMar>
              <w:top w:w="15" w:type="dxa"/>
              <w:left w:w="15" w:type="dxa"/>
              <w:bottom w:w="0" w:type="dxa"/>
              <w:right w:w="15" w:type="dxa"/>
            </w:tcMar>
            <w:vAlign w:val="center"/>
          </w:tcPr>
          <w:p w14:paraId="64A97869" w14:textId="0BBEDBE0" w:rsidR="00C648F2" w:rsidRPr="005C2CEC" w:rsidRDefault="00C648F2" w:rsidP="00C648F2">
            <w:pPr>
              <w:spacing w:after="0"/>
              <w:jc w:val="left"/>
              <w:rPr>
                <w:color w:val="000000"/>
                <w:sz w:val="20"/>
                <w:szCs w:val="20"/>
              </w:rPr>
            </w:pPr>
            <w:r w:rsidRPr="005C2CEC">
              <w:rPr>
                <w:color w:val="000000"/>
                <w:sz w:val="20"/>
                <w:szCs w:val="20"/>
                <w:lang w:eastAsia="sk-SK"/>
              </w:rPr>
              <w:t>Bojová spôsobilosť</w:t>
            </w:r>
          </w:p>
        </w:tc>
        <w:tc>
          <w:tcPr>
            <w:tcW w:w="3827" w:type="dxa"/>
            <w:tcBorders>
              <w:top w:val="single" w:sz="18" w:space="0" w:color="002060"/>
              <w:left w:val="nil"/>
              <w:bottom w:val="single" w:sz="4" w:space="0" w:color="A6A6A6" w:themeColor="background1" w:themeShade="A6"/>
              <w:right w:val="single" w:sz="4" w:space="0" w:color="BFBFBF"/>
            </w:tcBorders>
            <w:shd w:val="clear" w:color="000000" w:fill="F2F2F2"/>
            <w:tcMar>
              <w:top w:w="15" w:type="dxa"/>
              <w:left w:w="15" w:type="dxa"/>
              <w:bottom w:w="0" w:type="dxa"/>
              <w:right w:w="15" w:type="dxa"/>
            </w:tcMar>
            <w:vAlign w:val="center"/>
          </w:tcPr>
          <w:p w14:paraId="547D431D" w14:textId="3405E875" w:rsidR="00C648F2" w:rsidRPr="005C2CEC" w:rsidRDefault="00C648F2" w:rsidP="00C648F2">
            <w:pPr>
              <w:spacing w:after="0"/>
              <w:rPr>
                <w:i/>
                <w:iCs/>
                <w:color w:val="000000"/>
                <w:sz w:val="16"/>
                <w:szCs w:val="16"/>
              </w:rPr>
            </w:pPr>
            <w:r w:rsidRPr="005C2CEC">
              <w:rPr>
                <w:i/>
                <w:iCs/>
                <w:color w:val="000000"/>
                <w:sz w:val="16"/>
                <w:szCs w:val="16"/>
                <w:lang w:eastAsia="sk-SK"/>
              </w:rPr>
              <w:t>Investícia zvyšuje bojové spôsobilosti OS SR</w:t>
            </w:r>
          </w:p>
        </w:tc>
        <w:tc>
          <w:tcPr>
            <w:tcW w:w="992" w:type="dxa"/>
            <w:tcBorders>
              <w:top w:val="single" w:sz="18" w:space="0" w:color="002060"/>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center"/>
          </w:tcPr>
          <w:p w14:paraId="648489BF" w14:textId="61B3A04D" w:rsidR="00C648F2" w:rsidRPr="005C2CEC" w:rsidRDefault="00C648F2" w:rsidP="00C648F2">
            <w:pPr>
              <w:spacing w:after="0"/>
              <w:jc w:val="center"/>
              <w:rPr>
                <w:sz w:val="20"/>
                <w:szCs w:val="20"/>
              </w:rPr>
            </w:pPr>
            <w:r w:rsidRPr="005C2CEC">
              <w:rPr>
                <w:sz w:val="20"/>
                <w:szCs w:val="20"/>
              </w:rPr>
              <w:t>ÁNO / NIE</w:t>
            </w:r>
          </w:p>
        </w:tc>
        <w:tc>
          <w:tcPr>
            <w:tcW w:w="1418" w:type="dxa"/>
            <w:tcBorders>
              <w:top w:val="single" w:sz="18" w:space="0" w:color="002060"/>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4BA558E6" w14:textId="77777777" w:rsidR="00C648F2" w:rsidRPr="005C2CEC" w:rsidRDefault="00C648F2" w:rsidP="00C648F2">
            <w:pPr>
              <w:spacing w:after="0"/>
              <w:jc w:val="left"/>
              <w:rPr>
                <w:color w:val="000000"/>
                <w:sz w:val="20"/>
                <w:szCs w:val="20"/>
              </w:rPr>
            </w:pPr>
          </w:p>
        </w:tc>
        <w:tc>
          <w:tcPr>
            <w:tcW w:w="1559" w:type="dxa"/>
            <w:tcBorders>
              <w:top w:val="single" w:sz="18" w:space="0" w:color="002060"/>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21505AB4" w14:textId="77777777" w:rsidR="00C648F2" w:rsidRPr="005C2CEC" w:rsidRDefault="00C648F2" w:rsidP="00C648F2">
            <w:pPr>
              <w:spacing w:after="0"/>
              <w:rPr>
                <w:color w:val="000000"/>
                <w:sz w:val="20"/>
                <w:szCs w:val="20"/>
              </w:rPr>
            </w:pPr>
          </w:p>
        </w:tc>
        <w:tc>
          <w:tcPr>
            <w:tcW w:w="1134" w:type="dxa"/>
            <w:tcBorders>
              <w:top w:val="single" w:sz="18" w:space="0" w:color="002060"/>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22B47B7E" w14:textId="77777777" w:rsidR="00C648F2" w:rsidRPr="005C2CEC" w:rsidRDefault="00C648F2" w:rsidP="00C648F2">
            <w:pPr>
              <w:spacing w:after="0"/>
              <w:rPr>
                <w:color w:val="000000"/>
                <w:sz w:val="20"/>
                <w:szCs w:val="20"/>
              </w:rPr>
            </w:pPr>
          </w:p>
        </w:tc>
        <w:tc>
          <w:tcPr>
            <w:tcW w:w="1276" w:type="dxa"/>
            <w:tcBorders>
              <w:top w:val="single" w:sz="18" w:space="0" w:color="002060"/>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00F24AEC" w14:textId="77777777" w:rsidR="00C648F2" w:rsidRPr="005C2CEC" w:rsidRDefault="00C648F2" w:rsidP="00C648F2">
            <w:pPr>
              <w:spacing w:after="0"/>
              <w:rPr>
                <w:color w:val="000000"/>
                <w:sz w:val="20"/>
                <w:szCs w:val="20"/>
              </w:rPr>
            </w:pPr>
          </w:p>
        </w:tc>
        <w:tc>
          <w:tcPr>
            <w:tcW w:w="469" w:type="dxa"/>
            <w:tcBorders>
              <w:top w:val="single" w:sz="18" w:space="0" w:color="002060"/>
              <w:left w:val="nil"/>
              <w:bottom w:val="single" w:sz="4" w:space="0" w:color="A6A6A6" w:themeColor="background1" w:themeShade="A6"/>
              <w:right w:val="single" w:sz="18" w:space="0" w:color="002060"/>
            </w:tcBorders>
            <w:shd w:val="clear" w:color="auto" w:fill="auto"/>
            <w:noWrap/>
            <w:tcMar>
              <w:top w:w="15" w:type="dxa"/>
              <w:left w:w="15" w:type="dxa"/>
              <w:bottom w:w="0" w:type="dxa"/>
              <w:right w:w="15" w:type="dxa"/>
            </w:tcMar>
            <w:vAlign w:val="bottom"/>
          </w:tcPr>
          <w:p w14:paraId="6A30F169" w14:textId="77777777" w:rsidR="00C648F2" w:rsidRPr="005C2CEC" w:rsidRDefault="00C648F2" w:rsidP="00C648F2">
            <w:pPr>
              <w:spacing w:after="0"/>
              <w:rPr>
                <w:i/>
                <w:iCs/>
                <w:color w:val="000000"/>
                <w:sz w:val="20"/>
                <w:szCs w:val="20"/>
              </w:rPr>
            </w:pPr>
          </w:p>
        </w:tc>
      </w:tr>
      <w:tr w:rsidR="00C648F2" w:rsidRPr="005C2CEC" w14:paraId="41CB15F2" w14:textId="77777777" w:rsidTr="00577F95">
        <w:trPr>
          <w:trHeight w:val="484"/>
        </w:trPr>
        <w:tc>
          <w:tcPr>
            <w:tcW w:w="1395" w:type="dxa"/>
            <w:vMerge/>
            <w:tcBorders>
              <w:left w:val="single" w:sz="18" w:space="0" w:color="002060"/>
              <w:right w:val="single" w:sz="4" w:space="0" w:color="BFBFBF"/>
            </w:tcBorders>
            <w:shd w:val="clear" w:color="auto" w:fill="C9C9C9" w:themeFill="accent3" w:themeFillTint="99"/>
            <w:vAlign w:val="center"/>
          </w:tcPr>
          <w:p w14:paraId="7547DCD1" w14:textId="77777777" w:rsidR="00C648F2" w:rsidRPr="005C2CEC" w:rsidRDefault="00C648F2" w:rsidP="00C648F2">
            <w:pPr>
              <w:spacing w:after="0"/>
              <w:jc w:val="left"/>
              <w:rPr>
                <w:color w:val="000000"/>
              </w:rPr>
            </w:pPr>
          </w:p>
        </w:tc>
        <w:tc>
          <w:tcPr>
            <w:tcW w:w="2410" w:type="dxa"/>
            <w:tcBorders>
              <w:top w:val="single" w:sz="4" w:space="0" w:color="A6A6A6" w:themeColor="background1" w:themeShade="A6"/>
              <w:left w:val="nil"/>
              <w:bottom w:val="single" w:sz="4" w:space="0" w:color="A6A6A6" w:themeColor="background1" w:themeShade="A6"/>
              <w:right w:val="single" w:sz="4" w:space="0" w:color="BFBFBF"/>
            </w:tcBorders>
            <w:shd w:val="clear" w:color="000000" w:fill="F2F2F2"/>
            <w:tcMar>
              <w:top w:w="15" w:type="dxa"/>
              <w:left w:w="15" w:type="dxa"/>
              <w:bottom w:w="0" w:type="dxa"/>
              <w:right w:w="15" w:type="dxa"/>
            </w:tcMar>
            <w:vAlign w:val="center"/>
          </w:tcPr>
          <w:p w14:paraId="60EF3AE8" w14:textId="74C8930D" w:rsidR="00C648F2" w:rsidRPr="005C2CEC" w:rsidRDefault="003F4DA3" w:rsidP="003F4DA3">
            <w:pPr>
              <w:spacing w:after="0"/>
              <w:jc w:val="left"/>
              <w:rPr>
                <w:color w:val="000000"/>
                <w:sz w:val="20"/>
                <w:szCs w:val="20"/>
              </w:rPr>
            </w:pPr>
            <w:r>
              <w:rPr>
                <w:color w:val="000000"/>
                <w:sz w:val="20"/>
                <w:szCs w:val="20"/>
                <w:lang w:eastAsia="sk-SK"/>
              </w:rPr>
              <w:t>S</w:t>
            </w:r>
            <w:r w:rsidR="00C648F2" w:rsidRPr="005C2CEC">
              <w:rPr>
                <w:color w:val="000000"/>
                <w:sz w:val="20"/>
                <w:szCs w:val="20"/>
                <w:lang w:eastAsia="sk-SK"/>
              </w:rPr>
              <w:t>pôsobilos</w:t>
            </w:r>
            <w:r>
              <w:rPr>
                <w:color w:val="000000"/>
                <w:sz w:val="20"/>
                <w:szCs w:val="20"/>
                <w:lang w:eastAsia="sk-SK"/>
              </w:rPr>
              <w:t>ti bojovej podpory</w:t>
            </w:r>
          </w:p>
        </w:tc>
        <w:tc>
          <w:tcPr>
            <w:tcW w:w="3827" w:type="dxa"/>
            <w:tcBorders>
              <w:top w:val="single" w:sz="4" w:space="0" w:color="A6A6A6" w:themeColor="background1" w:themeShade="A6"/>
              <w:left w:val="nil"/>
              <w:bottom w:val="single" w:sz="4" w:space="0" w:color="A6A6A6" w:themeColor="background1" w:themeShade="A6"/>
              <w:right w:val="single" w:sz="4" w:space="0" w:color="BFBFBF"/>
            </w:tcBorders>
            <w:shd w:val="clear" w:color="000000" w:fill="F2F2F2"/>
            <w:tcMar>
              <w:top w:w="15" w:type="dxa"/>
              <w:left w:w="15" w:type="dxa"/>
              <w:bottom w:w="0" w:type="dxa"/>
              <w:right w:w="15" w:type="dxa"/>
            </w:tcMar>
            <w:vAlign w:val="center"/>
          </w:tcPr>
          <w:p w14:paraId="54B3AF38" w14:textId="4DBE4A1D" w:rsidR="00C648F2" w:rsidRPr="005C2CEC" w:rsidRDefault="00C648F2" w:rsidP="003F4DA3">
            <w:pPr>
              <w:spacing w:after="0"/>
              <w:rPr>
                <w:i/>
                <w:iCs/>
                <w:color w:val="000000"/>
                <w:sz w:val="16"/>
                <w:szCs w:val="16"/>
              </w:rPr>
            </w:pPr>
            <w:r w:rsidRPr="005C2CEC">
              <w:rPr>
                <w:i/>
                <w:iCs/>
                <w:color w:val="000000"/>
                <w:sz w:val="16"/>
                <w:szCs w:val="16"/>
                <w:lang w:eastAsia="sk-SK"/>
              </w:rPr>
              <w:t xml:space="preserve">Investícia zvyšuje spôsobilosti </w:t>
            </w:r>
            <w:r w:rsidR="003F4DA3">
              <w:rPr>
                <w:i/>
                <w:iCs/>
                <w:color w:val="000000"/>
                <w:sz w:val="16"/>
                <w:szCs w:val="16"/>
                <w:lang w:eastAsia="sk-SK"/>
              </w:rPr>
              <w:t xml:space="preserve">bojovej podpory </w:t>
            </w:r>
            <w:r w:rsidRPr="005C2CEC">
              <w:rPr>
                <w:i/>
                <w:iCs/>
                <w:color w:val="000000"/>
                <w:sz w:val="16"/>
                <w:szCs w:val="16"/>
                <w:lang w:eastAsia="sk-SK"/>
              </w:rPr>
              <w:t>OS SR</w:t>
            </w:r>
          </w:p>
        </w:tc>
        <w:tc>
          <w:tcPr>
            <w:tcW w:w="992"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center"/>
          </w:tcPr>
          <w:p w14:paraId="0C55E87D" w14:textId="685A5425" w:rsidR="00C648F2" w:rsidRPr="005C2CEC" w:rsidRDefault="00C648F2" w:rsidP="00C648F2">
            <w:pPr>
              <w:spacing w:after="0"/>
              <w:jc w:val="center"/>
              <w:rPr>
                <w:sz w:val="20"/>
                <w:szCs w:val="20"/>
              </w:rPr>
            </w:pPr>
            <w:r w:rsidRPr="005C2CEC">
              <w:rPr>
                <w:sz w:val="20"/>
                <w:szCs w:val="20"/>
              </w:rPr>
              <w:t>ÁNO / NIE</w:t>
            </w:r>
          </w:p>
        </w:tc>
        <w:tc>
          <w:tcPr>
            <w:tcW w:w="1418"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56C4C186" w14:textId="77777777" w:rsidR="00C648F2" w:rsidRPr="005C2CEC" w:rsidRDefault="00C648F2" w:rsidP="00C648F2">
            <w:pPr>
              <w:spacing w:after="0"/>
              <w:jc w:val="left"/>
              <w:rPr>
                <w:color w:val="000000"/>
                <w:sz w:val="20"/>
                <w:szCs w:val="20"/>
              </w:rPr>
            </w:pPr>
          </w:p>
        </w:tc>
        <w:tc>
          <w:tcPr>
            <w:tcW w:w="1559"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554121C5" w14:textId="77777777" w:rsidR="00C648F2" w:rsidRPr="005C2CEC" w:rsidRDefault="00C648F2" w:rsidP="00C648F2">
            <w:pPr>
              <w:spacing w:after="0"/>
              <w:rPr>
                <w:color w:val="000000"/>
                <w:sz w:val="20"/>
                <w:szCs w:val="20"/>
              </w:rPr>
            </w:pPr>
          </w:p>
        </w:tc>
        <w:tc>
          <w:tcPr>
            <w:tcW w:w="1134"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3EB97894" w14:textId="77777777" w:rsidR="00C648F2" w:rsidRPr="005C2CEC" w:rsidRDefault="00C648F2" w:rsidP="00C648F2">
            <w:pPr>
              <w:spacing w:after="0"/>
              <w:rPr>
                <w:color w:val="000000"/>
                <w:sz w:val="20"/>
                <w:szCs w:val="20"/>
              </w:rPr>
            </w:pPr>
          </w:p>
        </w:tc>
        <w:tc>
          <w:tcPr>
            <w:tcW w:w="1276"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6C53A2D3" w14:textId="77777777" w:rsidR="00C648F2" w:rsidRPr="005C2CEC" w:rsidRDefault="00C648F2" w:rsidP="00C648F2">
            <w:pPr>
              <w:spacing w:after="0"/>
              <w:rPr>
                <w:color w:val="000000"/>
                <w:sz w:val="20"/>
                <w:szCs w:val="20"/>
              </w:rPr>
            </w:pPr>
          </w:p>
        </w:tc>
        <w:tc>
          <w:tcPr>
            <w:tcW w:w="469" w:type="dxa"/>
            <w:tcBorders>
              <w:top w:val="single" w:sz="4" w:space="0" w:color="A6A6A6" w:themeColor="background1" w:themeShade="A6"/>
              <w:left w:val="nil"/>
              <w:bottom w:val="single" w:sz="4" w:space="0" w:color="A6A6A6" w:themeColor="background1" w:themeShade="A6"/>
              <w:right w:val="single" w:sz="18" w:space="0" w:color="002060"/>
            </w:tcBorders>
            <w:shd w:val="clear" w:color="auto" w:fill="auto"/>
            <w:noWrap/>
            <w:tcMar>
              <w:top w:w="15" w:type="dxa"/>
              <w:left w:w="15" w:type="dxa"/>
              <w:bottom w:w="0" w:type="dxa"/>
              <w:right w:w="15" w:type="dxa"/>
            </w:tcMar>
            <w:vAlign w:val="bottom"/>
          </w:tcPr>
          <w:p w14:paraId="5F9A696B" w14:textId="77777777" w:rsidR="00C648F2" w:rsidRPr="005C2CEC" w:rsidRDefault="00C648F2" w:rsidP="00C648F2">
            <w:pPr>
              <w:spacing w:after="0"/>
              <w:rPr>
                <w:i/>
                <w:iCs/>
                <w:color w:val="000000"/>
                <w:sz w:val="20"/>
                <w:szCs w:val="20"/>
              </w:rPr>
            </w:pPr>
          </w:p>
        </w:tc>
      </w:tr>
      <w:tr w:rsidR="00C648F2" w:rsidRPr="005C2CEC" w14:paraId="734654F6" w14:textId="77777777" w:rsidTr="00577F95">
        <w:trPr>
          <w:trHeight w:val="484"/>
        </w:trPr>
        <w:tc>
          <w:tcPr>
            <w:tcW w:w="1395" w:type="dxa"/>
            <w:vMerge/>
            <w:tcBorders>
              <w:left w:val="single" w:sz="18" w:space="0" w:color="002060"/>
              <w:right w:val="single" w:sz="4" w:space="0" w:color="BFBFBF"/>
            </w:tcBorders>
            <w:shd w:val="clear" w:color="auto" w:fill="C9C9C9" w:themeFill="accent3" w:themeFillTint="99"/>
            <w:vAlign w:val="center"/>
          </w:tcPr>
          <w:p w14:paraId="33F4196F" w14:textId="77777777" w:rsidR="00C648F2" w:rsidRPr="005C2CEC" w:rsidRDefault="00C648F2" w:rsidP="00C648F2">
            <w:pPr>
              <w:spacing w:after="0"/>
              <w:jc w:val="left"/>
              <w:rPr>
                <w:color w:val="000000"/>
              </w:rPr>
            </w:pPr>
          </w:p>
        </w:tc>
        <w:tc>
          <w:tcPr>
            <w:tcW w:w="2410" w:type="dxa"/>
            <w:tcBorders>
              <w:top w:val="single" w:sz="4" w:space="0" w:color="A6A6A6" w:themeColor="background1" w:themeShade="A6"/>
              <w:left w:val="nil"/>
              <w:bottom w:val="single" w:sz="4" w:space="0" w:color="A6A6A6" w:themeColor="background1" w:themeShade="A6"/>
              <w:right w:val="single" w:sz="4" w:space="0" w:color="BFBFBF"/>
            </w:tcBorders>
            <w:shd w:val="clear" w:color="000000" w:fill="F2F2F2"/>
            <w:tcMar>
              <w:top w:w="15" w:type="dxa"/>
              <w:left w:w="15" w:type="dxa"/>
              <w:bottom w:w="0" w:type="dxa"/>
              <w:right w:w="15" w:type="dxa"/>
            </w:tcMar>
            <w:vAlign w:val="center"/>
          </w:tcPr>
          <w:p w14:paraId="36808D58" w14:textId="3D76DA07" w:rsidR="00C648F2" w:rsidRPr="005C2CEC" w:rsidRDefault="003F4DA3" w:rsidP="00C648F2">
            <w:pPr>
              <w:spacing w:after="0"/>
              <w:jc w:val="left"/>
              <w:rPr>
                <w:color w:val="000000"/>
                <w:sz w:val="20"/>
                <w:szCs w:val="20"/>
              </w:rPr>
            </w:pPr>
            <w:r>
              <w:rPr>
                <w:color w:val="000000"/>
                <w:sz w:val="20"/>
                <w:szCs w:val="20"/>
                <w:lang w:eastAsia="sk-SK"/>
              </w:rPr>
              <w:t>S</w:t>
            </w:r>
            <w:r w:rsidR="00C648F2" w:rsidRPr="005C2CEC">
              <w:rPr>
                <w:color w:val="000000"/>
                <w:sz w:val="20"/>
                <w:szCs w:val="20"/>
                <w:lang w:eastAsia="sk-SK"/>
              </w:rPr>
              <w:t>pôsobilos</w:t>
            </w:r>
            <w:r>
              <w:rPr>
                <w:color w:val="000000"/>
                <w:sz w:val="20"/>
                <w:szCs w:val="20"/>
                <w:lang w:eastAsia="sk-SK"/>
              </w:rPr>
              <w:t>ti bojového zabezpečenia</w:t>
            </w:r>
          </w:p>
        </w:tc>
        <w:tc>
          <w:tcPr>
            <w:tcW w:w="3827" w:type="dxa"/>
            <w:tcBorders>
              <w:top w:val="single" w:sz="4" w:space="0" w:color="A6A6A6" w:themeColor="background1" w:themeShade="A6"/>
              <w:left w:val="nil"/>
              <w:bottom w:val="single" w:sz="4" w:space="0" w:color="A6A6A6" w:themeColor="background1" w:themeShade="A6"/>
              <w:right w:val="single" w:sz="4" w:space="0" w:color="BFBFBF"/>
            </w:tcBorders>
            <w:shd w:val="clear" w:color="000000" w:fill="F2F2F2"/>
            <w:tcMar>
              <w:top w:w="15" w:type="dxa"/>
              <w:left w:w="15" w:type="dxa"/>
              <w:bottom w:w="0" w:type="dxa"/>
              <w:right w:w="15" w:type="dxa"/>
            </w:tcMar>
            <w:vAlign w:val="center"/>
          </w:tcPr>
          <w:p w14:paraId="7CBB3086" w14:textId="13970A73" w:rsidR="00C648F2" w:rsidRPr="005C2CEC" w:rsidRDefault="00C648F2" w:rsidP="003F4DA3">
            <w:pPr>
              <w:spacing w:after="0"/>
              <w:rPr>
                <w:i/>
                <w:iCs/>
                <w:color w:val="000000"/>
                <w:sz w:val="16"/>
                <w:szCs w:val="16"/>
              </w:rPr>
            </w:pPr>
            <w:r w:rsidRPr="005C2CEC">
              <w:rPr>
                <w:i/>
                <w:iCs/>
                <w:color w:val="000000"/>
                <w:sz w:val="16"/>
                <w:szCs w:val="16"/>
                <w:lang w:eastAsia="sk-SK"/>
              </w:rPr>
              <w:t xml:space="preserve">Investícia zvyšuje spôsobilosti </w:t>
            </w:r>
            <w:r w:rsidR="003F4DA3">
              <w:rPr>
                <w:i/>
                <w:iCs/>
                <w:color w:val="000000"/>
                <w:sz w:val="16"/>
                <w:szCs w:val="16"/>
                <w:lang w:eastAsia="sk-SK"/>
              </w:rPr>
              <w:t xml:space="preserve">bojového zabezpečenia </w:t>
            </w:r>
            <w:r w:rsidRPr="005C2CEC">
              <w:rPr>
                <w:i/>
                <w:iCs/>
                <w:color w:val="000000"/>
                <w:sz w:val="16"/>
                <w:szCs w:val="16"/>
                <w:lang w:eastAsia="sk-SK"/>
              </w:rPr>
              <w:t>OS SR</w:t>
            </w:r>
          </w:p>
        </w:tc>
        <w:tc>
          <w:tcPr>
            <w:tcW w:w="992"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center"/>
          </w:tcPr>
          <w:p w14:paraId="3441706D" w14:textId="63A19624" w:rsidR="00C648F2" w:rsidRPr="005C2CEC" w:rsidRDefault="00C648F2" w:rsidP="00C648F2">
            <w:pPr>
              <w:spacing w:after="0"/>
              <w:jc w:val="center"/>
              <w:rPr>
                <w:sz w:val="20"/>
                <w:szCs w:val="20"/>
              </w:rPr>
            </w:pPr>
            <w:r w:rsidRPr="005C2CEC">
              <w:rPr>
                <w:sz w:val="20"/>
                <w:szCs w:val="20"/>
              </w:rPr>
              <w:t>ÁNO / NIE</w:t>
            </w:r>
          </w:p>
        </w:tc>
        <w:tc>
          <w:tcPr>
            <w:tcW w:w="1418"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4D82E73B" w14:textId="77777777" w:rsidR="00C648F2" w:rsidRPr="005C2CEC" w:rsidRDefault="00C648F2" w:rsidP="00C648F2">
            <w:pPr>
              <w:spacing w:after="0"/>
              <w:jc w:val="left"/>
              <w:rPr>
                <w:color w:val="000000"/>
                <w:sz w:val="20"/>
                <w:szCs w:val="20"/>
              </w:rPr>
            </w:pPr>
          </w:p>
        </w:tc>
        <w:tc>
          <w:tcPr>
            <w:tcW w:w="1559"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31ED8FE9" w14:textId="77777777" w:rsidR="00C648F2" w:rsidRPr="005C2CEC" w:rsidRDefault="00C648F2" w:rsidP="00C648F2">
            <w:pPr>
              <w:spacing w:after="0"/>
              <w:rPr>
                <w:color w:val="000000"/>
                <w:sz w:val="20"/>
                <w:szCs w:val="20"/>
              </w:rPr>
            </w:pPr>
          </w:p>
        </w:tc>
        <w:tc>
          <w:tcPr>
            <w:tcW w:w="1134"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01B6B072" w14:textId="77777777" w:rsidR="00C648F2" w:rsidRPr="005C2CEC" w:rsidRDefault="00C648F2" w:rsidP="00C648F2">
            <w:pPr>
              <w:spacing w:after="0"/>
              <w:rPr>
                <w:color w:val="000000"/>
                <w:sz w:val="20"/>
                <w:szCs w:val="20"/>
              </w:rPr>
            </w:pPr>
          </w:p>
        </w:tc>
        <w:tc>
          <w:tcPr>
            <w:tcW w:w="1276"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589BADE0" w14:textId="77777777" w:rsidR="00C648F2" w:rsidRPr="005C2CEC" w:rsidRDefault="00C648F2" w:rsidP="00C648F2">
            <w:pPr>
              <w:spacing w:after="0"/>
              <w:rPr>
                <w:color w:val="000000"/>
                <w:sz w:val="20"/>
                <w:szCs w:val="20"/>
              </w:rPr>
            </w:pPr>
          </w:p>
        </w:tc>
        <w:tc>
          <w:tcPr>
            <w:tcW w:w="469" w:type="dxa"/>
            <w:tcBorders>
              <w:top w:val="single" w:sz="4" w:space="0" w:color="A6A6A6" w:themeColor="background1" w:themeShade="A6"/>
              <w:left w:val="nil"/>
              <w:bottom w:val="single" w:sz="4" w:space="0" w:color="A6A6A6" w:themeColor="background1" w:themeShade="A6"/>
              <w:right w:val="single" w:sz="18" w:space="0" w:color="002060"/>
            </w:tcBorders>
            <w:shd w:val="clear" w:color="auto" w:fill="auto"/>
            <w:noWrap/>
            <w:tcMar>
              <w:top w:w="15" w:type="dxa"/>
              <w:left w:w="15" w:type="dxa"/>
              <w:bottom w:w="0" w:type="dxa"/>
              <w:right w:w="15" w:type="dxa"/>
            </w:tcMar>
            <w:vAlign w:val="bottom"/>
          </w:tcPr>
          <w:p w14:paraId="676A4783" w14:textId="77777777" w:rsidR="00C648F2" w:rsidRPr="005C2CEC" w:rsidRDefault="00C648F2" w:rsidP="00C648F2">
            <w:pPr>
              <w:spacing w:after="0"/>
              <w:rPr>
                <w:i/>
                <w:iCs/>
                <w:color w:val="000000"/>
                <w:sz w:val="20"/>
                <w:szCs w:val="20"/>
              </w:rPr>
            </w:pPr>
          </w:p>
        </w:tc>
      </w:tr>
      <w:tr w:rsidR="00C648F2" w:rsidRPr="005C2CEC" w14:paraId="008649CB" w14:textId="77777777" w:rsidTr="00577F95">
        <w:trPr>
          <w:trHeight w:val="484"/>
        </w:trPr>
        <w:tc>
          <w:tcPr>
            <w:tcW w:w="1395" w:type="dxa"/>
            <w:vMerge/>
            <w:tcBorders>
              <w:left w:val="single" w:sz="18" w:space="0" w:color="002060"/>
              <w:right w:val="single" w:sz="4" w:space="0" w:color="BFBFBF"/>
            </w:tcBorders>
            <w:shd w:val="clear" w:color="auto" w:fill="C9C9C9" w:themeFill="accent3" w:themeFillTint="99"/>
            <w:vAlign w:val="center"/>
          </w:tcPr>
          <w:p w14:paraId="47AE7839" w14:textId="77777777" w:rsidR="00C648F2" w:rsidRPr="005C2CEC" w:rsidRDefault="00C648F2" w:rsidP="00C648F2">
            <w:pPr>
              <w:spacing w:after="0"/>
              <w:jc w:val="left"/>
              <w:rPr>
                <w:color w:val="000000"/>
              </w:rPr>
            </w:pPr>
          </w:p>
        </w:tc>
        <w:tc>
          <w:tcPr>
            <w:tcW w:w="2410" w:type="dxa"/>
            <w:tcBorders>
              <w:top w:val="single" w:sz="4" w:space="0" w:color="A6A6A6" w:themeColor="background1" w:themeShade="A6"/>
              <w:left w:val="nil"/>
              <w:bottom w:val="single" w:sz="4" w:space="0" w:color="A6A6A6" w:themeColor="background1" w:themeShade="A6"/>
              <w:right w:val="single" w:sz="4" w:space="0" w:color="BFBFBF"/>
            </w:tcBorders>
            <w:shd w:val="clear" w:color="000000" w:fill="F2F2F2"/>
            <w:tcMar>
              <w:top w:w="15" w:type="dxa"/>
              <w:left w:w="15" w:type="dxa"/>
              <w:bottom w:w="0" w:type="dxa"/>
              <w:right w:w="15" w:type="dxa"/>
            </w:tcMar>
            <w:vAlign w:val="center"/>
          </w:tcPr>
          <w:p w14:paraId="0B46FD99" w14:textId="4909CB01" w:rsidR="00C648F2" w:rsidRPr="005C2CEC" w:rsidRDefault="00C648F2" w:rsidP="00C648F2">
            <w:pPr>
              <w:spacing w:after="0"/>
              <w:jc w:val="left"/>
              <w:rPr>
                <w:color w:val="000000"/>
                <w:sz w:val="20"/>
                <w:szCs w:val="20"/>
              </w:rPr>
            </w:pPr>
            <w:r w:rsidRPr="005C2CEC">
              <w:rPr>
                <w:color w:val="000000"/>
                <w:sz w:val="20"/>
                <w:szCs w:val="20"/>
                <w:lang w:eastAsia="sk-SK"/>
              </w:rPr>
              <w:t>Úroveň použiteľnosti</w:t>
            </w:r>
          </w:p>
        </w:tc>
        <w:tc>
          <w:tcPr>
            <w:tcW w:w="3827" w:type="dxa"/>
            <w:tcBorders>
              <w:top w:val="single" w:sz="4" w:space="0" w:color="A6A6A6" w:themeColor="background1" w:themeShade="A6"/>
              <w:left w:val="nil"/>
              <w:bottom w:val="single" w:sz="4" w:space="0" w:color="A6A6A6" w:themeColor="background1" w:themeShade="A6"/>
              <w:right w:val="single" w:sz="4" w:space="0" w:color="BFBFBF"/>
            </w:tcBorders>
            <w:shd w:val="clear" w:color="000000" w:fill="F2F2F2"/>
            <w:tcMar>
              <w:top w:w="15" w:type="dxa"/>
              <w:left w:w="15" w:type="dxa"/>
              <w:bottom w:w="0" w:type="dxa"/>
              <w:right w:w="15" w:type="dxa"/>
            </w:tcMar>
            <w:vAlign w:val="center"/>
          </w:tcPr>
          <w:p w14:paraId="3D7B96B9" w14:textId="17BDBCBC" w:rsidR="00C648F2" w:rsidRPr="005C2CEC" w:rsidRDefault="00C648F2" w:rsidP="00C648F2">
            <w:pPr>
              <w:spacing w:after="0"/>
              <w:rPr>
                <w:i/>
                <w:iCs/>
                <w:color w:val="000000"/>
                <w:sz w:val="16"/>
                <w:szCs w:val="16"/>
              </w:rPr>
            </w:pPr>
            <w:r w:rsidRPr="005C2CEC">
              <w:rPr>
                <w:i/>
                <w:iCs/>
                <w:color w:val="000000"/>
                <w:sz w:val="16"/>
                <w:szCs w:val="16"/>
                <w:lang w:eastAsia="sk-SK"/>
              </w:rPr>
              <w:t>Investícia zvyšuje úroveň použiteľnosti techniky OS SR</w:t>
            </w:r>
          </w:p>
        </w:tc>
        <w:tc>
          <w:tcPr>
            <w:tcW w:w="992"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center"/>
          </w:tcPr>
          <w:p w14:paraId="4951FD44" w14:textId="64FE23D4" w:rsidR="00C648F2" w:rsidRPr="005C2CEC" w:rsidRDefault="00C648F2" w:rsidP="00C648F2">
            <w:pPr>
              <w:spacing w:after="0"/>
              <w:jc w:val="center"/>
              <w:rPr>
                <w:sz w:val="20"/>
                <w:szCs w:val="20"/>
              </w:rPr>
            </w:pPr>
            <w:r w:rsidRPr="005C2CEC">
              <w:rPr>
                <w:sz w:val="20"/>
                <w:szCs w:val="20"/>
              </w:rPr>
              <w:t>ÁNO / NIE</w:t>
            </w:r>
          </w:p>
        </w:tc>
        <w:tc>
          <w:tcPr>
            <w:tcW w:w="1418"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696DED2C" w14:textId="77777777" w:rsidR="00C648F2" w:rsidRPr="005C2CEC" w:rsidRDefault="00C648F2" w:rsidP="00C648F2">
            <w:pPr>
              <w:spacing w:after="0"/>
              <w:jc w:val="left"/>
              <w:rPr>
                <w:color w:val="000000"/>
                <w:sz w:val="20"/>
                <w:szCs w:val="20"/>
              </w:rPr>
            </w:pPr>
          </w:p>
        </w:tc>
        <w:tc>
          <w:tcPr>
            <w:tcW w:w="1559"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39309829" w14:textId="77777777" w:rsidR="00C648F2" w:rsidRPr="005C2CEC" w:rsidRDefault="00C648F2" w:rsidP="00C648F2">
            <w:pPr>
              <w:spacing w:after="0"/>
              <w:rPr>
                <w:color w:val="000000"/>
                <w:sz w:val="20"/>
                <w:szCs w:val="20"/>
              </w:rPr>
            </w:pPr>
          </w:p>
        </w:tc>
        <w:tc>
          <w:tcPr>
            <w:tcW w:w="1134"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184A3B4F" w14:textId="77777777" w:rsidR="00C648F2" w:rsidRPr="005C2CEC" w:rsidRDefault="00C648F2" w:rsidP="00C648F2">
            <w:pPr>
              <w:spacing w:after="0"/>
              <w:rPr>
                <w:color w:val="000000"/>
                <w:sz w:val="20"/>
                <w:szCs w:val="20"/>
              </w:rPr>
            </w:pPr>
          </w:p>
        </w:tc>
        <w:tc>
          <w:tcPr>
            <w:tcW w:w="1276"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72D1F414" w14:textId="77777777" w:rsidR="00C648F2" w:rsidRPr="005C2CEC" w:rsidRDefault="00C648F2" w:rsidP="00C648F2">
            <w:pPr>
              <w:spacing w:after="0"/>
              <w:rPr>
                <w:color w:val="000000"/>
                <w:sz w:val="20"/>
                <w:szCs w:val="20"/>
              </w:rPr>
            </w:pPr>
          </w:p>
        </w:tc>
        <w:tc>
          <w:tcPr>
            <w:tcW w:w="469" w:type="dxa"/>
            <w:tcBorders>
              <w:top w:val="single" w:sz="4" w:space="0" w:color="A6A6A6" w:themeColor="background1" w:themeShade="A6"/>
              <w:left w:val="nil"/>
              <w:bottom w:val="single" w:sz="4" w:space="0" w:color="A6A6A6" w:themeColor="background1" w:themeShade="A6"/>
              <w:right w:val="single" w:sz="18" w:space="0" w:color="002060"/>
            </w:tcBorders>
            <w:shd w:val="clear" w:color="auto" w:fill="auto"/>
            <w:noWrap/>
            <w:tcMar>
              <w:top w:w="15" w:type="dxa"/>
              <w:left w:w="15" w:type="dxa"/>
              <w:bottom w:w="0" w:type="dxa"/>
              <w:right w:w="15" w:type="dxa"/>
            </w:tcMar>
            <w:vAlign w:val="bottom"/>
          </w:tcPr>
          <w:p w14:paraId="7B8D8DCF" w14:textId="77777777" w:rsidR="00C648F2" w:rsidRPr="005C2CEC" w:rsidRDefault="00C648F2" w:rsidP="00C648F2">
            <w:pPr>
              <w:spacing w:after="0"/>
              <w:rPr>
                <w:i/>
                <w:iCs/>
                <w:color w:val="000000"/>
                <w:sz w:val="20"/>
                <w:szCs w:val="20"/>
              </w:rPr>
            </w:pPr>
          </w:p>
        </w:tc>
      </w:tr>
      <w:tr w:rsidR="00C648F2" w:rsidRPr="005C2CEC" w14:paraId="21B97D9D" w14:textId="77777777" w:rsidTr="00577F95">
        <w:trPr>
          <w:trHeight w:val="484"/>
        </w:trPr>
        <w:tc>
          <w:tcPr>
            <w:tcW w:w="1395" w:type="dxa"/>
            <w:vMerge/>
            <w:tcBorders>
              <w:left w:val="single" w:sz="18" w:space="0" w:color="002060"/>
              <w:right w:val="single" w:sz="4" w:space="0" w:color="BFBFBF"/>
            </w:tcBorders>
            <w:shd w:val="clear" w:color="auto" w:fill="C9C9C9" w:themeFill="accent3" w:themeFillTint="99"/>
            <w:vAlign w:val="center"/>
          </w:tcPr>
          <w:p w14:paraId="7919F6ED" w14:textId="77777777" w:rsidR="00C648F2" w:rsidRPr="005C2CEC" w:rsidRDefault="00C648F2" w:rsidP="00C648F2">
            <w:pPr>
              <w:spacing w:after="0"/>
              <w:jc w:val="left"/>
              <w:rPr>
                <w:color w:val="000000"/>
              </w:rPr>
            </w:pPr>
          </w:p>
        </w:tc>
        <w:tc>
          <w:tcPr>
            <w:tcW w:w="2410" w:type="dxa"/>
            <w:tcBorders>
              <w:top w:val="single" w:sz="4" w:space="0" w:color="A6A6A6" w:themeColor="background1" w:themeShade="A6"/>
              <w:left w:val="nil"/>
              <w:bottom w:val="single" w:sz="4" w:space="0" w:color="A6A6A6" w:themeColor="background1" w:themeShade="A6"/>
              <w:right w:val="single" w:sz="4" w:space="0" w:color="BFBFBF"/>
            </w:tcBorders>
            <w:shd w:val="clear" w:color="000000" w:fill="F2F2F2"/>
            <w:tcMar>
              <w:top w:w="15" w:type="dxa"/>
              <w:left w:w="15" w:type="dxa"/>
              <w:bottom w:w="0" w:type="dxa"/>
              <w:right w:w="15" w:type="dxa"/>
            </w:tcMar>
            <w:vAlign w:val="center"/>
          </w:tcPr>
          <w:p w14:paraId="7422DCE7" w14:textId="04B16A50" w:rsidR="00C648F2" w:rsidRPr="005C2CEC" w:rsidRDefault="00C648F2" w:rsidP="00C648F2">
            <w:pPr>
              <w:spacing w:after="0"/>
              <w:jc w:val="left"/>
              <w:rPr>
                <w:color w:val="000000"/>
                <w:sz w:val="20"/>
                <w:szCs w:val="20"/>
              </w:rPr>
            </w:pPr>
            <w:r w:rsidRPr="005C2CEC">
              <w:rPr>
                <w:color w:val="000000"/>
                <w:sz w:val="20"/>
                <w:szCs w:val="20"/>
                <w:lang w:eastAsia="sk-SK"/>
              </w:rPr>
              <w:t>Kybernetická bezpečnosť</w:t>
            </w:r>
          </w:p>
        </w:tc>
        <w:tc>
          <w:tcPr>
            <w:tcW w:w="3827" w:type="dxa"/>
            <w:tcBorders>
              <w:top w:val="single" w:sz="4" w:space="0" w:color="A6A6A6" w:themeColor="background1" w:themeShade="A6"/>
              <w:left w:val="nil"/>
              <w:bottom w:val="single" w:sz="4" w:space="0" w:color="A6A6A6" w:themeColor="background1" w:themeShade="A6"/>
              <w:right w:val="single" w:sz="4" w:space="0" w:color="BFBFBF"/>
            </w:tcBorders>
            <w:shd w:val="clear" w:color="000000" w:fill="F2F2F2"/>
            <w:tcMar>
              <w:top w:w="15" w:type="dxa"/>
              <w:left w:w="15" w:type="dxa"/>
              <w:bottom w:w="0" w:type="dxa"/>
              <w:right w:w="15" w:type="dxa"/>
            </w:tcMar>
            <w:vAlign w:val="center"/>
          </w:tcPr>
          <w:p w14:paraId="78817F07" w14:textId="254840ED" w:rsidR="00C648F2" w:rsidRPr="005C2CEC" w:rsidRDefault="00C648F2" w:rsidP="00C648F2">
            <w:pPr>
              <w:spacing w:after="0"/>
              <w:rPr>
                <w:i/>
                <w:iCs/>
                <w:color w:val="000000"/>
                <w:sz w:val="16"/>
                <w:szCs w:val="16"/>
              </w:rPr>
            </w:pPr>
            <w:r w:rsidRPr="005C2CEC">
              <w:rPr>
                <w:i/>
                <w:iCs/>
                <w:color w:val="000000"/>
                <w:sz w:val="16"/>
                <w:szCs w:val="16"/>
                <w:lang w:eastAsia="sk-SK"/>
              </w:rPr>
              <w:t>Investícia zvyšuje kybernetickú bezpečnosť štátneho aparátu</w:t>
            </w:r>
          </w:p>
        </w:tc>
        <w:tc>
          <w:tcPr>
            <w:tcW w:w="992"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center"/>
          </w:tcPr>
          <w:p w14:paraId="1AF32C27" w14:textId="5FEF90F9" w:rsidR="00C648F2" w:rsidRPr="005C2CEC" w:rsidRDefault="00C648F2" w:rsidP="00C648F2">
            <w:pPr>
              <w:spacing w:after="0"/>
              <w:jc w:val="center"/>
              <w:rPr>
                <w:sz w:val="20"/>
                <w:szCs w:val="20"/>
              </w:rPr>
            </w:pPr>
            <w:r w:rsidRPr="005C2CEC">
              <w:rPr>
                <w:sz w:val="20"/>
                <w:szCs w:val="20"/>
              </w:rPr>
              <w:t>ÁNO / NIE</w:t>
            </w:r>
          </w:p>
        </w:tc>
        <w:tc>
          <w:tcPr>
            <w:tcW w:w="1418"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7DF18A56" w14:textId="77777777" w:rsidR="00C648F2" w:rsidRPr="005C2CEC" w:rsidRDefault="00C648F2" w:rsidP="00C648F2">
            <w:pPr>
              <w:spacing w:after="0"/>
              <w:jc w:val="left"/>
              <w:rPr>
                <w:color w:val="000000"/>
                <w:sz w:val="20"/>
                <w:szCs w:val="20"/>
              </w:rPr>
            </w:pPr>
          </w:p>
        </w:tc>
        <w:tc>
          <w:tcPr>
            <w:tcW w:w="1559"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365511F5" w14:textId="77777777" w:rsidR="00C648F2" w:rsidRPr="005C2CEC" w:rsidRDefault="00C648F2" w:rsidP="00C648F2">
            <w:pPr>
              <w:spacing w:after="0"/>
              <w:rPr>
                <w:color w:val="000000"/>
                <w:sz w:val="20"/>
                <w:szCs w:val="20"/>
              </w:rPr>
            </w:pPr>
          </w:p>
        </w:tc>
        <w:tc>
          <w:tcPr>
            <w:tcW w:w="1134"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789EC2A3" w14:textId="77777777" w:rsidR="00C648F2" w:rsidRPr="005C2CEC" w:rsidRDefault="00C648F2" w:rsidP="00C648F2">
            <w:pPr>
              <w:spacing w:after="0"/>
              <w:rPr>
                <w:color w:val="000000"/>
                <w:sz w:val="20"/>
                <w:szCs w:val="20"/>
              </w:rPr>
            </w:pPr>
          </w:p>
        </w:tc>
        <w:tc>
          <w:tcPr>
            <w:tcW w:w="1276"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7D9DD0DC" w14:textId="77777777" w:rsidR="00C648F2" w:rsidRPr="005C2CEC" w:rsidRDefault="00C648F2" w:rsidP="00C648F2">
            <w:pPr>
              <w:spacing w:after="0"/>
              <w:rPr>
                <w:color w:val="000000"/>
                <w:sz w:val="20"/>
                <w:szCs w:val="20"/>
              </w:rPr>
            </w:pPr>
          </w:p>
        </w:tc>
        <w:tc>
          <w:tcPr>
            <w:tcW w:w="469" w:type="dxa"/>
            <w:tcBorders>
              <w:top w:val="single" w:sz="4" w:space="0" w:color="A6A6A6" w:themeColor="background1" w:themeShade="A6"/>
              <w:left w:val="nil"/>
              <w:bottom w:val="single" w:sz="4" w:space="0" w:color="A6A6A6" w:themeColor="background1" w:themeShade="A6"/>
              <w:right w:val="single" w:sz="18" w:space="0" w:color="002060"/>
            </w:tcBorders>
            <w:shd w:val="clear" w:color="auto" w:fill="auto"/>
            <w:noWrap/>
            <w:tcMar>
              <w:top w:w="15" w:type="dxa"/>
              <w:left w:w="15" w:type="dxa"/>
              <w:bottom w:w="0" w:type="dxa"/>
              <w:right w:w="15" w:type="dxa"/>
            </w:tcMar>
            <w:vAlign w:val="bottom"/>
          </w:tcPr>
          <w:p w14:paraId="2A628C9F" w14:textId="77777777" w:rsidR="00C648F2" w:rsidRPr="005C2CEC" w:rsidRDefault="00C648F2" w:rsidP="00C648F2">
            <w:pPr>
              <w:spacing w:after="0"/>
              <w:rPr>
                <w:i/>
                <w:iCs/>
                <w:color w:val="000000"/>
                <w:sz w:val="20"/>
                <w:szCs w:val="20"/>
              </w:rPr>
            </w:pPr>
          </w:p>
        </w:tc>
      </w:tr>
      <w:tr w:rsidR="00C648F2" w:rsidRPr="005C2CEC" w14:paraId="53988778" w14:textId="77777777" w:rsidTr="00577F95">
        <w:trPr>
          <w:trHeight w:val="484"/>
        </w:trPr>
        <w:tc>
          <w:tcPr>
            <w:tcW w:w="1395" w:type="dxa"/>
            <w:vMerge/>
            <w:tcBorders>
              <w:left w:val="single" w:sz="18" w:space="0" w:color="002060"/>
              <w:right w:val="single" w:sz="4" w:space="0" w:color="BFBFBF"/>
            </w:tcBorders>
            <w:shd w:val="clear" w:color="auto" w:fill="C9C9C9" w:themeFill="accent3" w:themeFillTint="99"/>
            <w:vAlign w:val="center"/>
          </w:tcPr>
          <w:p w14:paraId="18B527F7" w14:textId="77777777" w:rsidR="00C648F2" w:rsidRPr="005C2CEC" w:rsidRDefault="00C648F2" w:rsidP="00C648F2">
            <w:pPr>
              <w:spacing w:after="0"/>
              <w:jc w:val="left"/>
              <w:rPr>
                <w:color w:val="000000"/>
              </w:rPr>
            </w:pPr>
          </w:p>
        </w:tc>
        <w:tc>
          <w:tcPr>
            <w:tcW w:w="2410" w:type="dxa"/>
            <w:tcBorders>
              <w:top w:val="single" w:sz="4" w:space="0" w:color="A6A6A6" w:themeColor="background1" w:themeShade="A6"/>
              <w:left w:val="nil"/>
              <w:bottom w:val="single" w:sz="4" w:space="0" w:color="A6A6A6" w:themeColor="background1" w:themeShade="A6"/>
              <w:right w:val="single" w:sz="4" w:space="0" w:color="BFBFBF"/>
            </w:tcBorders>
            <w:shd w:val="clear" w:color="000000" w:fill="F2F2F2"/>
            <w:tcMar>
              <w:top w:w="15" w:type="dxa"/>
              <w:left w:w="15" w:type="dxa"/>
              <w:bottom w:w="0" w:type="dxa"/>
              <w:right w:w="15" w:type="dxa"/>
            </w:tcMar>
            <w:vAlign w:val="center"/>
          </w:tcPr>
          <w:p w14:paraId="78CAFB9B" w14:textId="0499883D" w:rsidR="00C648F2" w:rsidRPr="005C2CEC" w:rsidRDefault="00C648F2" w:rsidP="00C648F2">
            <w:pPr>
              <w:spacing w:after="0"/>
              <w:jc w:val="left"/>
              <w:rPr>
                <w:color w:val="000000"/>
                <w:sz w:val="20"/>
                <w:szCs w:val="20"/>
              </w:rPr>
            </w:pPr>
            <w:r w:rsidRPr="005C2CEC">
              <w:rPr>
                <w:color w:val="000000"/>
                <w:sz w:val="20"/>
                <w:szCs w:val="20"/>
                <w:lang w:eastAsia="sk-SK"/>
              </w:rPr>
              <w:t>Bezpečnosť informácií a komunikácie</w:t>
            </w:r>
          </w:p>
        </w:tc>
        <w:tc>
          <w:tcPr>
            <w:tcW w:w="3827" w:type="dxa"/>
            <w:tcBorders>
              <w:top w:val="single" w:sz="4" w:space="0" w:color="A6A6A6" w:themeColor="background1" w:themeShade="A6"/>
              <w:left w:val="nil"/>
              <w:bottom w:val="single" w:sz="4" w:space="0" w:color="A6A6A6" w:themeColor="background1" w:themeShade="A6"/>
              <w:right w:val="single" w:sz="4" w:space="0" w:color="BFBFBF"/>
            </w:tcBorders>
            <w:shd w:val="clear" w:color="000000" w:fill="F2F2F2"/>
            <w:tcMar>
              <w:top w:w="15" w:type="dxa"/>
              <w:left w:w="15" w:type="dxa"/>
              <w:bottom w:w="0" w:type="dxa"/>
              <w:right w:w="15" w:type="dxa"/>
            </w:tcMar>
            <w:vAlign w:val="center"/>
          </w:tcPr>
          <w:p w14:paraId="1E235116" w14:textId="110C2F3B" w:rsidR="00C648F2" w:rsidRPr="005C2CEC" w:rsidRDefault="00C648F2" w:rsidP="00C648F2">
            <w:pPr>
              <w:spacing w:after="0"/>
              <w:rPr>
                <w:i/>
                <w:iCs/>
                <w:color w:val="000000"/>
                <w:sz w:val="16"/>
                <w:szCs w:val="16"/>
              </w:rPr>
            </w:pPr>
            <w:r w:rsidRPr="005C2CEC">
              <w:rPr>
                <w:i/>
                <w:iCs/>
                <w:color w:val="000000"/>
                <w:sz w:val="16"/>
                <w:szCs w:val="16"/>
                <w:lang w:eastAsia="sk-SK"/>
              </w:rPr>
              <w:t>Investícia zvyšuje bezpečnosť a ochranu informácií a komunikačných a informačných systémov OS SR</w:t>
            </w:r>
          </w:p>
        </w:tc>
        <w:tc>
          <w:tcPr>
            <w:tcW w:w="992"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center"/>
          </w:tcPr>
          <w:p w14:paraId="4BEA827F" w14:textId="1B7C9E36" w:rsidR="00C648F2" w:rsidRPr="005C2CEC" w:rsidRDefault="00C648F2" w:rsidP="00C648F2">
            <w:pPr>
              <w:spacing w:after="0"/>
              <w:jc w:val="center"/>
              <w:rPr>
                <w:sz w:val="20"/>
                <w:szCs w:val="20"/>
              </w:rPr>
            </w:pPr>
            <w:r w:rsidRPr="005C2CEC">
              <w:rPr>
                <w:sz w:val="20"/>
                <w:szCs w:val="20"/>
              </w:rPr>
              <w:t>ÁNO / NIE</w:t>
            </w:r>
          </w:p>
        </w:tc>
        <w:tc>
          <w:tcPr>
            <w:tcW w:w="1418"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7E9D233E" w14:textId="77777777" w:rsidR="00C648F2" w:rsidRPr="005C2CEC" w:rsidRDefault="00C648F2" w:rsidP="00C648F2">
            <w:pPr>
              <w:spacing w:after="0"/>
              <w:jc w:val="left"/>
              <w:rPr>
                <w:color w:val="000000"/>
                <w:sz w:val="20"/>
                <w:szCs w:val="20"/>
              </w:rPr>
            </w:pPr>
          </w:p>
        </w:tc>
        <w:tc>
          <w:tcPr>
            <w:tcW w:w="1559"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6D5DEAF2" w14:textId="77777777" w:rsidR="00C648F2" w:rsidRPr="005C2CEC" w:rsidRDefault="00C648F2" w:rsidP="00C648F2">
            <w:pPr>
              <w:spacing w:after="0"/>
              <w:rPr>
                <w:color w:val="000000"/>
                <w:sz w:val="20"/>
                <w:szCs w:val="20"/>
              </w:rPr>
            </w:pPr>
          </w:p>
        </w:tc>
        <w:tc>
          <w:tcPr>
            <w:tcW w:w="1134"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470B35A2" w14:textId="77777777" w:rsidR="00C648F2" w:rsidRPr="005C2CEC" w:rsidRDefault="00C648F2" w:rsidP="00C648F2">
            <w:pPr>
              <w:spacing w:after="0"/>
              <w:rPr>
                <w:color w:val="000000"/>
                <w:sz w:val="20"/>
                <w:szCs w:val="20"/>
              </w:rPr>
            </w:pPr>
          </w:p>
        </w:tc>
        <w:tc>
          <w:tcPr>
            <w:tcW w:w="1276"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14155B1A" w14:textId="77777777" w:rsidR="00C648F2" w:rsidRPr="005C2CEC" w:rsidRDefault="00C648F2" w:rsidP="00C648F2">
            <w:pPr>
              <w:spacing w:after="0"/>
              <w:rPr>
                <w:color w:val="000000"/>
                <w:sz w:val="20"/>
                <w:szCs w:val="20"/>
              </w:rPr>
            </w:pPr>
          </w:p>
        </w:tc>
        <w:tc>
          <w:tcPr>
            <w:tcW w:w="469" w:type="dxa"/>
            <w:tcBorders>
              <w:top w:val="single" w:sz="4" w:space="0" w:color="A6A6A6" w:themeColor="background1" w:themeShade="A6"/>
              <w:left w:val="nil"/>
              <w:bottom w:val="single" w:sz="4" w:space="0" w:color="A6A6A6" w:themeColor="background1" w:themeShade="A6"/>
              <w:right w:val="single" w:sz="18" w:space="0" w:color="002060"/>
            </w:tcBorders>
            <w:shd w:val="clear" w:color="auto" w:fill="auto"/>
            <w:noWrap/>
            <w:tcMar>
              <w:top w:w="15" w:type="dxa"/>
              <w:left w:w="15" w:type="dxa"/>
              <w:bottom w:w="0" w:type="dxa"/>
              <w:right w:w="15" w:type="dxa"/>
            </w:tcMar>
            <w:vAlign w:val="bottom"/>
          </w:tcPr>
          <w:p w14:paraId="1254A05B" w14:textId="77777777" w:rsidR="00C648F2" w:rsidRPr="005C2CEC" w:rsidRDefault="00C648F2" w:rsidP="00C648F2">
            <w:pPr>
              <w:spacing w:after="0"/>
              <w:rPr>
                <w:i/>
                <w:iCs/>
                <w:color w:val="000000"/>
                <w:sz w:val="20"/>
                <w:szCs w:val="20"/>
              </w:rPr>
            </w:pPr>
          </w:p>
        </w:tc>
      </w:tr>
      <w:tr w:rsidR="00226CBB" w:rsidRPr="005C2CEC" w14:paraId="13C0FCAB" w14:textId="77777777" w:rsidTr="00577F95">
        <w:trPr>
          <w:trHeight w:val="389"/>
        </w:trPr>
        <w:tc>
          <w:tcPr>
            <w:tcW w:w="1395" w:type="dxa"/>
            <w:vMerge/>
            <w:tcBorders>
              <w:left w:val="single" w:sz="18" w:space="0" w:color="002060"/>
              <w:right w:val="single" w:sz="4" w:space="0" w:color="BFBFBF"/>
            </w:tcBorders>
            <w:shd w:val="clear" w:color="auto" w:fill="C9C9C9" w:themeFill="accent3" w:themeFillTint="99"/>
            <w:vAlign w:val="center"/>
          </w:tcPr>
          <w:p w14:paraId="053C4F12" w14:textId="77777777" w:rsidR="00226CBB" w:rsidRPr="005C2CEC" w:rsidRDefault="00226CBB" w:rsidP="00226CBB">
            <w:pPr>
              <w:spacing w:after="0"/>
              <w:jc w:val="left"/>
              <w:rPr>
                <w:color w:val="000000"/>
              </w:rPr>
            </w:pPr>
          </w:p>
        </w:tc>
        <w:tc>
          <w:tcPr>
            <w:tcW w:w="2410" w:type="dxa"/>
            <w:tcBorders>
              <w:top w:val="single" w:sz="4" w:space="0" w:color="A6A6A6" w:themeColor="background1" w:themeShade="A6"/>
              <w:left w:val="nil"/>
              <w:bottom w:val="single" w:sz="4" w:space="0" w:color="A6A6A6" w:themeColor="background1" w:themeShade="A6"/>
              <w:right w:val="single" w:sz="4" w:space="0" w:color="BFBFBF"/>
            </w:tcBorders>
            <w:shd w:val="clear" w:color="000000" w:fill="F2F2F2"/>
            <w:tcMar>
              <w:top w:w="15" w:type="dxa"/>
              <w:left w:w="15" w:type="dxa"/>
              <w:bottom w:w="0" w:type="dxa"/>
              <w:right w:w="15" w:type="dxa"/>
            </w:tcMar>
            <w:vAlign w:val="center"/>
          </w:tcPr>
          <w:p w14:paraId="75B22107" w14:textId="2A07B5D7" w:rsidR="00226CBB" w:rsidRPr="005C2CEC" w:rsidRDefault="00226CBB" w:rsidP="00226CBB">
            <w:pPr>
              <w:spacing w:after="0"/>
              <w:jc w:val="left"/>
              <w:rPr>
                <w:color w:val="000000"/>
                <w:sz w:val="20"/>
                <w:szCs w:val="20"/>
                <w:lang w:eastAsia="sk-SK"/>
              </w:rPr>
            </w:pPr>
            <w:r>
              <w:rPr>
                <w:color w:val="000000"/>
                <w:sz w:val="20"/>
                <w:szCs w:val="20"/>
                <w:lang w:eastAsia="sk-SK"/>
              </w:rPr>
              <w:t>Ochrana kritickej infraštruktúry</w:t>
            </w:r>
          </w:p>
        </w:tc>
        <w:tc>
          <w:tcPr>
            <w:tcW w:w="3827" w:type="dxa"/>
            <w:tcBorders>
              <w:top w:val="single" w:sz="4" w:space="0" w:color="A6A6A6" w:themeColor="background1" w:themeShade="A6"/>
              <w:left w:val="nil"/>
              <w:bottom w:val="single" w:sz="4" w:space="0" w:color="A6A6A6" w:themeColor="background1" w:themeShade="A6"/>
              <w:right w:val="single" w:sz="4" w:space="0" w:color="BFBFBF"/>
            </w:tcBorders>
            <w:shd w:val="clear" w:color="000000" w:fill="F2F2F2"/>
            <w:tcMar>
              <w:top w:w="15" w:type="dxa"/>
              <w:left w:w="15" w:type="dxa"/>
              <w:bottom w:w="0" w:type="dxa"/>
              <w:right w:w="15" w:type="dxa"/>
            </w:tcMar>
            <w:vAlign w:val="center"/>
          </w:tcPr>
          <w:p w14:paraId="4DAA1249" w14:textId="5AEFA331" w:rsidR="00226CBB" w:rsidRPr="005C2CEC" w:rsidRDefault="00226CBB" w:rsidP="00226CBB">
            <w:pPr>
              <w:spacing w:after="0"/>
              <w:rPr>
                <w:i/>
                <w:iCs/>
                <w:color w:val="000000"/>
                <w:sz w:val="16"/>
                <w:szCs w:val="16"/>
                <w:lang w:eastAsia="sk-SK"/>
              </w:rPr>
            </w:pPr>
            <w:r w:rsidRPr="00226CBB">
              <w:rPr>
                <w:i/>
                <w:iCs/>
                <w:color w:val="000000"/>
                <w:sz w:val="16"/>
                <w:szCs w:val="16"/>
                <w:lang w:eastAsia="sk-SK"/>
              </w:rPr>
              <w:t>Investícia zvyšuje ochranu prvkov kritickej infraštruktúry štátu</w:t>
            </w:r>
          </w:p>
        </w:tc>
        <w:tc>
          <w:tcPr>
            <w:tcW w:w="992"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center"/>
          </w:tcPr>
          <w:p w14:paraId="108C6765" w14:textId="4D2988BE" w:rsidR="00226CBB" w:rsidRPr="005C2CEC" w:rsidRDefault="00226CBB" w:rsidP="00226CBB">
            <w:pPr>
              <w:spacing w:after="0"/>
              <w:jc w:val="center"/>
              <w:rPr>
                <w:sz w:val="20"/>
                <w:szCs w:val="20"/>
              </w:rPr>
            </w:pPr>
            <w:r w:rsidRPr="005C2CEC">
              <w:rPr>
                <w:sz w:val="20"/>
                <w:szCs w:val="20"/>
              </w:rPr>
              <w:t>ÁNO / NIE</w:t>
            </w:r>
          </w:p>
        </w:tc>
        <w:tc>
          <w:tcPr>
            <w:tcW w:w="1418"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75673E3E" w14:textId="77777777" w:rsidR="00226CBB" w:rsidRPr="005C2CEC" w:rsidRDefault="00226CBB" w:rsidP="00226CBB">
            <w:pPr>
              <w:spacing w:after="0"/>
              <w:jc w:val="left"/>
              <w:rPr>
                <w:color w:val="000000"/>
                <w:sz w:val="20"/>
                <w:szCs w:val="20"/>
              </w:rPr>
            </w:pPr>
          </w:p>
        </w:tc>
        <w:tc>
          <w:tcPr>
            <w:tcW w:w="1559"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14CBC557" w14:textId="77777777" w:rsidR="00226CBB" w:rsidRPr="005C2CEC" w:rsidRDefault="00226CBB" w:rsidP="00226CBB">
            <w:pPr>
              <w:spacing w:after="0"/>
              <w:rPr>
                <w:color w:val="000000"/>
                <w:sz w:val="20"/>
                <w:szCs w:val="20"/>
              </w:rPr>
            </w:pPr>
          </w:p>
        </w:tc>
        <w:tc>
          <w:tcPr>
            <w:tcW w:w="1134"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685E54F9" w14:textId="77777777" w:rsidR="00226CBB" w:rsidRPr="005C2CEC" w:rsidRDefault="00226CBB" w:rsidP="00226CBB">
            <w:pPr>
              <w:spacing w:after="0"/>
              <w:rPr>
                <w:color w:val="000000"/>
                <w:sz w:val="20"/>
                <w:szCs w:val="20"/>
              </w:rPr>
            </w:pPr>
          </w:p>
        </w:tc>
        <w:tc>
          <w:tcPr>
            <w:tcW w:w="1276"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05EEC168" w14:textId="77777777" w:rsidR="00226CBB" w:rsidRPr="005C2CEC" w:rsidRDefault="00226CBB" w:rsidP="00226CBB">
            <w:pPr>
              <w:spacing w:after="0"/>
              <w:rPr>
                <w:color w:val="000000"/>
                <w:sz w:val="20"/>
                <w:szCs w:val="20"/>
              </w:rPr>
            </w:pPr>
          </w:p>
        </w:tc>
        <w:tc>
          <w:tcPr>
            <w:tcW w:w="469" w:type="dxa"/>
            <w:tcBorders>
              <w:top w:val="single" w:sz="4" w:space="0" w:color="A6A6A6" w:themeColor="background1" w:themeShade="A6"/>
              <w:left w:val="nil"/>
              <w:bottom w:val="single" w:sz="4" w:space="0" w:color="A6A6A6" w:themeColor="background1" w:themeShade="A6"/>
              <w:right w:val="single" w:sz="18" w:space="0" w:color="002060"/>
            </w:tcBorders>
            <w:shd w:val="clear" w:color="auto" w:fill="auto"/>
            <w:noWrap/>
            <w:tcMar>
              <w:top w:w="15" w:type="dxa"/>
              <w:left w:w="15" w:type="dxa"/>
              <w:bottom w:w="0" w:type="dxa"/>
              <w:right w:w="15" w:type="dxa"/>
            </w:tcMar>
            <w:vAlign w:val="bottom"/>
          </w:tcPr>
          <w:p w14:paraId="337E6A4E" w14:textId="77777777" w:rsidR="00226CBB" w:rsidRPr="005C2CEC" w:rsidRDefault="00226CBB" w:rsidP="00226CBB">
            <w:pPr>
              <w:spacing w:after="0"/>
              <w:rPr>
                <w:i/>
                <w:iCs/>
                <w:color w:val="000000"/>
                <w:sz w:val="20"/>
                <w:szCs w:val="20"/>
              </w:rPr>
            </w:pPr>
          </w:p>
        </w:tc>
      </w:tr>
      <w:tr w:rsidR="00226CBB" w:rsidRPr="005C2CEC" w14:paraId="721B0DB8" w14:textId="77777777" w:rsidTr="00577F95">
        <w:trPr>
          <w:trHeight w:val="106"/>
        </w:trPr>
        <w:tc>
          <w:tcPr>
            <w:tcW w:w="1395" w:type="dxa"/>
            <w:vMerge/>
            <w:tcBorders>
              <w:left w:val="single" w:sz="18" w:space="0" w:color="002060"/>
              <w:right w:val="single" w:sz="4" w:space="0" w:color="BFBFBF"/>
            </w:tcBorders>
            <w:shd w:val="clear" w:color="auto" w:fill="C9C9C9" w:themeFill="accent3" w:themeFillTint="99"/>
            <w:vAlign w:val="center"/>
          </w:tcPr>
          <w:p w14:paraId="3F5A708F" w14:textId="77777777" w:rsidR="00226CBB" w:rsidRPr="005C2CEC" w:rsidRDefault="00226CBB" w:rsidP="00226CBB">
            <w:pPr>
              <w:spacing w:after="0"/>
              <w:jc w:val="left"/>
              <w:rPr>
                <w:color w:val="000000"/>
              </w:rPr>
            </w:pPr>
          </w:p>
        </w:tc>
        <w:tc>
          <w:tcPr>
            <w:tcW w:w="2410" w:type="dxa"/>
            <w:tcBorders>
              <w:top w:val="single" w:sz="4" w:space="0" w:color="A6A6A6" w:themeColor="background1" w:themeShade="A6"/>
              <w:left w:val="nil"/>
              <w:bottom w:val="single" w:sz="4" w:space="0" w:color="A6A6A6" w:themeColor="background1" w:themeShade="A6"/>
              <w:right w:val="single" w:sz="4" w:space="0" w:color="BFBFBF"/>
            </w:tcBorders>
            <w:shd w:val="clear" w:color="000000" w:fill="F2F2F2"/>
            <w:tcMar>
              <w:top w:w="15" w:type="dxa"/>
              <w:left w:w="15" w:type="dxa"/>
              <w:bottom w:w="0" w:type="dxa"/>
              <w:right w:w="15" w:type="dxa"/>
            </w:tcMar>
            <w:vAlign w:val="center"/>
          </w:tcPr>
          <w:p w14:paraId="0B9CE117" w14:textId="16CE44CD" w:rsidR="00226CBB" w:rsidRPr="005C2CEC" w:rsidRDefault="00226CBB" w:rsidP="00226CBB">
            <w:pPr>
              <w:spacing w:after="0"/>
              <w:jc w:val="left"/>
              <w:rPr>
                <w:color w:val="000000"/>
                <w:sz w:val="20"/>
                <w:szCs w:val="20"/>
              </w:rPr>
            </w:pPr>
            <w:r w:rsidRPr="005C2CEC">
              <w:rPr>
                <w:color w:val="000000"/>
                <w:sz w:val="20"/>
                <w:szCs w:val="20"/>
                <w:lang w:eastAsia="sk-SK"/>
              </w:rPr>
              <w:t>Civilná ochrana</w:t>
            </w:r>
          </w:p>
        </w:tc>
        <w:tc>
          <w:tcPr>
            <w:tcW w:w="3827" w:type="dxa"/>
            <w:tcBorders>
              <w:top w:val="single" w:sz="4" w:space="0" w:color="A6A6A6" w:themeColor="background1" w:themeShade="A6"/>
              <w:left w:val="nil"/>
              <w:bottom w:val="single" w:sz="4" w:space="0" w:color="A6A6A6" w:themeColor="background1" w:themeShade="A6"/>
              <w:right w:val="single" w:sz="4" w:space="0" w:color="BFBFBF"/>
            </w:tcBorders>
            <w:shd w:val="clear" w:color="000000" w:fill="F2F2F2"/>
            <w:tcMar>
              <w:top w:w="15" w:type="dxa"/>
              <w:left w:w="15" w:type="dxa"/>
              <w:bottom w:w="0" w:type="dxa"/>
              <w:right w:w="15" w:type="dxa"/>
            </w:tcMar>
            <w:vAlign w:val="center"/>
          </w:tcPr>
          <w:p w14:paraId="1C73D93E" w14:textId="02323562" w:rsidR="00226CBB" w:rsidRPr="005C2CEC" w:rsidRDefault="00226CBB" w:rsidP="00226CBB">
            <w:pPr>
              <w:spacing w:after="0"/>
              <w:rPr>
                <w:i/>
                <w:iCs/>
                <w:color w:val="000000"/>
                <w:sz w:val="16"/>
                <w:szCs w:val="16"/>
              </w:rPr>
            </w:pPr>
            <w:r w:rsidRPr="005C2CEC">
              <w:rPr>
                <w:i/>
                <w:iCs/>
                <w:color w:val="000000"/>
                <w:sz w:val="16"/>
                <w:szCs w:val="16"/>
                <w:lang w:eastAsia="sk-SK"/>
              </w:rPr>
              <w:t>Investícia zlepšuje prípravu a zabezpečenie civilnej ochrany</w:t>
            </w:r>
          </w:p>
        </w:tc>
        <w:tc>
          <w:tcPr>
            <w:tcW w:w="992"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center"/>
          </w:tcPr>
          <w:p w14:paraId="2361E79B" w14:textId="5B3699F6" w:rsidR="00226CBB" w:rsidRPr="005C2CEC" w:rsidRDefault="00226CBB" w:rsidP="00226CBB">
            <w:pPr>
              <w:spacing w:after="0"/>
              <w:jc w:val="center"/>
              <w:rPr>
                <w:sz w:val="20"/>
                <w:szCs w:val="20"/>
              </w:rPr>
            </w:pPr>
            <w:r w:rsidRPr="005C2CEC">
              <w:rPr>
                <w:sz w:val="20"/>
                <w:szCs w:val="20"/>
              </w:rPr>
              <w:t>ÁNO / NIE</w:t>
            </w:r>
          </w:p>
        </w:tc>
        <w:tc>
          <w:tcPr>
            <w:tcW w:w="1418"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7DFEF51B" w14:textId="77777777" w:rsidR="00226CBB" w:rsidRPr="005C2CEC" w:rsidRDefault="00226CBB" w:rsidP="00226CBB">
            <w:pPr>
              <w:spacing w:after="0"/>
              <w:jc w:val="left"/>
              <w:rPr>
                <w:color w:val="000000"/>
                <w:sz w:val="20"/>
                <w:szCs w:val="20"/>
              </w:rPr>
            </w:pPr>
          </w:p>
        </w:tc>
        <w:tc>
          <w:tcPr>
            <w:tcW w:w="1559"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390DF7CF" w14:textId="77777777" w:rsidR="00226CBB" w:rsidRPr="005C2CEC" w:rsidRDefault="00226CBB" w:rsidP="00226CBB">
            <w:pPr>
              <w:spacing w:after="0"/>
              <w:rPr>
                <w:color w:val="000000"/>
                <w:sz w:val="20"/>
                <w:szCs w:val="20"/>
              </w:rPr>
            </w:pPr>
          </w:p>
        </w:tc>
        <w:tc>
          <w:tcPr>
            <w:tcW w:w="1134"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67E8825C" w14:textId="77777777" w:rsidR="00226CBB" w:rsidRPr="005C2CEC" w:rsidRDefault="00226CBB" w:rsidP="00226CBB">
            <w:pPr>
              <w:spacing w:after="0"/>
              <w:rPr>
                <w:color w:val="000000"/>
                <w:sz w:val="20"/>
                <w:szCs w:val="20"/>
              </w:rPr>
            </w:pPr>
          </w:p>
        </w:tc>
        <w:tc>
          <w:tcPr>
            <w:tcW w:w="1276"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5DDDEC2C" w14:textId="77777777" w:rsidR="00226CBB" w:rsidRPr="005C2CEC" w:rsidRDefault="00226CBB" w:rsidP="00226CBB">
            <w:pPr>
              <w:spacing w:after="0"/>
              <w:rPr>
                <w:color w:val="000000"/>
                <w:sz w:val="20"/>
                <w:szCs w:val="20"/>
              </w:rPr>
            </w:pPr>
          </w:p>
        </w:tc>
        <w:tc>
          <w:tcPr>
            <w:tcW w:w="469" w:type="dxa"/>
            <w:tcBorders>
              <w:top w:val="single" w:sz="4" w:space="0" w:color="A6A6A6" w:themeColor="background1" w:themeShade="A6"/>
              <w:left w:val="nil"/>
              <w:bottom w:val="single" w:sz="4" w:space="0" w:color="A6A6A6" w:themeColor="background1" w:themeShade="A6"/>
              <w:right w:val="single" w:sz="18" w:space="0" w:color="002060"/>
            </w:tcBorders>
            <w:shd w:val="clear" w:color="auto" w:fill="auto"/>
            <w:noWrap/>
            <w:tcMar>
              <w:top w:w="15" w:type="dxa"/>
              <w:left w:w="15" w:type="dxa"/>
              <w:bottom w:w="0" w:type="dxa"/>
              <w:right w:w="15" w:type="dxa"/>
            </w:tcMar>
            <w:vAlign w:val="bottom"/>
          </w:tcPr>
          <w:p w14:paraId="25BA2B47" w14:textId="77777777" w:rsidR="00226CBB" w:rsidRPr="005C2CEC" w:rsidRDefault="00226CBB" w:rsidP="00226CBB">
            <w:pPr>
              <w:spacing w:after="0"/>
              <w:rPr>
                <w:i/>
                <w:iCs/>
                <w:color w:val="000000"/>
                <w:sz w:val="20"/>
                <w:szCs w:val="20"/>
              </w:rPr>
            </w:pPr>
          </w:p>
        </w:tc>
      </w:tr>
      <w:tr w:rsidR="00226CBB" w:rsidRPr="005C2CEC" w14:paraId="05D2FFC6" w14:textId="77777777" w:rsidTr="00577F95">
        <w:trPr>
          <w:trHeight w:val="226"/>
        </w:trPr>
        <w:tc>
          <w:tcPr>
            <w:tcW w:w="1395" w:type="dxa"/>
            <w:vMerge/>
            <w:tcBorders>
              <w:left w:val="single" w:sz="18" w:space="0" w:color="002060"/>
              <w:right w:val="single" w:sz="4" w:space="0" w:color="BFBFBF"/>
            </w:tcBorders>
            <w:shd w:val="clear" w:color="auto" w:fill="C9C9C9" w:themeFill="accent3" w:themeFillTint="99"/>
            <w:vAlign w:val="center"/>
          </w:tcPr>
          <w:p w14:paraId="539284DB" w14:textId="77777777" w:rsidR="00226CBB" w:rsidRPr="005C2CEC" w:rsidRDefault="00226CBB" w:rsidP="00226CBB">
            <w:pPr>
              <w:spacing w:after="0"/>
              <w:jc w:val="left"/>
              <w:rPr>
                <w:color w:val="000000"/>
              </w:rPr>
            </w:pPr>
          </w:p>
        </w:tc>
        <w:tc>
          <w:tcPr>
            <w:tcW w:w="2410" w:type="dxa"/>
            <w:tcBorders>
              <w:top w:val="single" w:sz="4" w:space="0" w:color="A6A6A6" w:themeColor="background1" w:themeShade="A6"/>
              <w:left w:val="nil"/>
              <w:bottom w:val="single" w:sz="4" w:space="0" w:color="A6A6A6" w:themeColor="background1" w:themeShade="A6"/>
              <w:right w:val="single" w:sz="4" w:space="0" w:color="BFBFBF"/>
            </w:tcBorders>
            <w:shd w:val="clear" w:color="000000" w:fill="F2F2F2"/>
            <w:tcMar>
              <w:top w:w="15" w:type="dxa"/>
              <w:left w:w="15" w:type="dxa"/>
              <w:bottom w:w="0" w:type="dxa"/>
              <w:right w:w="15" w:type="dxa"/>
            </w:tcMar>
            <w:vAlign w:val="center"/>
          </w:tcPr>
          <w:p w14:paraId="36FFB31B" w14:textId="58BD5666" w:rsidR="00226CBB" w:rsidRPr="005C2CEC" w:rsidRDefault="00226CBB" w:rsidP="00226CBB">
            <w:pPr>
              <w:spacing w:after="0"/>
              <w:jc w:val="left"/>
              <w:rPr>
                <w:color w:val="000000"/>
                <w:sz w:val="20"/>
                <w:szCs w:val="20"/>
              </w:rPr>
            </w:pPr>
            <w:r w:rsidRPr="005C2CEC">
              <w:rPr>
                <w:color w:val="000000"/>
                <w:sz w:val="20"/>
                <w:szCs w:val="20"/>
                <w:lang w:eastAsia="sk-SK"/>
              </w:rPr>
              <w:t>Odolnosť voči hybridným hrozbám</w:t>
            </w:r>
          </w:p>
        </w:tc>
        <w:tc>
          <w:tcPr>
            <w:tcW w:w="3827" w:type="dxa"/>
            <w:tcBorders>
              <w:top w:val="single" w:sz="4" w:space="0" w:color="A6A6A6" w:themeColor="background1" w:themeShade="A6"/>
              <w:left w:val="nil"/>
              <w:bottom w:val="single" w:sz="4" w:space="0" w:color="A6A6A6" w:themeColor="background1" w:themeShade="A6"/>
              <w:right w:val="single" w:sz="4" w:space="0" w:color="BFBFBF"/>
            </w:tcBorders>
            <w:shd w:val="clear" w:color="000000" w:fill="F2F2F2"/>
            <w:tcMar>
              <w:top w:w="15" w:type="dxa"/>
              <w:left w:w="15" w:type="dxa"/>
              <w:bottom w:w="0" w:type="dxa"/>
              <w:right w:w="15" w:type="dxa"/>
            </w:tcMar>
            <w:vAlign w:val="center"/>
          </w:tcPr>
          <w:p w14:paraId="0A86DBB8" w14:textId="72A86456" w:rsidR="00226CBB" w:rsidRPr="005C2CEC" w:rsidRDefault="00226CBB" w:rsidP="00226CBB">
            <w:pPr>
              <w:spacing w:after="0"/>
              <w:rPr>
                <w:i/>
                <w:iCs/>
                <w:color w:val="000000"/>
                <w:sz w:val="16"/>
                <w:szCs w:val="16"/>
              </w:rPr>
            </w:pPr>
            <w:r w:rsidRPr="005C2CEC">
              <w:rPr>
                <w:i/>
                <w:iCs/>
                <w:color w:val="000000"/>
                <w:sz w:val="16"/>
                <w:szCs w:val="16"/>
                <w:lang w:eastAsia="sk-SK"/>
              </w:rPr>
              <w:t xml:space="preserve">Investícia zlepšuje odolnosť obyvateľov a inštitúcií voči hybridným hrozbám </w:t>
            </w:r>
          </w:p>
        </w:tc>
        <w:tc>
          <w:tcPr>
            <w:tcW w:w="992"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center"/>
          </w:tcPr>
          <w:p w14:paraId="72A7CB34" w14:textId="411E3CEA" w:rsidR="00226CBB" w:rsidRPr="005C2CEC" w:rsidRDefault="00226CBB" w:rsidP="00226CBB">
            <w:pPr>
              <w:spacing w:after="0"/>
              <w:jc w:val="center"/>
              <w:rPr>
                <w:sz w:val="20"/>
                <w:szCs w:val="20"/>
              </w:rPr>
            </w:pPr>
            <w:r w:rsidRPr="005C2CEC">
              <w:rPr>
                <w:sz w:val="20"/>
                <w:szCs w:val="20"/>
              </w:rPr>
              <w:t>ÁNO / NIE</w:t>
            </w:r>
          </w:p>
        </w:tc>
        <w:tc>
          <w:tcPr>
            <w:tcW w:w="1418"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2A2B6DEC" w14:textId="77777777" w:rsidR="00226CBB" w:rsidRPr="005C2CEC" w:rsidRDefault="00226CBB" w:rsidP="00226CBB">
            <w:pPr>
              <w:spacing w:after="0"/>
              <w:jc w:val="left"/>
              <w:rPr>
                <w:color w:val="000000"/>
                <w:sz w:val="20"/>
                <w:szCs w:val="20"/>
              </w:rPr>
            </w:pPr>
          </w:p>
        </w:tc>
        <w:tc>
          <w:tcPr>
            <w:tcW w:w="1559"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5F24BD17" w14:textId="77777777" w:rsidR="00226CBB" w:rsidRPr="005C2CEC" w:rsidRDefault="00226CBB" w:rsidP="00226CBB">
            <w:pPr>
              <w:spacing w:after="0"/>
              <w:rPr>
                <w:color w:val="000000"/>
                <w:sz w:val="20"/>
                <w:szCs w:val="20"/>
              </w:rPr>
            </w:pPr>
          </w:p>
        </w:tc>
        <w:tc>
          <w:tcPr>
            <w:tcW w:w="1134"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1F770AB4" w14:textId="77777777" w:rsidR="00226CBB" w:rsidRPr="005C2CEC" w:rsidRDefault="00226CBB" w:rsidP="00226CBB">
            <w:pPr>
              <w:spacing w:after="0"/>
              <w:rPr>
                <w:color w:val="000000"/>
                <w:sz w:val="20"/>
                <w:szCs w:val="20"/>
              </w:rPr>
            </w:pPr>
          </w:p>
        </w:tc>
        <w:tc>
          <w:tcPr>
            <w:tcW w:w="1276" w:type="dxa"/>
            <w:tcBorders>
              <w:top w:val="single" w:sz="4" w:space="0" w:color="A6A6A6" w:themeColor="background1" w:themeShade="A6"/>
              <w:left w:val="nil"/>
              <w:bottom w:val="single" w:sz="4" w:space="0" w:color="A6A6A6" w:themeColor="background1" w:themeShade="A6"/>
              <w:right w:val="single" w:sz="4" w:space="0" w:color="BFBFBF"/>
            </w:tcBorders>
            <w:shd w:val="clear" w:color="auto" w:fill="auto"/>
            <w:noWrap/>
            <w:tcMar>
              <w:top w:w="15" w:type="dxa"/>
              <w:left w:w="15" w:type="dxa"/>
              <w:bottom w:w="0" w:type="dxa"/>
              <w:right w:w="15" w:type="dxa"/>
            </w:tcMar>
            <w:vAlign w:val="bottom"/>
          </w:tcPr>
          <w:p w14:paraId="34E24BB8" w14:textId="77777777" w:rsidR="00226CBB" w:rsidRPr="005C2CEC" w:rsidRDefault="00226CBB" w:rsidP="00226CBB">
            <w:pPr>
              <w:spacing w:after="0"/>
              <w:rPr>
                <w:color w:val="000000"/>
                <w:sz w:val="20"/>
                <w:szCs w:val="20"/>
              </w:rPr>
            </w:pPr>
          </w:p>
        </w:tc>
        <w:tc>
          <w:tcPr>
            <w:tcW w:w="469" w:type="dxa"/>
            <w:tcBorders>
              <w:top w:val="single" w:sz="4" w:space="0" w:color="A6A6A6" w:themeColor="background1" w:themeShade="A6"/>
              <w:left w:val="nil"/>
              <w:bottom w:val="single" w:sz="4" w:space="0" w:color="A6A6A6" w:themeColor="background1" w:themeShade="A6"/>
              <w:right w:val="single" w:sz="18" w:space="0" w:color="002060"/>
            </w:tcBorders>
            <w:shd w:val="clear" w:color="auto" w:fill="auto"/>
            <w:noWrap/>
            <w:tcMar>
              <w:top w:w="15" w:type="dxa"/>
              <w:left w:w="15" w:type="dxa"/>
              <w:bottom w:w="0" w:type="dxa"/>
              <w:right w:w="15" w:type="dxa"/>
            </w:tcMar>
            <w:vAlign w:val="bottom"/>
          </w:tcPr>
          <w:p w14:paraId="687FB1C0" w14:textId="77777777" w:rsidR="00226CBB" w:rsidRPr="005C2CEC" w:rsidRDefault="00226CBB" w:rsidP="00226CBB">
            <w:pPr>
              <w:spacing w:after="0"/>
              <w:rPr>
                <w:i/>
                <w:iCs/>
                <w:color w:val="000000"/>
                <w:sz w:val="20"/>
                <w:szCs w:val="20"/>
              </w:rPr>
            </w:pPr>
          </w:p>
        </w:tc>
      </w:tr>
      <w:tr w:rsidR="00226CBB" w:rsidRPr="005C2CEC" w14:paraId="3B708E47" w14:textId="77777777" w:rsidTr="00577F95">
        <w:trPr>
          <w:trHeight w:val="389"/>
        </w:trPr>
        <w:tc>
          <w:tcPr>
            <w:tcW w:w="1395" w:type="dxa"/>
            <w:vMerge/>
            <w:tcBorders>
              <w:left w:val="single" w:sz="18" w:space="0" w:color="002060"/>
              <w:bottom w:val="single" w:sz="18" w:space="0" w:color="002060"/>
              <w:right w:val="single" w:sz="4" w:space="0" w:color="BFBFBF"/>
            </w:tcBorders>
            <w:shd w:val="clear" w:color="auto" w:fill="C9C9C9" w:themeFill="accent3" w:themeFillTint="99"/>
            <w:vAlign w:val="center"/>
          </w:tcPr>
          <w:p w14:paraId="14BD8B4A" w14:textId="77777777" w:rsidR="00226CBB" w:rsidRPr="005C2CEC" w:rsidRDefault="00226CBB" w:rsidP="00226CBB">
            <w:pPr>
              <w:spacing w:after="0"/>
              <w:jc w:val="left"/>
              <w:rPr>
                <w:color w:val="000000"/>
              </w:rPr>
            </w:pPr>
          </w:p>
        </w:tc>
        <w:tc>
          <w:tcPr>
            <w:tcW w:w="2410" w:type="dxa"/>
            <w:tcBorders>
              <w:top w:val="single" w:sz="4" w:space="0" w:color="A6A6A6" w:themeColor="background1" w:themeShade="A6"/>
              <w:left w:val="nil"/>
              <w:bottom w:val="single" w:sz="18" w:space="0" w:color="002060"/>
              <w:right w:val="single" w:sz="4" w:space="0" w:color="BFBFBF"/>
            </w:tcBorders>
            <w:shd w:val="clear" w:color="000000" w:fill="F2F2F2"/>
            <w:tcMar>
              <w:top w:w="15" w:type="dxa"/>
              <w:left w:w="15" w:type="dxa"/>
              <w:bottom w:w="0" w:type="dxa"/>
              <w:right w:w="15" w:type="dxa"/>
            </w:tcMar>
            <w:vAlign w:val="center"/>
          </w:tcPr>
          <w:p w14:paraId="46956528" w14:textId="4013B8A5" w:rsidR="00226CBB" w:rsidRPr="005C2CEC" w:rsidRDefault="00226CBB" w:rsidP="00226CBB">
            <w:pPr>
              <w:spacing w:after="0"/>
              <w:jc w:val="left"/>
              <w:rPr>
                <w:color w:val="000000"/>
                <w:sz w:val="20"/>
                <w:szCs w:val="20"/>
              </w:rPr>
            </w:pPr>
            <w:r w:rsidRPr="005C2CEC">
              <w:rPr>
                <w:color w:val="000000"/>
                <w:sz w:val="20"/>
                <w:szCs w:val="20"/>
                <w:lang w:eastAsia="sk-SK"/>
              </w:rPr>
              <w:t>Iné vplyvy projektu</w:t>
            </w:r>
          </w:p>
        </w:tc>
        <w:tc>
          <w:tcPr>
            <w:tcW w:w="3827" w:type="dxa"/>
            <w:tcBorders>
              <w:top w:val="single" w:sz="4" w:space="0" w:color="A6A6A6" w:themeColor="background1" w:themeShade="A6"/>
              <w:left w:val="nil"/>
              <w:bottom w:val="single" w:sz="18" w:space="0" w:color="002060"/>
              <w:right w:val="single" w:sz="4" w:space="0" w:color="BFBFBF"/>
            </w:tcBorders>
            <w:shd w:val="clear" w:color="000000" w:fill="F2F2F2"/>
            <w:tcMar>
              <w:top w:w="15" w:type="dxa"/>
              <w:left w:w="15" w:type="dxa"/>
              <w:bottom w:w="0" w:type="dxa"/>
              <w:right w:w="15" w:type="dxa"/>
            </w:tcMar>
            <w:vAlign w:val="center"/>
          </w:tcPr>
          <w:p w14:paraId="6C56901D" w14:textId="4F9F7166" w:rsidR="00226CBB" w:rsidRPr="005C2CEC" w:rsidRDefault="00226CBB" w:rsidP="00226CBB">
            <w:pPr>
              <w:spacing w:after="0"/>
              <w:rPr>
                <w:i/>
                <w:iCs/>
                <w:color w:val="000000"/>
                <w:sz w:val="16"/>
                <w:szCs w:val="16"/>
              </w:rPr>
            </w:pPr>
            <w:r w:rsidRPr="005C2CEC">
              <w:rPr>
                <w:i/>
                <w:iCs/>
                <w:color w:val="000000"/>
                <w:sz w:val="16"/>
                <w:szCs w:val="16"/>
                <w:lang w:eastAsia="sk-SK"/>
              </w:rPr>
              <w:t>Akékoľvek iné relevantné vplyvy projektu</w:t>
            </w:r>
          </w:p>
        </w:tc>
        <w:tc>
          <w:tcPr>
            <w:tcW w:w="992" w:type="dxa"/>
            <w:tcBorders>
              <w:top w:val="single" w:sz="4" w:space="0" w:color="A6A6A6" w:themeColor="background1" w:themeShade="A6"/>
              <w:left w:val="nil"/>
              <w:bottom w:val="single" w:sz="18" w:space="0" w:color="002060"/>
              <w:right w:val="single" w:sz="4" w:space="0" w:color="BFBFBF"/>
            </w:tcBorders>
            <w:shd w:val="clear" w:color="auto" w:fill="auto"/>
            <w:noWrap/>
            <w:tcMar>
              <w:top w:w="15" w:type="dxa"/>
              <w:left w:w="15" w:type="dxa"/>
              <w:bottom w:w="0" w:type="dxa"/>
              <w:right w:w="15" w:type="dxa"/>
            </w:tcMar>
            <w:vAlign w:val="center"/>
          </w:tcPr>
          <w:p w14:paraId="4FE3878B" w14:textId="32CE3FA1" w:rsidR="00226CBB" w:rsidRPr="005C2CEC" w:rsidRDefault="00226CBB" w:rsidP="00226CBB">
            <w:pPr>
              <w:spacing w:after="0"/>
              <w:jc w:val="center"/>
              <w:rPr>
                <w:sz w:val="20"/>
                <w:szCs w:val="20"/>
              </w:rPr>
            </w:pPr>
            <w:r w:rsidRPr="005C2CEC">
              <w:rPr>
                <w:sz w:val="20"/>
                <w:szCs w:val="20"/>
              </w:rPr>
              <w:t>ÁNO / NIE</w:t>
            </w:r>
          </w:p>
        </w:tc>
        <w:tc>
          <w:tcPr>
            <w:tcW w:w="1418" w:type="dxa"/>
            <w:tcBorders>
              <w:top w:val="single" w:sz="4" w:space="0" w:color="A6A6A6" w:themeColor="background1" w:themeShade="A6"/>
              <w:left w:val="nil"/>
              <w:bottom w:val="single" w:sz="18" w:space="0" w:color="002060"/>
              <w:right w:val="single" w:sz="4" w:space="0" w:color="BFBFBF"/>
            </w:tcBorders>
            <w:shd w:val="clear" w:color="auto" w:fill="auto"/>
            <w:noWrap/>
            <w:tcMar>
              <w:top w:w="15" w:type="dxa"/>
              <w:left w:w="15" w:type="dxa"/>
              <w:bottom w:w="0" w:type="dxa"/>
              <w:right w:w="15" w:type="dxa"/>
            </w:tcMar>
            <w:vAlign w:val="bottom"/>
          </w:tcPr>
          <w:p w14:paraId="66D3C59F" w14:textId="77777777" w:rsidR="00226CBB" w:rsidRPr="005C2CEC" w:rsidRDefault="00226CBB" w:rsidP="00226CBB">
            <w:pPr>
              <w:spacing w:after="0"/>
              <w:jc w:val="left"/>
              <w:rPr>
                <w:color w:val="000000"/>
                <w:sz w:val="20"/>
                <w:szCs w:val="20"/>
              </w:rPr>
            </w:pPr>
          </w:p>
        </w:tc>
        <w:tc>
          <w:tcPr>
            <w:tcW w:w="1559" w:type="dxa"/>
            <w:tcBorders>
              <w:top w:val="single" w:sz="4" w:space="0" w:color="A6A6A6" w:themeColor="background1" w:themeShade="A6"/>
              <w:left w:val="nil"/>
              <w:bottom w:val="single" w:sz="18" w:space="0" w:color="002060"/>
              <w:right w:val="single" w:sz="4" w:space="0" w:color="BFBFBF"/>
            </w:tcBorders>
            <w:shd w:val="clear" w:color="auto" w:fill="auto"/>
            <w:noWrap/>
            <w:tcMar>
              <w:top w:w="15" w:type="dxa"/>
              <w:left w:w="15" w:type="dxa"/>
              <w:bottom w:w="0" w:type="dxa"/>
              <w:right w:w="15" w:type="dxa"/>
            </w:tcMar>
            <w:vAlign w:val="bottom"/>
          </w:tcPr>
          <w:p w14:paraId="655154B4" w14:textId="77777777" w:rsidR="00226CBB" w:rsidRPr="005C2CEC" w:rsidRDefault="00226CBB" w:rsidP="00226CBB">
            <w:pPr>
              <w:spacing w:after="0"/>
              <w:rPr>
                <w:color w:val="000000"/>
                <w:sz w:val="20"/>
                <w:szCs w:val="20"/>
              </w:rPr>
            </w:pPr>
          </w:p>
        </w:tc>
        <w:tc>
          <w:tcPr>
            <w:tcW w:w="1134" w:type="dxa"/>
            <w:tcBorders>
              <w:top w:val="single" w:sz="4" w:space="0" w:color="A6A6A6" w:themeColor="background1" w:themeShade="A6"/>
              <w:left w:val="nil"/>
              <w:bottom w:val="single" w:sz="18" w:space="0" w:color="002060"/>
              <w:right w:val="single" w:sz="4" w:space="0" w:color="BFBFBF"/>
            </w:tcBorders>
            <w:shd w:val="clear" w:color="auto" w:fill="auto"/>
            <w:noWrap/>
            <w:tcMar>
              <w:top w:w="15" w:type="dxa"/>
              <w:left w:w="15" w:type="dxa"/>
              <w:bottom w:w="0" w:type="dxa"/>
              <w:right w:w="15" w:type="dxa"/>
            </w:tcMar>
            <w:vAlign w:val="bottom"/>
          </w:tcPr>
          <w:p w14:paraId="7C2B6576" w14:textId="77777777" w:rsidR="00226CBB" w:rsidRPr="005C2CEC" w:rsidRDefault="00226CBB" w:rsidP="00226CBB">
            <w:pPr>
              <w:spacing w:after="0"/>
              <w:rPr>
                <w:color w:val="000000"/>
                <w:sz w:val="20"/>
                <w:szCs w:val="20"/>
              </w:rPr>
            </w:pPr>
          </w:p>
        </w:tc>
        <w:tc>
          <w:tcPr>
            <w:tcW w:w="1276" w:type="dxa"/>
            <w:tcBorders>
              <w:top w:val="single" w:sz="4" w:space="0" w:color="A6A6A6" w:themeColor="background1" w:themeShade="A6"/>
              <w:left w:val="nil"/>
              <w:bottom w:val="single" w:sz="18" w:space="0" w:color="002060"/>
              <w:right w:val="single" w:sz="4" w:space="0" w:color="BFBFBF"/>
            </w:tcBorders>
            <w:shd w:val="clear" w:color="auto" w:fill="auto"/>
            <w:noWrap/>
            <w:tcMar>
              <w:top w:w="15" w:type="dxa"/>
              <w:left w:w="15" w:type="dxa"/>
              <w:bottom w:w="0" w:type="dxa"/>
              <w:right w:w="15" w:type="dxa"/>
            </w:tcMar>
            <w:vAlign w:val="bottom"/>
          </w:tcPr>
          <w:p w14:paraId="27E06B89" w14:textId="77777777" w:rsidR="00226CBB" w:rsidRPr="005C2CEC" w:rsidRDefault="00226CBB" w:rsidP="00226CBB">
            <w:pPr>
              <w:spacing w:after="0"/>
              <w:rPr>
                <w:color w:val="000000"/>
                <w:sz w:val="20"/>
                <w:szCs w:val="20"/>
              </w:rPr>
            </w:pPr>
          </w:p>
        </w:tc>
        <w:tc>
          <w:tcPr>
            <w:tcW w:w="469" w:type="dxa"/>
            <w:tcBorders>
              <w:top w:val="single" w:sz="4" w:space="0" w:color="A6A6A6" w:themeColor="background1" w:themeShade="A6"/>
              <w:left w:val="nil"/>
              <w:bottom w:val="single" w:sz="18" w:space="0" w:color="002060"/>
              <w:right w:val="single" w:sz="18" w:space="0" w:color="002060"/>
            </w:tcBorders>
            <w:shd w:val="clear" w:color="auto" w:fill="auto"/>
            <w:noWrap/>
            <w:tcMar>
              <w:top w:w="15" w:type="dxa"/>
              <w:left w:w="15" w:type="dxa"/>
              <w:bottom w:w="0" w:type="dxa"/>
              <w:right w:w="15" w:type="dxa"/>
            </w:tcMar>
            <w:vAlign w:val="bottom"/>
          </w:tcPr>
          <w:p w14:paraId="678A306C" w14:textId="77777777" w:rsidR="00226CBB" w:rsidRPr="005C2CEC" w:rsidRDefault="00226CBB" w:rsidP="00226CBB">
            <w:pPr>
              <w:spacing w:after="0"/>
              <w:rPr>
                <w:i/>
                <w:iCs/>
                <w:color w:val="000000"/>
                <w:sz w:val="20"/>
                <w:szCs w:val="20"/>
              </w:rPr>
            </w:pPr>
          </w:p>
        </w:tc>
      </w:tr>
      <w:tr w:rsidR="00226CBB" w:rsidRPr="005C2CEC" w14:paraId="0A656B5B" w14:textId="77777777" w:rsidTr="00577F95">
        <w:trPr>
          <w:trHeight w:val="292"/>
        </w:trPr>
        <w:tc>
          <w:tcPr>
            <w:tcW w:w="1395" w:type="dxa"/>
            <w:vMerge w:val="restart"/>
            <w:tcBorders>
              <w:top w:val="single" w:sz="18" w:space="0" w:color="002060"/>
              <w:left w:val="single" w:sz="18" w:space="0" w:color="002060"/>
              <w:bottom w:val="single" w:sz="8" w:space="0" w:color="000000"/>
              <w:right w:val="single" w:sz="4" w:space="0" w:color="BFBFBF"/>
            </w:tcBorders>
            <w:shd w:val="clear" w:color="000000" w:fill="404040"/>
            <w:noWrap/>
            <w:tcMar>
              <w:top w:w="15" w:type="dxa"/>
              <w:left w:w="15" w:type="dxa"/>
              <w:bottom w:w="0" w:type="dxa"/>
              <w:right w:w="15" w:type="dxa"/>
            </w:tcMar>
            <w:vAlign w:val="center"/>
            <w:hideMark/>
          </w:tcPr>
          <w:p w14:paraId="155E8108" w14:textId="77777777" w:rsidR="00226CBB" w:rsidRPr="005C2CEC" w:rsidRDefault="00226CBB" w:rsidP="00226CBB">
            <w:pPr>
              <w:spacing w:after="0"/>
              <w:jc w:val="left"/>
              <w:rPr>
                <w:color w:val="FFFFFF"/>
              </w:rPr>
            </w:pPr>
            <w:r w:rsidRPr="005C2CEC">
              <w:rPr>
                <w:color w:val="FFFFFF"/>
              </w:rPr>
              <w:t>Riziká</w:t>
            </w:r>
          </w:p>
        </w:tc>
        <w:tc>
          <w:tcPr>
            <w:tcW w:w="2410" w:type="dxa"/>
            <w:tcBorders>
              <w:top w:val="single" w:sz="18" w:space="0" w:color="002060"/>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6588C6FA" w14:textId="77777777" w:rsidR="00226CBB" w:rsidRPr="005C2CEC" w:rsidRDefault="00226CBB" w:rsidP="00226CBB">
            <w:pPr>
              <w:spacing w:after="0"/>
              <w:jc w:val="left"/>
              <w:rPr>
                <w:color w:val="000000"/>
                <w:sz w:val="20"/>
                <w:szCs w:val="20"/>
              </w:rPr>
            </w:pPr>
            <w:r w:rsidRPr="005C2CEC">
              <w:rPr>
                <w:color w:val="000000"/>
                <w:sz w:val="20"/>
                <w:szCs w:val="20"/>
              </w:rPr>
              <w:t>Nový druh projektu</w:t>
            </w:r>
          </w:p>
        </w:tc>
        <w:tc>
          <w:tcPr>
            <w:tcW w:w="3827" w:type="dxa"/>
            <w:tcBorders>
              <w:top w:val="single" w:sz="18" w:space="0" w:color="002060"/>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4B465211" w14:textId="1B96169A" w:rsidR="00226CBB" w:rsidRPr="005C2CEC" w:rsidRDefault="00226CBB" w:rsidP="00226CBB">
            <w:pPr>
              <w:spacing w:after="0"/>
              <w:rPr>
                <w:i/>
                <w:iCs/>
                <w:color w:val="000000"/>
                <w:sz w:val="16"/>
                <w:szCs w:val="16"/>
              </w:rPr>
            </w:pPr>
            <w:r w:rsidRPr="005C2CEC">
              <w:rPr>
                <w:i/>
                <w:iCs/>
                <w:color w:val="000000"/>
                <w:sz w:val="16"/>
                <w:szCs w:val="16"/>
              </w:rPr>
              <w:t>Jedná sa o druh projektu</w:t>
            </w:r>
            <w:r w:rsidR="00643DC7">
              <w:rPr>
                <w:i/>
                <w:iCs/>
                <w:color w:val="000000"/>
                <w:sz w:val="16"/>
                <w:szCs w:val="16"/>
              </w:rPr>
              <w:t>,</w:t>
            </w:r>
            <w:r w:rsidRPr="005C2CEC">
              <w:rPr>
                <w:i/>
                <w:iCs/>
                <w:color w:val="000000"/>
                <w:sz w:val="16"/>
                <w:szCs w:val="16"/>
              </w:rPr>
              <w:t xml:space="preserve"> ktorý nebol v podmienkach SR realizovaný</w:t>
            </w:r>
          </w:p>
        </w:tc>
        <w:tc>
          <w:tcPr>
            <w:tcW w:w="992" w:type="dxa"/>
            <w:tcBorders>
              <w:top w:val="single" w:sz="18" w:space="0" w:color="002060"/>
              <w:left w:val="nil"/>
              <w:bottom w:val="single" w:sz="4" w:space="0" w:color="BFBFBF"/>
              <w:right w:val="single" w:sz="4" w:space="0" w:color="BFBFBF"/>
            </w:tcBorders>
            <w:shd w:val="clear" w:color="auto" w:fill="auto"/>
            <w:noWrap/>
            <w:tcMar>
              <w:top w:w="15" w:type="dxa"/>
              <w:left w:w="15" w:type="dxa"/>
              <w:bottom w:w="0" w:type="dxa"/>
              <w:right w:w="15" w:type="dxa"/>
            </w:tcMar>
            <w:vAlign w:val="center"/>
            <w:hideMark/>
          </w:tcPr>
          <w:p w14:paraId="63C72992" w14:textId="2058E9E2" w:rsidR="00226CBB" w:rsidRPr="005C2CEC" w:rsidRDefault="00226CBB" w:rsidP="00226CBB">
            <w:pPr>
              <w:spacing w:after="0"/>
              <w:jc w:val="center"/>
              <w:rPr>
                <w:sz w:val="20"/>
                <w:szCs w:val="20"/>
              </w:rPr>
            </w:pPr>
            <w:r w:rsidRPr="005C2CEC">
              <w:rPr>
                <w:sz w:val="20"/>
                <w:szCs w:val="20"/>
              </w:rPr>
              <w:t>ÁNO / NIE</w:t>
            </w:r>
          </w:p>
        </w:tc>
        <w:tc>
          <w:tcPr>
            <w:tcW w:w="1418" w:type="dxa"/>
            <w:tcBorders>
              <w:top w:val="single" w:sz="18" w:space="0" w:color="002060"/>
              <w:left w:val="nil"/>
              <w:bottom w:val="single" w:sz="6" w:space="0" w:color="A6A6A6" w:themeColor="background1" w:themeShade="A6"/>
              <w:right w:val="single" w:sz="6" w:space="0" w:color="A6A6A6" w:themeColor="background1" w:themeShade="A6"/>
            </w:tcBorders>
            <w:shd w:val="clear" w:color="auto" w:fill="auto"/>
            <w:noWrap/>
            <w:tcMar>
              <w:top w:w="15" w:type="dxa"/>
              <w:left w:w="15" w:type="dxa"/>
              <w:bottom w:w="0" w:type="dxa"/>
              <w:right w:w="15" w:type="dxa"/>
            </w:tcMar>
            <w:vAlign w:val="center"/>
            <w:hideMark/>
          </w:tcPr>
          <w:p w14:paraId="6A92A63F" w14:textId="77777777" w:rsidR="00226CBB" w:rsidRPr="005C2CEC" w:rsidRDefault="00226CBB" w:rsidP="00226CBB">
            <w:pPr>
              <w:spacing w:after="0"/>
              <w:jc w:val="left"/>
              <w:rPr>
                <w:color w:val="000000"/>
                <w:sz w:val="20"/>
                <w:szCs w:val="20"/>
              </w:rPr>
            </w:pPr>
            <w:r w:rsidRPr="005C2CEC">
              <w:rPr>
                <w:color w:val="000000"/>
                <w:sz w:val="20"/>
                <w:szCs w:val="20"/>
              </w:rPr>
              <w:t> </w:t>
            </w:r>
          </w:p>
        </w:tc>
        <w:tc>
          <w:tcPr>
            <w:tcW w:w="1559" w:type="dxa"/>
            <w:tcBorders>
              <w:top w:val="single" w:sz="18" w:space="0" w:color="002060"/>
              <w:left w:val="single" w:sz="6" w:space="0" w:color="A6A6A6" w:themeColor="background1" w:themeShade="A6"/>
              <w:bottom w:val="single" w:sz="6" w:space="0" w:color="A6A6A6" w:themeColor="background1" w:themeShade="A6"/>
              <w:right w:val="single" w:sz="6" w:space="0" w:color="A6A6A6" w:themeColor="background1" w:themeShade="A6"/>
            </w:tcBorders>
            <w:shd w:val="clear" w:color="auto" w:fill="auto"/>
            <w:noWrap/>
            <w:tcMar>
              <w:top w:w="15" w:type="dxa"/>
              <w:left w:w="15" w:type="dxa"/>
              <w:bottom w:w="0" w:type="dxa"/>
              <w:right w:w="15" w:type="dxa"/>
            </w:tcMar>
            <w:vAlign w:val="center"/>
            <w:hideMark/>
          </w:tcPr>
          <w:p w14:paraId="1700A16C" w14:textId="77777777" w:rsidR="00226CBB" w:rsidRPr="005C2CEC" w:rsidRDefault="00226CBB" w:rsidP="00226CBB">
            <w:pPr>
              <w:spacing w:after="0"/>
              <w:rPr>
                <w:color w:val="000000"/>
                <w:sz w:val="20"/>
                <w:szCs w:val="20"/>
              </w:rPr>
            </w:pPr>
            <w:r w:rsidRPr="005C2CEC">
              <w:rPr>
                <w:color w:val="000000"/>
                <w:sz w:val="20"/>
                <w:szCs w:val="20"/>
              </w:rPr>
              <w:t> </w:t>
            </w:r>
          </w:p>
        </w:tc>
        <w:tc>
          <w:tcPr>
            <w:tcW w:w="1134" w:type="dxa"/>
            <w:tcBorders>
              <w:top w:val="single" w:sz="18" w:space="0" w:color="002060"/>
              <w:left w:val="single" w:sz="6" w:space="0" w:color="A6A6A6" w:themeColor="background1" w:themeShade="A6"/>
              <w:bottom w:val="single" w:sz="6" w:space="0" w:color="A6A6A6" w:themeColor="background1" w:themeShade="A6"/>
              <w:right w:val="single" w:sz="6" w:space="0" w:color="A6A6A6" w:themeColor="background1" w:themeShade="A6"/>
            </w:tcBorders>
            <w:shd w:val="clear" w:color="auto" w:fill="auto"/>
            <w:noWrap/>
            <w:tcMar>
              <w:top w:w="15" w:type="dxa"/>
              <w:left w:w="15" w:type="dxa"/>
              <w:bottom w:w="0" w:type="dxa"/>
              <w:right w:w="15" w:type="dxa"/>
            </w:tcMar>
            <w:vAlign w:val="center"/>
            <w:hideMark/>
          </w:tcPr>
          <w:p w14:paraId="0E3D5A3E" w14:textId="77777777" w:rsidR="00226CBB" w:rsidRPr="005C2CEC" w:rsidRDefault="00226CBB" w:rsidP="00226CBB">
            <w:pPr>
              <w:spacing w:after="0"/>
              <w:rPr>
                <w:color w:val="000000"/>
                <w:sz w:val="20"/>
                <w:szCs w:val="20"/>
              </w:rPr>
            </w:pPr>
            <w:r w:rsidRPr="005C2CEC">
              <w:rPr>
                <w:color w:val="000000"/>
                <w:sz w:val="20"/>
                <w:szCs w:val="20"/>
              </w:rPr>
              <w:t> </w:t>
            </w:r>
          </w:p>
        </w:tc>
        <w:tc>
          <w:tcPr>
            <w:tcW w:w="1276" w:type="dxa"/>
            <w:tcBorders>
              <w:top w:val="single" w:sz="18" w:space="0" w:color="002060"/>
              <w:left w:val="single" w:sz="6" w:space="0" w:color="A6A6A6" w:themeColor="background1" w:themeShade="A6"/>
              <w:bottom w:val="single" w:sz="6" w:space="0" w:color="A6A6A6" w:themeColor="background1" w:themeShade="A6"/>
              <w:right w:val="single" w:sz="4" w:space="0" w:color="BFBFBF"/>
            </w:tcBorders>
            <w:shd w:val="clear" w:color="auto" w:fill="auto"/>
            <w:noWrap/>
            <w:tcMar>
              <w:top w:w="15" w:type="dxa"/>
              <w:left w:w="15" w:type="dxa"/>
              <w:bottom w:w="0" w:type="dxa"/>
              <w:right w:w="15" w:type="dxa"/>
            </w:tcMar>
            <w:vAlign w:val="center"/>
            <w:hideMark/>
          </w:tcPr>
          <w:p w14:paraId="62BBC43A" w14:textId="77777777" w:rsidR="00226CBB" w:rsidRPr="005C2CEC" w:rsidRDefault="00226CBB" w:rsidP="00226CBB">
            <w:pPr>
              <w:spacing w:after="0"/>
              <w:jc w:val="center"/>
              <w:rPr>
                <w:b/>
                <w:bCs/>
                <w:color w:val="000000"/>
                <w:sz w:val="20"/>
                <w:szCs w:val="20"/>
              </w:rPr>
            </w:pPr>
            <w:r w:rsidRPr="005C2CEC">
              <w:rPr>
                <w:b/>
                <w:bCs/>
                <w:color w:val="000000"/>
                <w:sz w:val="20"/>
                <w:szCs w:val="20"/>
              </w:rPr>
              <w:t> </w:t>
            </w:r>
          </w:p>
        </w:tc>
        <w:tc>
          <w:tcPr>
            <w:tcW w:w="469" w:type="dxa"/>
            <w:tcBorders>
              <w:top w:val="single" w:sz="18" w:space="0" w:color="002060"/>
              <w:left w:val="nil"/>
              <w:bottom w:val="single" w:sz="4" w:space="0" w:color="BFBFBF"/>
              <w:right w:val="single" w:sz="18" w:space="0" w:color="002060"/>
            </w:tcBorders>
            <w:shd w:val="clear" w:color="auto" w:fill="auto"/>
            <w:noWrap/>
            <w:tcMar>
              <w:top w:w="15" w:type="dxa"/>
              <w:left w:w="15" w:type="dxa"/>
              <w:bottom w:w="0" w:type="dxa"/>
              <w:right w:w="15" w:type="dxa"/>
            </w:tcMar>
            <w:vAlign w:val="bottom"/>
            <w:hideMark/>
          </w:tcPr>
          <w:p w14:paraId="5863DEC1" w14:textId="77777777" w:rsidR="00226CBB" w:rsidRPr="005C2CEC" w:rsidRDefault="00226CBB" w:rsidP="00226CBB">
            <w:pPr>
              <w:spacing w:after="0"/>
              <w:jc w:val="left"/>
              <w:rPr>
                <w:i/>
                <w:iCs/>
                <w:color w:val="000000"/>
                <w:sz w:val="20"/>
                <w:szCs w:val="20"/>
              </w:rPr>
            </w:pPr>
            <w:r w:rsidRPr="005C2CEC">
              <w:rPr>
                <w:i/>
                <w:iCs/>
                <w:color w:val="000000"/>
                <w:sz w:val="20"/>
                <w:szCs w:val="20"/>
              </w:rPr>
              <w:t> </w:t>
            </w:r>
          </w:p>
        </w:tc>
      </w:tr>
      <w:tr w:rsidR="00226CBB" w:rsidRPr="005C2CEC" w14:paraId="02A2B333" w14:textId="77777777" w:rsidTr="00577F95">
        <w:trPr>
          <w:trHeight w:val="542"/>
        </w:trPr>
        <w:tc>
          <w:tcPr>
            <w:tcW w:w="1395" w:type="dxa"/>
            <w:vMerge/>
            <w:tcBorders>
              <w:top w:val="nil"/>
              <w:left w:val="single" w:sz="18" w:space="0" w:color="002060"/>
              <w:bottom w:val="single" w:sz="8" w:space="0" w:color="000000"/>
              <w:right w:val="single" w:sz="4" w:space="0" w:color="BFBFBF"/>
            </w:tcBorders>
            <w:vAlign w:val="center"/>
            <w:hideMark/>
          </w:tcPr>
          <w:p w14:paraId="6FD44258" w14:textId="77777777" w:rsidR="00226CBB" w:rsidRPr="005C2CEC" w:rsidRDefault="00226CBB" w:rsidP="00226CBB">
            <w:pPr>
              <w:spacing w:after="0"/>
              <w:jc w:val="left"/>
              <w:rPr>
                <w:color w:val="FFFFFF"/>
              </w:rPr>
            </w:pPr>
          </w:p>
        </w:tc>
        <w:tc>
          <w:tcPr>
            <w:tcW w:w="2410"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3D022454" w14:textId="77777777" w:rsidR="00226CBB" w:rsidRPr="005C2CEC" w:rsidRDefault="00226CBB" w:rsidP="00226CBB">
            <w:pPr>
              <w:spacing w:after="0"/>
              <w:jc w:val="left"/>
              <w:rPr>
                <w:color w:val="000000"/>
                <w:sz w:val="20"/>
                <w:szCs w:val="20"/>
              </w:rPr>
            </w:pPr>
            <w:r w:rsidRPr="005C2CEC">
              <w:rPr>
                <w:color w:val="000000"/>
                <w:sz w:val="20"/>
                <w:szCs w:val="20"/>
              </w:rPr>
              <w:t>Riziková geológia územia</w:t>
            </w:r>
          </w:p>
        </w:tc>
        <w:tc>
          <w:tcPr>
            <w:tcW w:w="3827"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163875D2" w14:textId="77777777" w:rsidR="00226CBB" w:rsidRPr="005C2CEC" w:rsidRDefault="00226CBB" w:rsidP="00226CBB">
            <w:pPr>
              <w:spacing w:after="0"/>
              <w:rPr>
                <w:i/>
                <w:iCs/>
                <w:color w:val="000000"/>
                <w:sz w:val="16"/>
                <w:szCs w:val="16"/>
              </w:rPr>
            </w:pPr>
            <w:r w:rsidRPr="005C2CEC">
              <w:rPr>
                <w:i/>
                <w:iCs/>
                <w:color w:val="000000"/>
                <w:sz w:val="16"/>
                <w:szCs w:val="16"/>
              </w:rPr>
              <w:t>Geologické podmienky v oblasti stavby predstavujú zvýšené riziko pre zdržanie či predraženie projektu - zosuvové územia a pod.</w:t>
            </w:r>
          </w:p>
        </w:tc>
        <w:tc>
          <w:tcPr>
            <w:tcW w:w="992" w:type="dxa"/>
            <w:tcBorders>
              <w:top w:val="single" w:sz="4" w:space="0" w:color="BFBFBF"/>
              <w:left w:val="nil"/>
              <w:bottom w:val="single" w:sz="4" w:space="0" w:color="BFBFBF"/>
              <w:right w:val="single" w:sz="4" w:space="0" w:color="BFBFBF"/>
            </w:tcBorders>
            <w:shd w:val="clear" w:color="auto" w:fill="auto"/>
            <w:noWrap/>
            <w:tcMar>
              <w:top w:w="15" w:type="dxa"/>
              <w:left w:w="15" w:type="dxa"/>
              <w:bottom w:w="0" w:type="dxa"/>
              <w:right w:w="15" w:type="dxa"/>
            </w:tcMar>
            <w:vAlign w:val="center"/>
            <w:hideMark/>
          </w:tcPr>
          <w:p w14:paraId="0F0CC1D3" w14:textId="45286048" w:rsidR="00226CBB" w:rsidRPr="005C2CEC" w:rsidRDefault="00226CBB" w:rsidP="00226CBB">
            <w:pPr>
              <w:spacing w:after="0"/>
              <w:jc w:val="center"/>
              <w:rPr>
                <w:sz w:val="20"/>
                <w:szCs w:val="20"/>
              </w:rPr>
            </w:pPr>
            <w:r w:rsidRPr="005C2CEC">
              <w:rPr>
                <w:sz w:val="20"/>
                <w:szCs w:val="20"/>
              </w:rPr>
              <w:t>ÁNO / NIE</w:t>
            </w:r>
          </w:p>
        </w:tc>
        <w:tc>
          <w:tcPr>
            <w:tcW w:w="1418" w:type="dxa"/>
            <w:tcBorders>
              <w:top w:val="single" w:sz="6" w:space="0" w:color="A6A6A6" w:themeColor="background1" w:themeShade="A6"/>
              <w:left w:val="nil"/>
              <w:bottom w:val="single" w:sz="6" w:space="0" w:color="A6A6A6" w:themeColor="background1" w:themeShade="A6"/>
              <w:right w:val="single" w:sz="6" w:space="0" w:color="A6A6A6" w:themeColor="background1" w:themeShade="A6"/>
            </w:tcBorders>
            <w:shd w:val="clear" w:color="auto" w:fill="auto"/>
            <w:noWrap/>
            <w:tcMar>
              <w:top w:w="15" w:type="dxa"/>
              <w:left w:w="15" w:type="dxa"/>
              <w:bottom w:w="0" w:type="dxa"/>
              <w:right w:w="15" w:type="dxa"/>
            </w:tcMar>
            <w:vAlign w:val="center"/>
            <w:hideMark/>
          </w:tcPr>
          <w:p w14:paraId="77746888" w14:textId="77777777" w:rsidR="00226CBB" w:rsidRPr="005C2CEC" w:rsidRDefault="00226CBB" w:rsidP="00226CBB">
            <w:pPr>
              <w:spacing w:after="0"/>
              <w:jc w:val="left"/>
              <w:rPr>
                <w:color w:val="000000"/>
                <w:sz w:val="20"/>
                <w:szCs w:val="20"/>
              </w:rPr>
            </w:pPr>
            <w:r w:rsidRPr="005C2CEC">
              <w:rPr>
                <w:color w:val="000000"/>
                <w:sz w:val="20"/>
                <w:szCs w:val="20"/>
              </w:rPr>
              <w:t> </w:t>
            </w:r>
          </w:p>
        </w:tc>
        <w:tc>
          <w:tcPr>
            <w:tcW w:w="1559"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tcBorders>
            <w:shd w:val="clear" w:color="auto" w:fill="auto"/>
            <w:noWrap/>
            <w:tcMar>
              <w:top w:w="15" w:type="dxa"/>
              <w:left w:w="15" w:type="dxa"/>
              <w:bottom w:w="0" w:type="dxa"/>
              <w:right w:w="15" w:type="dxa"/>
            </w:tcMar>
            <w:vAlign w:val="center"/>
            <w:hideMark/>
          </w:tcPr>
          <w:p w14:paraId="47DB220A" w14:textId="77777777" w:rsidR="00226CBB" w:rsidRPr="005C2CEC" w:rsidRDefault="00226CBB" w:rsidP="00226CBB">
            <w:pPr>
              <w:spacing w:after="0"/>
              <w:rPr>
                <w:color w:val="000000"/>
                <w:sz w:val="20"/>
                <w:szCs w:val="20"/>
              </w:rPr>
            </w:pPr>
            <w:r w:rsidRPr="005C2CEC">
              <w:rPr>
                <w:color w:val="000000"/>
                <w:sz w:val="20"/>
                <w:szCs w:val="20"/>
              </w:rPr>
              <w:t> </w:t>
            </w:r>
          </w:p>
        </w:tc>
        <w:tc>
          <w:tcPr>
            <w:tcW w:w="1134"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tcBorders>
            <w:shd w:val="clear" w:color="auto" w:fill="auto"/>
            <w:noWrap/>
            <w:tcMar>
              <w:top w:w="15" w:type="dxa"/>
              <w:left w:w="15" w:type="dxa"/>
              <w:bottom w:w="0" w:type="dxa"/>
              <w:right w:w="15" w:type="dxa"/>
            </w:tcMar>
            <w:vAlign w:val="center"/>
            <w:hideMark/>
          </w:tcPr>
          <w:p w14:paraId="3CB5C48E" w14:textId="77777777" w:rsidR="00226CBB" w:rsidRPr="005C2CEC" w:rsidRDefault="00226CBB" w:rsidP="00226CBB">
            <w:pPr>
              <w:spacing w:after="0"/>
              <w:rPr>
                <w:color w:val="000000"/>
                <w:sz w:val="20"/>
                <w:szCs w:val="20"/>
              </w:rPr>
            </w:pPr>
            <w:r w:rsidRPr="005C2CEC">
              <w:rPr>
                <w:color w:val="000000"/>
                <w:sz w:val="20"/>
                <w:szCs w:val="20"/>
              </w:rPr>
              <w:t> </w:t>
            </w:r>
          </w:p>
        </w:tc>
        <w:tc>
          <w:tcPr>
            <w:tcW w:w="1276"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BFBFBF"/>
            </w:tcBorders>
            <w:shd w:val="clear" w:color="auto" w:fill="auto"/>
            <w:noWrap/>
            <w:tcMar>
              <w:top w:w="15" w:type="dxa"/>
              <w:left w:w="15" w:type="dxa"/>
              <w:bottom w:w="0" w:type="dxa"/>
              <w:right w:w="15" w:type="dxa"/>
            </w:tcMar>
            <w:vAlign w:val="center"/>
            <w:hideMark/>
          </w:tcPr>
          <w:p w14:paraId="24425D25" w14:textId="77777777" w:rsidR="00226CBB" w:rsidRPr="005C2CEC" w:rsidRDefault="00226CBB" w:rsidP="00226CBB">
            <w:pPr>
              <w:spacing w:after="0"/>
              <w:jc w:val="center"/>
              <w:rPr>
                <w:b/>
                <w:bCs/>
                <w:color w:val="000000"/>
                <w:sz w:val="20"/>
                <w:szCs w:val="20"/>
              </w:rPr>
            </w:pPr>
            <w:r w:rsidRPr="005C2CEC">
              <w:rPr>
                <w:b/>
                <w:bCs/>
                <w:color w:val="000000"/>
                <w:sz w:val="20"/>
                <w:szCs w:val="20"/>
              </w:rPr>
              <w:t> </w:t>
            </w:r>
          </w:p>
        </w:tc>
        <w:tc>
          <w:tcPr>
            <w:tcW w:w="469" w:type="dxa"/>
            <w:tcBorders>
              <w:top w:val="nil"/>
              <w:left w:val="nil"/>
              <w:bottom w:val="single" w:sz="4" w:space="0" w:color="BFBFBF"/>
              <w:right w:val="single" w:sz="18" w:space="0" w:color="002060"/>
            </w:tcBorders>
            <w:shd w:val="clear" w:color="auto" w:fill="auto"/>
            <w:noWrap/>
            <w:tcMar>
              <w:top w:w="15" w:type="dxa"/>
              <w:left w:w="15" w:type="dxa"/>
              <w:bottom w:w="0" w:type="dxa"/>
              <w:right w:w="15" w:type="dxa"/>
            </w:tcMar>
            <w:vAlign w:val="bottom"/>
            <w:hideMark/>
          </w:tcPr>
          <w:p w14:paraId="20FC1AF3" w14:textId="77777777" w:rsidR="00226CBB" w:rsidRPr="005C2CEC" w:rsidRDefault="00226CBB" w:rsidP="00226CBB">
            <w:pPr>
              <w:spacing w:after="0"/>
              <w:jc w:val="left"/>
              <w:rPr>
                <w:i/>
                <w:iCs/>
                <w:color w:val="000000"/>
                <w:sz w:val="20"/>
                <w:szCs w:val="20"/>
              </w:rPr>
            </w:pPr>
            <w:r w:rsidRPr="005C2CEC">
              <w:rPr>
                <w:i/>
                <w:iCs/>
                <w:color w:val="000000"/>
                <w:sz w:val="20"/>
                <w:szCs w:val="20"/>
              </w:rPr>
              <w:t> </w:t>
            </w:r>
          </w:p>
        </w:tc>
      </w:tr>
      <w:tr w:rsidR="00226CBB" w:rsidRPr="005C2CEC" w14:paraId="03084773" w14:textId="77777777" w:rsidTr="00577F95">
        <w:trPr>
          <w:trHeight w:val="168"/>
        </w:trPr>
        <w:tc>
          <w:tcPr>
            <w:tcW w:w="1395" w:type="dxa"/>
            <w:vMerge/>
            <w:tcBorders>
              <w:top w:val="nil"/>
              <w:left w:val="single" w:sz="18" w:space="0" w:color="002060"/>
              <w:bottom w:val="single" w:sz="8" w:space="0" w:color="000000"/>
              <w:right w:val="single" w:sz="4" w:space="0" w:color="BFBFBF"/>
            </w:tcBorders>
            <w:vAlign w:val="center"/>
            <w:hideMark/>
          </w:tcPr>
          <w:p w14:paraId="36C1539D" w14:textId="77777777" w:rsidR="00226CBB" w:rsidRPr="005C2CEC" w:rsidRDefault="00226CBB" w:rsidP="00226CBB">
            <w:pPr>
              <w:spacing w:after="0"/>
              <w:jc w:val="left"/>
              <w:rPr>
                <w:color w:val="FFFFFF"/>
              </w:rPr>
            </w:pPr>
          </w:p>
        </w:tc>
        <w:tc>
          <w:tcPr>
            <w:tcW w:w="2410"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31B18EB2" w14:textId="77777777" w:rsidR="00226CBB" w:rsidRPr="005C2CEC" w:rsidRDefault="00226CBB" w:rsidP="00226CBB">
            <w:pPr>
              <w:spacing w:after="0"/>
              <w:jc w:val="left"/>
              <w:rPr>
                <w:color w:val="000000"/>
                <w:sz w:val="20"/>
                <w:szCs w:val="20"/>
              </w:rPr>
            </w:pPr>
            <w:r w:rsidRPr="005C2CEC">
              <w:rPr>
                <w:color w:val="000000"/>
                <w:sz w:val="20"/>
                <w:szCs w:val="20"/>
              </w:rPr>
              <w:t>Predraženie</w:t>
            </w:r>
          </w:p>
        </w:tc>
        <w:tc>
          <w:tcPr>
            <w:tcW w:w="3827"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03BC1949" w14:textId="77777777" w:rsidR="00226CBB" w:rsidRPr="005C2CEC" w:rsidRDefault="00226CBB" w:rsidP="00226CBB">
            <w:pPr>
              <w:spacing w:after="0"/>
              <w:rPr>
                <w:i/>
                <w:iCs/>
                <w:color w:val="000000"/>
                <w:sz w:val="16"/>
                <w:szCs w:val="16"/>
              </w:rPr>
            </w:pPr>
            <w:r w:rsidRPr="005C2CEC">
              <w:rPr>
                <w:i/>
                <w:iCs/>
                <w:color w:val="000000"/>
                <w:sz w:val="16"/>
                <w:szCs w:val="16"/>
              </w:rPr>
              <w:t>Aké je riziko predraženia projektu?</w:t>
            </w:r>
          </w:p>
        </w:tc>
        <w:tc>
          <w:tcPr>
            <w:tcW w:w="992" w:type="dxa"/>
            <w:tcBorders>
              <w:top w:val="single" w:sz="4" w:space="0" w:color="BFBFBF"/>
              <w:left w:val="nil"/>
              <w:bottom w:val="single" w:sz="4" w:space="0" w:color="BFBFBF"/>
              <w:right w:val="single" w:sz="4" w:space="0" w:color="BFBFBF"/>
            </w:tcBorders>
            <w:shd w:val="clear" w:color="auto" w:fill="auto"/>
            <w:noWrap/>
            <w:tcMar>
              <w:top w:w="15" w:type="dxa"/>
              <w:left w:w="15" w:type="dxa"/>
              <w:bottom w:w="0" w:type="dxa"/>
              <w:right w:w="15" w:type="dxa"/>
            </w:tcMar>
            <w:vAlign w:val="center"/>
            <w:hideMark/>
          </w:tcPr>
          <w:p w14:paraId="6222B818" w14:textId="32940808" w:rsidR="00226CBB" w:rsidRPr="005C2CEC" w:rsidRDefault="00226CBB" w:rsidP="00226CBB">
            <w:pPr>
              <w:spacing w:after="0"/>
              <w:jc w:val="center"/>
              <w:rPr>
                <w:sz w:val="20"/>
                <w:szCs w:val="20"/>
              </w:rPr>
            </w:pPr>
            <w:r w:rsidRPr="005C2CEC">
              <w:rPr>
                <w:sz w:val="20"/>
                <w:szCs w:val="20"/>
              </w:rPr>
              <w:t>ÁNO / NIE</w:t>
            </w:r>
          </w:p>
        </w:tc>
        <w:tc>
          <w:tcPr>
            <w:tcW w:w="1418" w:type="dxa"/>
            <w:tcBorders>
              <w:top w:val="single" w:sz="6" w:space="0" w:color="A6A6A6" w:themeColor="background1" w:themeShade="A6"/>
              <w:left w:val="nil"/>
              <w:bottom w:val="single" w:sz="6" w:space="0" w:color="A6A6A6" w:themeColor="background1" w:themeShade="A6"/>
              <w:right w:val="single" w:sz="6" w:space="0" w:color="A6A6A6" w:themeColor="background1" w:themeShade="A6"/>
            </w:tcBorders>
            <w:shd w:val="clear" w:color="auto" w:fill="auto"/>
            <w:noWrap/>
            <w:tcMar>
              <w:top w:w="15" w:type="dxa"/>
              <w:left w:w="15" w:type="dxa"/>
              <w:bottom w:w="0" w:type="dxa"/>
              <w:right w:w="15" w:type="dxa"/>
            </w:tcMar>
            <w:vAlign w:val="center"/>
            <w:hideMark/>
          </w:tcPr>
          <w:p w14:paraId="68FD61DC" w14:textId="77777777" w:rsidR="00226CBB" w:rsidRPr="005C2CEC" w:rsidRDefault="00226CBB" w:rsidP="00226CBB">
            <w:pPr>
              <w:spacing w:after="0"/>
              <w:jc w:val="left"/>
              <w:rPr>
                <w:color w:val="000000"/>
                <w:sz w:val="20"/>
                <w:szCs w:val="20"/>
              </w:rPr>
            </w:pPr>
            <w:r w:rsidRPr="005C2CEC">
              <w:rPr>
                <w:color w:val="000000"/>
                <w:sz w:val="20"/>
                <w:szCs w:val="20"/>
              </w:rPr>
              <w:t> </w:t>
            </w:r>
          </w:p>
        </w:tc>
        <w:tc>
          <w:tcPr>
            <w:tcW w:w="1559"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tcBorders>
            <w:shd w:val="clear" w:color="auto" w:fill="auto"/>
            <w:noWrap/>
            <w:tcMar>
              <w:top w:w="15" w:type="dxa"/>
              <w:left w:w="15" w:type="dxa"/>
              <w:bottom w:w="0" w:type="dxa"/>
              <w:right w:w="15" w:type="dxa"/>
            </w:tcMar>
            <w:vAlign w:val="center"/>
            <w:hideMark/>
          </w:tcPr>
          <w:p w14:paraId="5BA01966" w14:textId="77777777" w:rsidR="00226CBB" w:rsidRPr="005C2CEC" w:rsidRDefault="00226CBB" w:rsidP="00226CBB">
            <w:pPr>
              <w:spacing w:after="0"/>
              <w:rPr>
                <w:color w:val="000000"/>
                <w:sz w:val="20"/>
                <w:szCs w:val="20"/>
              </w:rPr>
            </w:pPr>
            <w:r w:rsidRPr="005C2CEC">
              <w:rPr>
                <w:color w:val="000000"/>
                <w:sz w:val="20"/>
                <w:szCs w:val="20"/>
              </w:rPr>
              <w:t> </w:t>
            </w:r>
          </w:p>
        </w:tc>
        <w:tc>
          <w:tcPr>
            <w:tcW w:w="1134"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tcBorders>
            <w:shd w:val="clear" w:color="auto" w:fill="auto"/>
            <w:noWrap/>
            <w:tcMar>
              <w:top w:w="15" w:type="dxa"/>
              <w:left w:w="15" w:type="dxa"/>
              <w:bottom w:w="0" w:type="dxa"/>
              <w:right w:w="15" w:type="dxa"/>
            </w:tcMar>
            <w:vAlign w:val="center"/>
            <w:hideMark/>
          </w:tcPr>
          <w:p w14:paraId="27FB4E26" w14:textId="77777777" w:rsidR="00226CBB" w:rsidRPr="005C2CEC" w:rsidRDefault="00226CBB" w:rsidP="00226CBB">
            <w:pPr>
              <w:spacing w:after="0"/>
              <w:rPr>
                <w:color w:val="000000"/>
                <w:sz w:val="20"/>
                <w:szCs w:val="20"/>
              </w:rPr>
            </w:pPr>
            <w:r w:rsidRPr="005C2CEC">
              <w:rPr>
                <w:color w:val="000000"/>
                <w:sz w:val="20"/>
                <w:szCs w:val="20"/>
              </w:rPr>
              <w:t> </w:t>
            </w:r>
          </w:p>
        </w:tc>
        <w:tc>
          <w:tcPr>
            <w:tcW w:w="1276"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BFBFBF"/>
            </w:tcBorders>
            <w:shd w:val="clear" w:color="auto" w:fill="auto"/>
            <w:noWrap/>
            <w:tcMar>
              <w:top w:w="15" w:type="dxa"/>
              <w:left w:w="15" w:type="dxa"/>
              <w:bottom w:w="0" w:type="dxa"/>
              <w:right w:w="15" w:type="dxa"/>
            </w:tcMar>
            <w:vAlign w:val="center"/>
            <w:hideMark/>
          </w:tcPr>
          <w:p w14:paraId="6EF1D773" w14:textId="77777777" w:rsidR="00226CBB" w:rsidRPr="005C2CEC" w:rsidRDefault="00226CBB" w:rsidP="00226CBB">
            <w:pPr>
              <w:spacing w:after="0"/>
              <w:jc w:val="center"/>
              <w:rPr>
                <w:b/>
                <w:bCs/>
                <w:color w:val="000000"/>
                <w:sz w:val="20"/>
                <w:szCs w:val="20"/>
              </w:rPr>
            </w:pPr>
            <w:r w:rsidRPr="005C2CEC">
              <w:rPr>
                <w:b/>
                <w:bCs/>
                <w:color w:val="000000"/>
                <w:sz w:val="20"/>
                <w:szCs w:val="20"/>
              </w:rPr>
              <w:t> </w:t>
            </w:r>
          </w:p>
        </w:tc>
        <w:tc>
          <w:tcPr>
            <w:tcW w:w="469" w:type="dxa"/>
            <w:tcBorders>
              <w:top w:val="nil"/>
              <w:left w:val="nil"/>
              <w:bottom w:val="single" w:sz="4" w:space="0" w:color="BFBFBF"/>
              <w:right w:val="single" w:sz="18" w:space="0" w:color="002060"/>
            </w:tcBorders>
            <w:shd w:val="clear" w:color="auto" w:fill="auto"/>
            <w:noWrap/>
            <w:tcMar>
              <w:top w:w="15" w:type="dxa"/>
              <w:left w:w="15" w:type="dxa"/>
              <w:bottom w:w="0" w:type="dxa"/>
              <w:right w:w="15" w:type="dxa"/>
            </w:tcMar>
            <w:vAlign w:val="bottom"/>
            <w:hideMark/>
          </w:tcPr>
          <w:p w14:paraId="4EE35A33" w14:textId="77777777" w:rsidR="00226CBB" w:rsidRPr="005C2CEC" w:rsidRDefault="00226CBB" w:rsidP="00226CBB">
            <w:pPr>
              <w:spacing w:after="0"/>
              <w:jc w:val="left"/>
              <w:rPr>
                <w:i/>
                <w:iCs/>
                <w:color w:val="000000"/>
                <w:sz w:val="20"/>
                <w:szCs w:val="20"/>
              </w:rPr>
            </w:pPr>
            <w:r w:rsidRPr="005C2CEC">
              <w:rPr>
                <w:i/>
                <w:iCs/>
                <w:color w:val="000000"/>
                <w:sz w:val="20"/>
                <w:szCs w:val="20"/>
              </w:rPr>
              <w:t> </w:t>
            </w:r>
          </w:p>
        </w:tc>
      </w:tr>
      <w:tr w:rsidR="00226CBB" w:rsidRPr="005C2CEC" w14:paraId="7EECA80B" w14:textId="77777777" w:rsidTr="00577F95">
        <w:trPr>
          <w:trHeight w:val="158"/>
        </w:trPr>
        <w:tc>
          <w:tcPr>
            <w:tcW w:w="1395" w:type="dxa"/>
            <w:vMerge/>
            <w:tcBorders>
              <w:top w:val="nil"/>
              <w:left w:val="single" w:sz="18" w:space="0" w:color="002060"/>
              <w:bottom w:val="single" w:sz="8" w:space="0" w:color="000000"/>
              <w:right w:val="single" w:sz="4" w:space="0" w:color="BFBFBF"/>
            </w:tcBorders>
            <w:vAlign w:val="center"/>
            <w:hideMark/>
          </w:tcPr>
          <w:p w14:paraId="6FA9AFFC" w14:textId="77777777" w:rsidR="00226CBB" w:rsidRPr="005C2CEC" w:rsidRDefault="00226CBB" w:rsidP="00226CBB">
            <w:pPr>
              <w:spacing w:after="0"/>
              <w:jc w:val="left"/>
              <w:rPr>
                <w:color w:val="FFFFFF"/>
              </w:rPr>
            </w:pPr>
          </w:p>
        </w:tc>
        <w:tc>
          <w:tcPr>
            <w:tcW w:w="2410"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5BD15301" w14:textId="77777777" w:rsidR="00226CBB" w:rsidRPr="005C2CEC" w:rsidRDefault="00226CBB" w:rsidP="00226CBB">
            <w:pPr>
              <w:spacing w:after="0"/>
              <w:jc w:val="left"/>
              <w:rPr>
                <w:color w:val="000000"/>
                <w:sz w:val="20"/>
                <w:szCs w:val="20"/>
              </w:rPr>
            </w:pPr>
            <w:r w:rsidRPr="005C2CEC">
              <w:rPr>
                <w:color w:val="000000"/>
                <w:sz w:val="20"/>
                <w:szCs w:val="20"/>
              </w:rPr>
              <w:t>Citlivosť na predpoklady</w:t>
            </w:r>
          </w:p>
        </w:tc>
        <w:tc>
          <w:tcPr>
            <w:tcW w:w="3827"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086A32E5" w14:textId="77777777" w:rsidR="00226CBB" w:rsidRPr="005C2CEC" w:rsidRDefault="00226CBB" w:rsidP="00226CBB">
            <w:pPr>
              <w:spacing w:after="0"/>
              <w:rPr>
                <w:i/>
                <w:iCs/>
                <w:color w:val="000000"/>
                <w:sz w:val="16"/>
                <w:szCs w:val="16"/>
              </w:rPr>
            </w:pPr>
            <w:r w:rsidRPr="005C2CEC">
              <w:rPr>
                <w:i/>
                <w:iCs/>
                <w:color w:val="000000"/>
                <w:sz w:val="16"/>
                <w:szCs w:val="16"/>
              </w:rPr>
              <w:t>Zhrnutie citlivostnej analýzy projektu</w:t>
            </w:r>
          </w:p>
        </w:tc>
        <w:tc>
          <w:tcPr>
            <w:tcW w:w="992" w:type="dxa"/>
            <w:tcBorders>
              <w:top w:val="single" w:sz="4" w:space="0" w:color="BFBFBF"/>
              <w:left w:val="nil"/>
              <w:bottom w:val="single" w:sz="4" w:space="0" w:color="BFBFBF"/>
              <w:right w:val="single" w:sz="4" w:space="0" w:color="BFBFBF"/>
            </w:tcBorders>
            <w:shd w:val="clear" w:color="auto" w:fill="auto"/>
            <w:noWrap/>
            <w:tcMar>
              <w:top w:w="15" w:type="dxa"/>
              <w:left w:w="15" w:type="dxa"/>
              <w:bottom w:w="0" w:type="dxa"/>
              <w:right w:w="15" w:type="dxa"/>
            </w:tcMar>
            <w:vAlign w:val="center"/>
            <w:hideMark/>
          </w:tcPr>
          <w:p w14:paraId="6D2F3363" w14:textId="7B2E6C13" w:rsidR="00226CBB" w:rsidRPr="005C2CEC" w:rsidRDefault="00226CBB" w:rsidP="00226CBB">
            <w:pPr>
              <w:spacing w:after="0"/>
              <w:jc w:val="center"/>
              <w:rPr>
                <w:sz w:val="20"/>
                <w:szCs w:val="20"/>
              </w:rPr>
            </w:pPr>
            <w:r w:rsidRPr="005C2CEC">
              <w:rPr>
                <w:sz w:val="20"/>
                <w:szCs w:val="20"/>
              </w:rPr>
              <w:t>ÁNO / NIE</w:t>
            </w:r>
          </w:p>
        </w:tc>
        <w:tc>
          <w:tcPr>
            <w:tcW w:w="1418" w:type="dxa"/>
            <w:tcBorders>
              <w:top w:val="single" w:sz="6" w:space="0" w:color="A6A6A6" w:themeColor="background1" w:themeShade="A6"/>
              <w:left w:val="nil"/>
              <w:bottom w:val="single" w:sz="6" w:space="0" w:color="A6A6A6" w:themeColor="background1" w:themeShade="A6"/>
              <w:right w:val="single" w:sz="6" w:space="0" w:color="A6A6A6" w:themeColor="background1" w:themeShade="A6"/>
            </w:tcBorders>
            <w:shd w:val="clear" w:color="auto" w:fill="auto"/>
            <w:noWrap/>
            <w:tcMar>
              <w:top w:w="15" w:type="dxa"/>
              <w:left w:w="15" w:type="dxa"/>
              <w:bottom w:w="0" w:type="dxa"/>
              <w:right w:w="15" w:type="dxa"/>
            </w:tcMar>
            <w:vAlign w:val="center"/>
            <w:hideMark/>
          </w:tcPr>
          <w:p w14:paraId="46D33FA5" w14:textId="77777777" w:rsidR="00226CBB" w:rsidRPr="005C2CEC" w:rsidRDefault="00226CBB" w:rsidP="00226CBB">
            <w:pPr>
              <w:spacing w:after="0"/>
              <w:jc w:val="left"/>
              <w:rPr>
                <w:color w:val="000000"/>
                <w:sz w:val="20"/>
                <w:szCs w:val="20"/>
              </w:rPr>
            </w:pPr>
            <w:r w:rsidRPr="005C2CEC">
              <w:rPr>
                <w:color w:val="000000"/>
                <w:sz w:val="20"/>
                <w:szCs w:val="20"/>
              </w:rPr>
              <w:t> </w:t>
            </w:r>
          </w:p>
        </w:tc>
        <w:tc>
          <w:tcPr>
            <w:tcW w:w="1559"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tcBorders>
            <w:shd w:val="clear" w:color="auto" w:fill="auto"/>
            <w:noWrap/>
            <w:tcMar>
              <w:top w:w="15" w:type="dxa"/>
              <w:left w:w="15" w:type="dxa"/>
              <w:bottom w:w="0" w:type="dxa"/>
              <w:right w:w="15" w:type="dxa"/>
            </w:tcMar>
            <w:vAlign w:val="center"/>
            <w:hideMark/>
          </w:tcPr>
          <w:p w14:paraId="313D7F53" w14:textId="77777777" w:rsidR="00226CBB" w:rsidRPr="005C2CEC" w:rsidRDefault="00226CBB" w:rsidP="00226CBB">
            <w:pPr>
              <w:spacing w:after="0"/>
              <w:rPr>
                <w:color w:val="000000"/>
                <w:sz w:val="20"/>
                <w:szCs w:val="20"/>
              </w:rPr>
            </w:pPr>
            <w:r w:rsidRPr="005C2CEC">
              <w:rPr>
                <w:color w:val="000000"/>
                <w:sz w:val="20"/>
                <w:szCs w:val="20"/>
              </w:rPr>
              <w:t> </w:t>
            </w:r>
          </w:p>
        </w:tc>
        <w:tc>
          <w:tcPr>
            <w:tcW w:w="1134"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tcBorders>
            <w:shd w:val="clear" w:color="auto" w:fill="auto"/>
            <w:noWrap/>
            <w:tcMar>
              <w:top w:w="15" w:type="dxa"/>
              <w:left w:w="15" w:type="dxa"/>
              <w:bottom w:w="0" w:type="dxa"/>
              <w:right w:w="15" w:type="dxa"/>
            </w:tcMar>
            <w:vAlign w:val="center"/>
            <w:hideMark/>
          </w:tcPr>
          <w:p w14:paraId="1F4A5996" w14:textId="77777777" w:rsidR="00226CBB" w:rsidRPr="005C2CEC" w:rsidRDefault="00226CBB" w:rsidP="00226CBB">
            <w:pPr>
              <w:spacing w:after="0"/>
              <w:rPr>
                <w:color w:val="000000"/>
                <w:sz w:val="20"/>
                <w:szCs w:val="20"/>
              </w:rPr>
            </w:pPr>
            <w:r w:rsidRPr="005C2CEC">
              <w:rPr>
                <w:color w:val="000000"/>
                <w:sz w:val="20"/>
                <w:szCs w:val="20"/>
              </w:rPr>
              <w:t> </w:t>
            </w:r>
          </w:p>
        </w:tc>
        <w:tc>
          <w:tcPr>
            <w:tcW w:w="1276"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BFBFBF"/>
            </w:tcBorders>
            <w:shd w:val="clear" w:color="auto" w:fill="auto"/>
            <w:noWrap/>
            <w:tcMar>
              <w:top w:w="15" w:type="dxa"/>
              <w:left w:w="15" w:type="dxa"/>
              <w:bottom w:w="0" w:type="dxa"/>
              <w:right w:w="15" w:type="dxa"/>
            </w:tcMar>
            <w:vAlign w:val="center"/>
            <w:hideMark/>
          </w:tcPr>
          <w:p w14:paraId="025B9F72" w14:textId="77777777" w:rsidR="00226CBB" w:rsidRPr="005C2CEC" w:rsidRDefault="00226CBB" w:rsidP="00226CBB">
            <w:pPr>
              <w:spacing w:after="0"/>
              <w:jc w:val="center"/>
              <w:rPr>
                <w:b/>
                <w:bCs/>
                <w:color w:val="000000"/>
                <w:sz w:val="20"/>
                <w:szCs w:val="20"/>
              </w:rPr>
            </w:pPr>
            <w:r w:rsidRPr="005C2CEC">
              <w:rPr>
                <w:b/>
                <w:bCs/>
                <w:color w:val="000000"/>
                <w:sz w:val="20"/>
                <w:szCs w:val="20"/>
              </w:rPr>
              <w:t> </w:t>
            </w:r>
          </w:p>
        </w:tc>
        <w:tc>
          <w:tcPr>
            <w:tcW w:w="469" w:type="dxa"/>
            <w:tcBorders>
              <w:top w:val="nil"/>
              <w:left w:val="nil"/>
              <w:bottom w:val="single" w:sz="4" w:space="0" w:color="BFBFBF"/>
              <w:right w:val="single" w:sz="18" w:space="0" w:color="002060"/>
            </w:tcBorders>
            <w:shd w:val="clear" w:color="auto" w:fill="auto"/>
            <w:noWrap/>
            <w:tcMar>
              <w:top w:w="15" w:type="dxa"/>
              <w:left w:w="15" w:type="dxa"/>
              <w:bottom w:w="0" w:type="dxa"/>
              <w:right w:w="15" w:type="dxa"/>
            </w:tcMar>
            <w:vAlign w:val="bottom"/>
            <w:hideMark/>
          </w:tcPr>
          <w:p w14:paraId="100084A0" w14:textId="77777777" w:rsidR="00226CBB" w:rsidRPr="005C2CEC" w:rsidRDefault="00226CBB" w:rsidP="00226CBB">
            <w:pPr>
              <w:spacing w:after="0"/>
              <w:jc w:val="left"/>
              <w:rPr>
                <w:color w:val="000000"/>
                <w:sz w:val="20"/>
                <w:szCs w:val="20"/>
              </w:rPr>
            </w:pPr>
            <w:r w:rsidRPr="005C2CEC">
              <w:rPr>
                <w:color w:val="000000"/>
                <w:sz w:val="20"/>
                <w:szCs w:val="20"/>
              </w:rPr>
              <w:t> </w:t>
            </w:r>
          </w:p>
        </w:tc>
      </w:tr>
      <w:tr w:rsidR="00226CBB" w:rsidRPr="005C2CEC" w14:paraId="17BBF55C" w14:textId="77777777" w:rsidTr="00577F95">
        <w:trPr>
          <w:trHeight w:val="106"/>
        </w:trPr>
        <w:tc>
          <w:tcPr>
            <w:tcW w:w="1395" w:type="dxa"/>
            <w:vMerge/>
            <w:tcBorders>
              <w:top w:val="nil"/>
              <w:left w:val="single" w:sz="18" w:space="0" w:color="002060"/>
              <w:bottom w:val="single" w:sz="18" w:space="0" w:color="002060"/>
              <w:right w:val="single" w:sz="4" w:space="0" w:color="BFBFBF"/>
            </w:tcBorders>
            <w:vAlign w:val="center"/>
            <w:hideMark/>
          </w:tcPr>
          <w:p w14:paraId="57F7AE7F" w14:textId="77777777" w:rsidR="00226CBB" w:rsidRPr="005C2CEC" w:rsidRDefault="00226CBB" w:rsidP="00226CBB">
            <w:pPr>
              <w:spacing w:after="0"/>
              <w:jc w:val="left"/>
              <w:rPr>
                <w:color w:val="FFFFFF"/>
              </w:rPr>
            </w:pPr>
          </w:p>
        </w:tc>
        <w:tc>
          <w:tcPr>
            <w:tcW w:w="2410" w:type="dxa"/>
            <w:tcBorders>
              <w:top w:val="nil"/>
              <w:left w:val="nil"/>
              <w:bottom w:val="single" w:sz="18" w:space="0" w:color="002060"/>
              <w:right w:val="single" w:sz="4" w:space="0" w:color="BFBFBF"/>
            </w:tcBorders>
            <w:shd w:val="clear" w:color="000000" w:fill="F2F2F2"/>
            <w:tcMar>
              <w:top w:w="15" w:type="dxa"/>
              <w:left w:w="15" w:type="dxa"/>
              <w:bottom w:w="0" w:type="dxa"/>
              <w:right w:w="15" w:type="dxa"/>
            </w:tcMar>
            <w:vAlign w:val="center"/>
            <w:hideMark/>
          </w:tcPr>
          <w:p w14:paraId="53EE2BC2" w14:textId="77777777" w:rsidR="00226CBB" w:rsidRPr="005C2CEC" w:rsidRDefault="00226CBB" w:rsidP="00226CBB">
            <w:pPr>
              <w:spacing w:after="0"/>
              <w:jc w:val="left"/>
              <w:rPr>
                <w:color w:val="000000"/>
                <w:sz w:val="20"/>
                <w:szCs w:val="20"/>
              </w:rPr>
            </w:pPr>
            <w:r w:rsidRPr="005C2CEC">
              <w:rPr>
                <w:color w:val="000000"/>
                <w:sz w:val="20"/>
                <w:szCs w:val="20"/>
              </w:rPr>
              <w:t>Iné riziká projektu</w:t>
            </w:r>
          </w:p>
        </w:tc>
        <w:tc>
          <w:tcPr>
            <w:tcW w:w="3827" w:type="dxa"/>
            <w:tcBorders>
              <w:top w:val="nil"/>
              <w:left w:val="nil"/>
              <w:bottom w:val="single" w:sz="18" w:space="0" w:color="002060"/>
              <w:right w:val="single" w:sz="4" w:space="0" w:color="BFBFBF"/>
            </w:tcBorders>
            <w:shd w:val="clear" w:color="000000" w:fill="F2F2F2"/>
            <w:tcMar>
              <w:top w:w="15" w:type="dxa"/>
              <w:left w:w="15" w:type="dxa"/>
              <w:bottom w:w="0" w:type="dxa"/>
              <w:right w:w="15" w:type="dxa"/>
            </w:tcMar>
            <w:vAlign w:val="center"/>
            <w:hideMark/>
          </w:tcPr>
          <w:p w14:paraId="73118159" w14:textId="77777777" w:rsidR="00226CBB" w:rsidRPr="005C2CEC" w:rsidRDefault="00226CBB" w:rsidP="00226CBB">
            <w:pPr>
              <w:spacing w:after="0"/>
              <w:rPr>
                <w:i/>
                <w:iCs/>
                <w:color w:val="000000"/>
                <w:sz w:val="16"/>
                <w:szCs w:val="16"/>
              </w:rPr>
            </w:pPr>
            <w:r w:rsidRPr="005C2CEC">
              <w:rPr>
                <w:i/>
                <w:iCs/>
                <w:color w:val="000000"/>
                <w:sz w:val="16"/>
                <w:szCs w:val="16"/>
              </w:rPr>
              <w:t>Akékoľvek iné relevantné riziká projektu</w:t>
            </w:r>
          </w:p>
        </w:tc>
        <w:tc>
          <w:tcPr>
            <w:tcW w:w="992" w:type="dxa"/>
            <w:tcBorders>
              <w:top w:val="nil"/>
              <w:left w:val="nil"/>
              <w:bottom w:val="single" w:sz="18" w:space="0" w:color="002060"/>
              <w:right w:val="single" w:sz="4" w:space="0" w:color="BFBFBF"/>
            </w:tcBorders>
            <w:shd w:val="clear" w:color="auto" w:fill="auto"/>
            <w:noWrap/>
            <w:tcMar>
              <w:top w:w="15" w:type="dxa"/>
              <w:left w:w="15" w:type="dxa"/>
              <w:bottom w:w="0" w:type="dxa"/>
              <w:right w:w="15" w:type="dxa"/>
            </w:tcMar>
            <w:vAlign w:val="center"/>
            <w:hideMark/>
          </w:tcPr>
          <w:p w14:paraId="019C254D" w14:textId="5BD87750" w:rsidR="00226CBB" w:rsidRPr="005C2CEC" w:rsidRDefault="00226CBB" w:rsidP="00226CBB">
            <w:pPr>
              <w:spacing w:after="0"/>
              <w:jc w:val="center"/>
              <w:rPr>
                <w:sz w:val="20"/>
                <w:szCs w:val="20"/>
              </w:rPr>
            </w:pPr>
            <w:r w:rsidRPr="005C2CEC">
              <w:rPr>
                <w:sz w:val="20"/>
                <w:szCs w:val="20"/>
              </w:rPr>
              <w:t>ÁNO / NIE</w:t>
            </w:r>
          </w:p>
        </w:tc>
        <w:tc>
          <w:tcPr>
            <w:tcW w:w="1418" w:type="dxa"/>
            <w:tcBorders>
              <w:top w:val="single" w:sz="6" w:space="0" w:color="A6A6A6" w:themeColor="background1" w:themeShade="A6"/>
              <w:left w:val="nil"/>
              <w:bottom w:val="single" w:sz="18" w:space="0" w:color="002060"/>
              <w:right w:val="single" w:sz="6" w:space="0" w:color="A6A6A6" w:themeColor="background1" w:themeShade="A6"/>
            </w:tcBorders>
            <w:shd w:val="clear" w:color="auto" w:fill="auto"/>
            <w:noWrap/>
            <w:tcMar>
              <w:top w:w="15" w:type="dxa"/>
              <w:left w:w="15" w:type="dxa"/>
              <w:bottom w:w="0" w:type="dxa"/>
              <w:right w:w="15" w:type="dxa"/>
            </w:tcMar>
            <w:vAlign w:val="center"/>
            <w:hideMark/>
          </w:tcPr>
          <w:p w14:paraId="5E4FB916" w14:textId="77777777" w:rsidR="00226CBB" w:rsidRPr="005C2CEC" w:rsidRDefault="00226CBB" w:rsidP="00226CBB">
            <w:pPr>
              <w:spacing w:after="0"/>
              <w:jc w:val="left"/>
              <w:rPr>
                <w:color w:val="000000"/>
                <w:sz w:val="20"/>
                <w:szCs w:val="20"/>
              </w:rPr>
            </w:pPr>
            <w:r w:rsidRPr="005C2CEC">
              <w:rPr>
                <w:color w:val="000000"/>
                <w:sz w:val="20"/>
                <w:szCs w:val="20"/>
              </w:rPr>
              <w:t> </w:t>
            </w:r>
          </w:p>
        </w:tc>
        <w:tc>
          <w:tcPr>
            <w:tcW w:w="1559" w:type="dxa"/>
            <w:tcBorders>
              <w:top w:val="single" w:sz="6" w:space="0" w:color="A6A6A6" w:themeColor="background1" w:themeShade="A6"/>
              <w:left w:val="single" w:sz="6" w:space="0" w:color="A6A6A6" w:themeColor="background1" w:themeShade="A6"/>
              <w:bottom w:val="single" w:sz="18" w:space="0" w:color="002060"/>
              <w:right w:val="single" w:sz="6" w:space="0" w:color="A6A6A6" w:themeColor="background1" w:themeShade="A6"/>
            </w:tcBorders>
            <w:shd w:val="clear" w:color="auto" w:fill="auto"/>
            <w:noWrap/>
            <w:tcMar>
              <w:top w:w="15" w:type="dxa"/>
              <w:left w:w="15" w:type="dxa"/>
              <w:bottom w:w="0" w:type="dxa"/>
              <w:right w:w="15" w:type="dxa"/>
            </w:tcMar>
            <w:vAlign w:val="center"/>
            <w:hideMark/>
          </w:tcPr>
          <w:p w14:paraId="337C7116" w14:textId="77777777" w:rsidR="00226CBB" w:rsidRPr="005C2CEC" w:rsidRDefault="00226CBB" w:rsidP="00226CBB">
            <w:pPr>
              <w:spacing w:after="0"/>
              <w:rPr>
                <w:color w:val="000000"/>
                <w:sz w:val="20"/>
                <w:szCs w:val="20"/>
              </w:rPr>
            </w:pPr>
            <w:r w:rsidRPr="005C2CEC">
              <w:rPr>
                <w:color w:val="000000"/>
                <w:sz w:val="20"/>
                <w:szCs w:val="20"/>
              </w:rPr>
              <w:t> </w:t>
            </w:r>
          </w:p>
        </w:tc>
        <w:tc>
          <w:tcPr>
            <w:tcW w:w="1134" w:type="dxa"/>
            <w:tcBorders>
              <w:top w:val="single" w:sz="6" w:space="0" w:color="A6A6A6" w:themeColor="background1" w:themeShade="A6"/>
              <w:left w:val="single" w:sz="6" w:space="0" w:color="A6A6A6" w:themeColor="background1" w:themeShade="A6"/>
              <w:bottom w:val="single" w:sz="18" w:space="0" w:color="002060"/>
              <w:right w:val="single" w:sz="6" w:space="0" w:color="A6A6A6" w:themeColor="background1" w:themeShade="A6"/>
            </w:tcBorders>
            <w:shd w:val="clear" w:color="auto" w:fill="auto"/>
            <w:noWrap/>
            <w:tcMar>
              <w:top w:w="15" w:type="dxa"/>
              <w:left w:w="15" w:type="dxa"/>
              <w:bottom w:w="0" w:type="dxa"/>
              <w:right w:w="15" w:type="dxa"/>
            </w:tcMar>
            <w:vAlign w:val="center"/>
            <w:hideMark/>
          </w:tcPr>
          <w:p w14:paraId="480B341B" w14:textId="77777777" w:rsidR="00226CBB" w:rsidRPr="005C2CEC" w:rsidRDefault="00226CBB" w:rsidP="00226CBB">
            <w:pPr>
              <w:spacing w:after="0"/>
              <w:rPr>
                <w:color w:val="000000"/>
                <w:sz w:val="20"/>
                <w:szCs w:val="20"/>
              </w:rPr>
            </w:pPr>
            <w:r w:rsidRPr="005C2CEC">
              <w:rPr>
                <w:color w:val="000000"/>
                <w:sz w:val="20"/>
                <w:szCs w:val="20"/>
              </w:rPr>
              <w:t> </w:t>
            </w:r>
          </w:p>
        </w:tc>
        <w:tc>
          <w:tcPr>
            <w:tcW w:w="1276" w:type="dxa"/>
            <w:tcBorders>
              <w:top w:val="single" w:sz="6" w:space="0" w:color="A6A6A6" w:themeColor="background1" w:themeShade="A6"/>
              <w:left w:val="single" w:sz="6" w:space="0" w:color="A6A6A6" w:themeColor="background1" w:themeShade="A6"/>
              <w:bottom w:val="single" w:sz="18" w:space="0" w:color="002060"/>
              <w:right w:val="single" w:sz="4" w:space="0" w:color="BFBFBF"/>
            </w:tcBorders>
            <w:shd w:val="clear" w:color="auto" w:fill="auto"/>
            <w:noWrap/>
            <w:tcMar>
              <w:top w:w="15" w:type="dxa"/>
              <w:left w:w="15" w:type="dxa"/>
              <w:bottom w:w="0" w:type="dxa"/>
              <w:right w:w="15" w:type="dxa"/>
            </w:tcMar>
            <w:vAlign w:val="center"/>
            <w:hideMark/>
          </w:tcPr>
          <w:p w14:paraId="70DAC4D9" w14:textId="77777777" w:rsidR="00226CBB" w:rsidRPr="005C2CEC" w:rsidRDefault="00226CBB" w:rsidP="00226CBB">
            <w:pPr>
              <w:spacing w:after="0"/>
              <w:jc w:val="center"/>
              <w:rPr>
                <w:b/>
                <w:bCs/>
                <w:color w:val="000000"/>
                <w:sz w:val="20"/>
                <w:szCs w:val="20"/>
              </w:rPr>
            </w:pPr>
            <w:r w:rsidRPr="005C2CEC">
              <w:rPr>
                <w:b/>
                <w:bCs/>
                <w:color w:val="000000"/>
                <w:sz w:val="20"/>
                <w:szCs w:val="20"/>
              </w:rPr>
              <w:t> </w:t>
            </w:r>
          </w:p>
        </w:tc>
        <w:tc>
          <w:tcPr>
            <w:tcW w:w="469" w:type="dxa"/>
            <w:tcBorders>
              <w:top w:val="nil"/>
              <w:left w:val="nil"/>
              <w:bottom w:val="single" w:sz="18" w:space="0" w:color="002060"/>
              <w:right w:val="single" w:sz="18" w:space="0" w:color="002060"/>
            </w:tcBorders>
            <w:shd w:val="clear" w:color="auto" w:fill="auto"/>
            <w:noWrap/>
            <w:tcMar>
              <w:top w:w="15" w:type="dxa"/>
              <w:left w:w="15" w:type="dxa"/>
              <w:bottom w:w="0" w:type="dxa"/>
              <w:right w:w="15" w:type="dxa"/>
            </w:tcMar>
            <w:vAlign w:val="bottom"/>
            <w:hideMark/>
          </w:tcPr>
          <w:p w14:paraId="13BEBF42" w14:textId="77777777" w:rsidR="00226CBB" w:rsidRPr="005C2CEC" w:rsidRDefault="00226CBB" w:rsidP="00226CBB">
            <w:pPr>
              <w:spacing w:after="0"/>
              <w:jc w:val="left"/>
              <w:rPr>
                <w:i/>
                <w:iCs/>
                <w:color w:val="000000"/>
                <w:sz w:val="20"/>
                <w:szCs w:val="20"/>
              </w:rPr>
            </w:pPr>
            <w:r w:rsidRPr="005C2CEC">
              <w:rPr>
                <w:i/>
                <w:iCs/>
                <w:color w:val="000000"/>
                <w:sz w:val="20"/>
                <w:szCs w:val="20"/>
              </w:rPr>
              <w:t> </w:t>
            </w:r>
          </w:p>
        </w:tc>
      </w:tr>
      <w:tr w:rsidR="00226CBB" w:rsidRPr="005C2CEC" w14:paraId="3EB57BFF" w14:textId="77777777" w:rsidTr="00577F95">
        <w:trPr>
          <w:trHeight w:val="251"/>
        </w:trPr>
        <w:tc>
          <w:tcPr>
            <w:tcW w:w="1395" w:type="dxa"/>
            <w:vMerge w:val="restart"/>
            <w:tcBorders>
              <w:top w:val="single" w:sz="18" w:space="0" w:color="002060"/>
              <w:left w:val="single" w:sz="18" w:space="0" w:color="002060"/>
              <w:bottom w:val="single" w:sz="8" w:space="0" w:color="000000"/>
              <w:right w:val="single" w:sz="4" w:space="0" w:color="BFBFBF"/>
            </w:tcBorders>
            <w:shd w:val="clear" w:color="000000" w:fill="ACB9CA"/>
            <w:noWrap/>
            <w:tcMar>
              <w:top w:w="15" w:type="dxa"/>
              <w:left w:w="15" w:type="dxa"/>
              <w:bottom w:w="0" w:type="dxa"/>
              <w:right w:w="15" w:type="dxa"/>
            </w:tcMar>
            <w:vAlign w:val="center"/>
            <w:hideMark/>
          </w:tcPr>
          <w:p w14:paraId="20C08E9C" w14:textId="77777777" w:rsidR="00226CBB" w:rsidRPr="005C2CEC" w:rsidRDefault="00226CBB" w:rsidP="00226CBB">
            <w:pPr>
              <w:spacing w:after="0"/>
              <w:jc w:val="left"/>
              <w:rPr>
                <w:color w:val="000000"/>
              </w:rPr>
            </w:pPr>
            <w:r w:rsidRPr="005C2CEC">
              <w:rPr>
                <w:color w:val="000000"/>
              </w:rPr>
              <w:t>Verejné financie</w:t>
            </w:r>
          </w:p>
        </w:tc>
        <w:tc>
          <w:tcPr>
            <w:tcW w:w="2410" w:type="dxa"/>
            <w:tcBorders>
              <w:top w:val="single" w:sz="18" w:space="0" w:color="002060"/>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162BB564" w14:textId="77777777" w:rsidR="00226CBB" w:rsidRPr="005C2CEC" w:rsidRDefault="00226CBB" w:rsidP="00226CBB">
            <w:pPr>
              <w:spacing w:after="0"/>
              <w:jc w:val="left"/>
              <w:rPr>
                <w:color w:val="000000"/>
                <w:sz w:val="20"/>
                <w:szCs w:val="20"/>
              </w:rPr>
            </w:pPr>
            <w:r w:rsidRPr="005C2CEC">
              <w:rPr>
                <w:color w:val="000000"/>
                <w:sz w:val="20"/>
                <w:szCs w:val="20"/>
              </w:rPr>
              <w:t>Zaťaženie verejných financií</w:t>
            </w:r>
          </w:p>
        </w:tc>
        <w:tc>
          <w:tcPr>
            <w:tcW w:w="3827" w:type="dxa"/>
            <w:tcBorders>
              <w:top w:val="single" w:sz="18" w:space="0" w:color="002060"/>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25DA7214" w14:textId="24789154" w:rsidR="00226CBB" w:rsidRPr="005C2CEC" w:rsidRDefault="00226CBB">
            <w:pPr>
              <w:spacing w:after="0"/>
              <w:rPr>
                <w:i/>
                <w:iCs/>
                <w:color w:val="000000"/>
                <w:sz w:val="16"/>
                <w:szCs w:val="16"/>
              </w:rPr>
            </w:pPr>
            <w:r w:rsidRPr="005C2CEC">
              <w:rPr>
                <w:i/>
                <w:iCs/>
                <w:color w:val="000000"/>
                <w:sz w:val="16"/>
                <w:szCs w:val="16"/>
              </w:rPr>
              <w:t>Celkový dopad investície na verejné financie vrátane čerpania fondov</w:t>
            </w:r>
          </w:p>
        </w:tc>
        <w:tc>
          <w:tcPr>
            <w:tcW w:w="992" w:type="dxa"/>
            <w:tcBorders>
              <w:top w:val="single" w:sz="18" w:space="0" w:color="002060"/>
              <w:left w:val="nil"/>
              <w:bottom w:val="single" w:sz="4" w:space="0" w:color="BFBFBF"/>
              <w:right w:val="single" w:sz="4" w:space="0" w:color="BFBFBF"/>
            </w:tcBorders>
            <w:shd w:val="clear" w:color="auto" w:fill="auto"/>
            <w:noWrap/>
            <w:tcMar>
              <w:top w:w="15" w:type="dxa"/>
              <w:left w:w="15" w:type="dxa"/>
              <w:bottom w:w="0" w:type="dxa"/>
              <w:right w:w="15" w:type="dxa"/>
            </w:tcMar>
            <w:vAlign w:val="center"/>
            <w:hideMark/>
          </w:tcPr>
          <w:p w14:paraId="48573E4F" w14:textId="59ACB25F" w:rsidR="00226CBB" w:rsidRPr="005C2CEC" w:rsidRDefault="00226CBB" w:rsidP="00226CBB">
            <w:pPr>
              <w:spacing w:after="0"/>
              <w:jc w:val="center"/>
              <w:rPr>
                <w:sz w:val="20"/>
                <w:szCs w:val="20"/>
              </w:rPr>
            </w:pPr>
            <w:r w:rsidRPr="005C2CEC">
              <w:rPr>
                <w:sz w:val="20"/>
                <w:szCs w:val="20"/>
              </w:rPr>
              <w:t>ÁNO / NIE</w:t>
            </w:r>
          </w:p>
        </w:tc>
        <w:tc>
          <w:tcPr>
            <w:tcW w:w="1418" w:type="dxa"/>
            <w:tcBorders>
              <w:top w:val="single" w:sz="18" w:space="0" w:color="002060"/>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55FE3CC2" w14:textId="77777777" w:rsidR="00226CBB" w:rsidRPr="005C2CEC" w:rsidRDefault="00226CBB" w:rsidP="00226CBB">
            <w:pPr>
              <w:spacing w:after="0"/>
              <w:jc w:val="left"/>
              <w:rPr>
                <w:color w:val="000000"/>
                <w:sz w:val="20"/>
                <w:szCs w:val="20"/>
              </w:rPr>
            </w:pPr>
            <w:r w:rsidRPr="005C2CEC">
              <w:rPr>
                <w:color w:val="000000"/>
                <w:sz w:val="20"/>
                <w:szCs w:val="20"/>
              </w:rPr>
              <w:t> </w:t>
            </w:r>
          </w:p>
        </w:tc>
        <w:tc>
          <w:tcPr>
            <w:tcW w:w="1559" w:type="dxa"/>
            <w:tcBorders>
              <w:top w:val="single" w:sz="18" w:space="0" w:color="002060"/>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156DB313" w14:textId="77777777" w:rsidR="00226CBB" w:rsidRPr="005C2CEC" w:rsidRDefault="00226CBB" w:rsidP="00226CBB">
            <w:pPr>
              <w:spacing w:after="0"/>
              <w:rPr>
                <w:color w:val="000000"/>
                <w:sz w:val="20"/>
                <w:szCs w:val="20"/>
              </w:rPr>
            </w:pPr>
            <w:r w:rsidRPr="005C2CEC">
              <w:rPr>
                <w:color w:val="000000"/>
                <w:sz w:val="20"/>
                <w:szCs w:val="20"/>
              </w:rPr>
              <w:t> </w:t>
            </w:r>
          </w:p>
        </w:tc>
        <w:tc>
          <w:tcPr>
            <w:tcW w:w="1134" w:type="dxa"/>
            <w:tcBorders>
              <w:top w:val="single" w:sz="18" w:space="0" w:color="002060"/>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2C7B9627" w14:textId="77777777" w:rsidR="00226CBB" w:rsidRPr="005C2CEC" w:rsidRDefault="00226CBB" w:rsidP="00226CBB">
            <w:pPr>
              <w:spacing w:after="0"/>
              <w:rPr>
                <w:color w:val="000000"/>
                <w:sz w:val="20"/>
                <w:szCs w:val="20"/>
              </w:rPr>
            </w:pPr>
            <w:r w:rsidRPr="005C2CEC">
              <w:rPr>
                <w:color w:val="000000"/>
                <w:sz w:val="20"/>
                <w:szCs w:val="20"/>
              </w:rPr>
              <w:t> </w:t>
            </w:r>
          </w:p>
        </w:tc>
        <w:tc>
          <w:tcPr>
            <w:tcW w:w="1276" w:type="dxa"/>
            <w:tcBorders>
              <w:top w:val="single" w:sz="18" w:space="0" w:color="002060"/>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1C3C1D21" w14:textId="77777777" w:rsidR="00226CBB" w:rsidRPr="005C2CEC" w:rsidRDefault="00226CBB" w:rsidP="00226CBB">
            <w:pPr>
              <w:spacing w:after="0"/>
              <w:rPr>
                <w:color w:val="000000"/>
                <w:sz w:val="20"/>
                <w:szCs w:val="20"/>
              </w:rPr>
            </w:pPr>
            <w:r w:rsidRPr="005C2CEC">
              <w:rPr>
                <w:color w:val="000000"/>
                <w:sz w:val="20"/>
                <w:szCs w:val="20"/>
              </w:rPr>
              <w:t> </w:t>
            </w:r>
          </w:p>
        </w:tc>
        <w:tc>
          <w:tcPr>
            <w:tcW w:w="469" w:type="dxa"/>
            <w:tcBorders>
              <w:top w:val="single" w:sz="18" w:space="0" w:color="002060"/>
              <w:left w:val="nil"/>
              <w:bottom w:val="single" w:sz="4" w:space="0" w:color="BFBFBF"/>
              <w:right w:val="single" w:sz="18" w:space="0" w:color="002060"/>
            </w:tcBorders>
            <w:shd w:val="clear" w:color="auto" w:fill="auto"/>
            <w:noWrap/>
            <w:tcMar>
              <w:top w:w="15" w:type="dxa"/>
              <w:left w:w="15" w:type="dxa"/>
              <w:bottom w:w="0" w:type="dxa"/>
              <w:right w:w="15" w:type="dxa"/>
            </w:tcMar>
            <w:vAlign w:val="bottom"/>
            <w:hideMark/>
          </w:tcPr>
          <w:p w14:paraId="49362EFD" w14:textId="77777777" w:rsidR="00226CBB" w:rsidRPr="005C2CEC" w:rsidRDefault="00226CBB" w:rsidP="00226CBB">
            <w:pPr>
              <w:spacing w:after="0"/>
              <w:rPr>
                <w:color w:val="000000"/>
                <w:sz w:val="20"/>
                <w:szCs w:val="20"/>
              </w:rPr>
            </w:pPr>
            <w:r w:rsidRPr="005C2CEC">
              <w:rPr>
                <w:color w:val="000000"/>
                <w:sz w:val="20"/>
                <w:szCs w:val="20"/>
              </w:rPr>
              <w:t> </w:t>
            </w:r>
          </w:p>
        </w:tc>
      </w:tr>
      <w:tr w:rsidR="00226CBB" w:rsidRPr="005C2CEC" w14:paraId="56379C7F" w14:textId="77777777" w:rsidTr="00577F95">
        <w:trPr>
          <w:trHeight w:val="259"/>
        </w:trPr>
        <w:tc>
          <w:tcPr>
            <w:tcW w:w="1395" w:type="dxa"/>
            <w:vMerge/>
            <w:tcBorders>
              <w:top w:val="nil"/>
              <w:left w:val="single" w:sz="18" w:space="0" w:color="002060"/>
              <w:bottom w:val="single" w:sz="8" w:space="0" w:color="000000"/>
              <w:right w:val="single" w:sz="4" w:space="0" w:color="BFBFBF"/>
            </w:tcBorders>
            <w:vAlign w:val="center"/>
            <w:hideMark/>
          </w:tcPr>
          <w:p w14:paraId="5362C88B" w14:textId="77777777" w:rsidR="00226CBB" w:rsidRPr="005C2CEC" w:rsidRDefault="00226CBB" w:rsidP="00226CBB">
            <w:pPr>
              <w:spacing w:after="0"/>
              <w:jc w:val="left"/>
              <w:rPr>
                <w:color w:val="000000"/>
              </w:rPr>
            </w:pPr>
          </w:p>
        </w:tc>
        <w:tc>
          <w:tcPr>
            <w:tcW w:w="2410"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0FB44D59" w14:textId="77777777" w:rsidR="00226CBB" w:rsidRPr="005C2CEC" w:rsidRDefault="00226CBB" w:rsidP="00226CBB">
            <w:pPr>
              <w:spacing w:after="0"/>
              <w:jc w:val="left"/>
              <w:rPr>
                <w:color w:val="000000"/>
                <w:sz w:val="20"/>
                <w:szCs w:val="20"/>
              </w:rPr>
            </w:pPr>
            <w:r w:rsidRPr="005C2CEC">
              <w:rPr>
                <w:color w:val="000000"/>
                <w:sz w:val="20"/>
                <w:szCs w:val="20"/>
              </w:rPr>
              <w:t>Zaťaženie štátneho rozpočtu</w:t>
            </w:r>
          </w:p>
        </w:tc>
        <w:tc>
          <w:tcPr>
            <w:tcW w:w="3827"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13080270" w14:textId="77777777" w:rsidR="00226CBB" w:rsidRPr="005C2CEC" w:rsidRDefault="00226CBB" w:rsidP="00226CBB">
            <w:pPr>
              <w:spacing w:after="0"/>
              <w:rPr>
                <w:i/>
                <w:iCs/>
                <w:color w:val="000000"/>
                <w:sz w:val="16"/>
                <w:szCs w:val="16"/>
              </w:rPr>
            </w:pPr>
            <w:r w:rsidRPr="005C2CEC">
              <w:rPr>
                <w:i/>
                <w:iCs/>
                <w:color w:val="000000"/>
                <w:sz w:val="16"/>
                <w:szCs w:val="16"/>
              </w:rPr>
              <w:t>Čistý vplyv na štátny rozpočet, bez príspevkov EÚ a po očistení daňových a iných príjmov</w:t>
            </w:r>
          </w:p>
        </w:tc>
        <w:tc>
          <w:tcPr>
            <w:tcW w:w="992"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center"/>
            <w:hideMark/>
          </w:tcPr>
          <w:p w14:paraId="35523185" w14:textId="3219CD22" w:rsidR="00226CBB" w:rsidRPr="005C2CEC" w:rsidRDefault="00226CBB" w:rsidP="00226CBB">
            <w:pPr>
              <w:spacing w:after="0"/>
              <w:jc w:val="center"/>
              <w:rPr>
                <w:sz w:val="20"/>
                <w:szCs w:val="20"/>
              </w:rPr>
            </w:pPr>
            <w:r w:rsidRPr="005C2CEC">
              <w:rPr>
                <w:sz w:val="20"/>
                <w:szCs w:val="20"/>
              </w:rPr>
              <w:t>ÁNO / NIE</w:t>
            </w:r>
          </w:p>
        </w:tc>
        <w:tc>
          <w:tcPr>
            <w:tcW w:w="1418"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2D4282F3" w14:textId="77777777" w:rsidR="00226CBB" w:rsidRPr="005C2CEC" w:rsidRDefault="00226CBB" w:rsidP="00226CBB">
            <w:pPr>
              <w:spacing w:after="0"/>
              <w:jc w:val="left"/>
              <w:rPr>
                <w:color w:val="000000"/>
                <w:sz w:val="20"/>
                <w:szCs w:val="20"/>
              </w:rPr>
            </w:pPr>
            <w:r w:rsidRPr="005C2CEC">
              <w:rPr>
                <w:color w:val="000000"/>
                <w:sz w:val="20"/>
                <w:szCs w:val="20"/>
              </w:rPr>
              <w:t> </w:t>
            </w:r>
          </w:p>
        </w:tc>
        <w:tc>
          <w:tcPr>
            <w:tcW w:w="1559"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6BA670A0" w14:textId="77777777" w:rsidR="00226CBB" w:rsidRPr="005C2CEC" w:rsidRDefault="00226CBB" w:rsidP="00226CBB">
            <w:pPr>
              <w:spacing w:after="0"/>
              <w:rPr>
                <w:color w:val="000000"/>
                <w:sz w:val="20"/>
                <w:szCs w:val="20"/>
              </w:rPr>
            </w:pPr>
            <w:r w:rsidRPr="005C2CEC">
              <w:rPr>
                <w:color w:val="000000"/>
                <w:sz w:val="20"/>
                <w:szCs w:val="20"/>
              </w:rPr>
              <w:t> </w:t>
            </w:r>
          </w:p>
        </w:tc>
        <w:tc>
          <w:tcPr>
            <w:tcW w:w="1134"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6B3BADD9" w14:textId="77777777" w:rsidR="00226CBB" w:rsidRPr="005C2CEC" w:rsidRDefault="00226CBB" w:rsidP="00226CBB">
            <w:pPr>
              <w:spacing w:after="0"/>
              <w:rPr>
                <w:color w:val="000000"/>
                <w:sz w:val="20"/>
                <w:szCs w:val="20"/>
              </w:rPr>
            </w:pPr>
            <w:r w:rsidRPr="005C2CEC">
              <w:rPr>
                <w:color w:val="000000"/>
                <w:sz w:val="20"/>
                <w:szCs w:val="20"/>
              </w:rPr>
              <w:t> </w:t>
            </w:r>
          </w:p>
        </w:tc>
        <w:tc>
          <w:tcPr>
            <w:tcW w:w="1276"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6B894442" w14:textId="77777777" w:rsidR="00226CBB" w:rsidRPr="005C2CEC" w:rsidRDefault="00226CBB" w:rsidP="00226CBB">
            <w:pPr>
              <w:spacing w:after="0"/>
              <w:rPr>
                <w:color w:val="000000"/>
                <w:sz w:val="20"/>
                <w:szCs w:val="20"/>
              </w:rPr>
            </w:pPr>
            <w:r w:rsidRPr="005C2CEC">
              <w:rPr>
                <w:color w:val="000000"/>
                <w:sz w:val="20"/>
                <w:szCs w:val="20"/>
              </w:rPr>
              <w:t> </w:t>
            </w:r>
          </w:p>
        </w:tc>
        <w:tc>
          <w:tcPr>
            <w:tcW w:w="469" w:type="dxa"/>
            <w:tcBorders>
              <w:top w:val="nil"/>
              <w:left w:val="nil"/>
              <w:bottom w:val="single" w:sz="4" w:space="0" w:color="BFBFBF"/>
              <w:right w:val="single" w:sz="18" w:space="0" w:color="002060"/>
            </w:tcBorders>
            <w:shd w:val="clear" w:color="auto" w:fill="auto"/>
            <w:noWrap/>
            <w:tcMar>
              <w:top w:w="15" w:type="dxa"/>
              <w:left w:w="15" w:type="dxa"/>
              <w:bottom w:w="0" w:type="dxa"/>
              <w:right w:w="15" w:type="dxa"/>
            </w:tcMar>
            <w:vAlign w:val="bottom"/>
            <w:hideMark/>
          </w:tcPr>
          <w:p w14:paraId="0C0C7D82" w14:textId="77777777" w:rsidR="00226CBB" w:rsidRPr="005C2CEC" w:rsidRDefault="00226CBB" w:rsidP="00226CBB">
            <w:pPr>
              <w:spacing w:after="0"/>
              <w:rPr>
                <w:i/>
                <w:iCs/>
                <w:color w:val="000000"/>
                <w:sz w:val="20"/>
                <w:szCs w:val="20"/>
              </w:rPr>
            </w:pPr>
            <w:r w:rsidRPr="005C2CEC">
              <w:rPr>
                <w:i/>
                <w:iCs/>
                <w:color w:val="000000"/>
                <w:sz w:val="20"/>
                <w:szCs w:val="20"/>
              </w:rPr>
              <w:t> </w:t>
            </w:r>
          </w:p>
        </w:tc>
      </w:tr>
      <w:tr w:rsidR="00226CBB" w:rsidRPr="005C2CEC" w14:paraId="0D72F044" w14:textId="77777777" w:rsidTr="00577F95">
        <w:trPr>
          <w:trHeight w:val="246"/>
        </w:trPr>
        <w:tc>
          <w:tcPr>
            <w:tcW w:w="1395" w:type="dxa"/>
            <w:vMerge/>
            <w:tcBorders>
              <w:top w:val="nil"/>
              <w:left w:val="single" w:sz="18" w:space="0" w:color="002060"/>
              <w:bottom w:val="single" w:sz="8" w:space="0" w:color="000000"/>
              <w:right w:val="single" w:sz="4" w:space="0" w:color="BFBFBF"/>
            </w:tcBorders>
            <w:vAlign w:val="center"/>
            <w:hideMark/>
          </w:tcPr>
          <w:p w14:paraId="2E7B9DC9" w14:textId="77777777" w:rsidR="00226CBB" w:rsidRPr="005C2CEC" w:rsidRDefault="00226CBB" w:rsidP="00226CBB">
            <w:pPr>
              <w:spacing w:after="0"/>
              <w:jc w:val="left"/>
              <w:rPr>
                <w:color w:val="000000"/>
              </w:rPr>
            </w:pPr>
          </w:p>
        </w:tc>
        <w:tc>
          <w:tcPr>
            <w:tcW w:w="2410"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57610634" w14:textId="77777777" w:rsidR="00226CBB" w:rsidRPr="005C2CEC" w:rsidRDefault="00226CBB" w:rsidP="00226CBB">
            <w:pPr>
              <w:spacing w:after="0"/>
              <w:jc w:val="left"/>
              <w:rPr>
                <w:color w:val="000000"/>
                <w:sz w:val="20"/>
                <w:szCs w:val="20"/>
              </w:rPr>
            </w:pPr>
            <w:r w:rsidRPr="005C2CEC">
              <w:rPr>
                <w:color w:val="000000"/>
                <w:sz w:val="20"/>
                <w:szCs w:val="20"/>
              </w:rPr>
              <w:t>Prostriedky, už alokované v rozpočte</w:t>
            </w:r>
          </w:p>
        </w:tc>
        <w:tc>
          <w:tcPr>
            <w:tcW w:w="3827"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4037DF18" w14:textId="4733727D" w:rsidR="00226CBB" w:rsidRPr="005C2CEC" w:rsidRDefault="00226CBB" w:rsidP="00226CBB">
            <w:pPr>
              <w:spacing w:after="0"/>
              <w:rPr>
                <w:i/>
                <w:iCs/>
                <w:color w:val="000000"/>
                <w:sz w:val="16"/>
                <w:szCs w:val="16"/>
              </w:rPr>
            </w:pPr>
            <w:r>
              <w:rPr>
                <w:i/>
                <w:iCs/>
                <w:color w:val="000000"/>
                <w:sz w:val="16"/>
                <w:szCs w:val="16"/>
              </w:rPr>
              <w:t>P</w:t>
            </w:r>
            <w:r w:rsidRPr="00E21F9A">
              <w:rPr>
                <w:i/>
                <w:iCs/>
                <w:color w:val="000000"/>
                <w:sz w:val="16"/>
                <w:szCs w:val="16"/>
              </w:rPr>
              <w:t xml:space="preserve">rostriedky, </w:t>
            </w:r>
            <w:r>
              <w:rPr>
                <w:i/>
                <w:iCs/>
                <w:color w:val="000000"/>
                <w:sz w:val="16"/>
                <w:szCs w:val="16"/>
              </w:rPr>
              <w:t>s ktorými návrh rozpočtu počíta</w:t>
            </w:r>
            <w:r w:rsidRPr="00E21F9A">
              <w:rPr>
                <w:i/>
                <w:iCs/>
                <w:color w:val="000000"/>
                <w:sz w:val="16"/>
                <w:szCs w:val="16"/>
              </w:rPr>
              <w:t xml:space="preserve"> </w:t>
            </w:r>
            <w:r>
              <w:rPr>
                <w:i/>
                <w:iCs/>
                <w:color w:val="000000"/>
                <w:sz w:val="16"/>
                <w:szCs w:val="16"/>
              </w:rPr>
              <w:t xml:space="preserve">(napr. na </w:t>
            </w:r>
            <w:r w:rsidRPr="00E21F9A">
              <w:rPr>
                <w:i/>
                <w:iCs/>
                <w:color w:val="000000"/>
                <w:sz w:val="16"/>
                <w:szCs w:val="16"/>
              </w:rPr>
              <w:t>výdavky rozpočtované v rámci rozpočtu verejnej správy na príslušný rozpočtový rok</w:t>
            </w:r>
            <w:r>
              <w:rPr>
                <w:i/>
                <w:iCs/>
                <w:color w:val="000000"/>
                <w:sz w:val="16"/>
                <w:szCs w:val="16"/>
              </w:rPr>
              <w:t>)</w:t>
            </w:r>
          </w:p>
        </w:tc>
        <w:tc>
          <w:tcPr>
            <w:tcW w:w="992" w:type="dxa"/>
            <w:tcBorders>
              <w:top w:val="single" w:sz="4" w:space="0" w:color="BFBFBF"/>
              <w:left w:val="nil"/>
              <w:bottom w:val="single" w:sz="4" w:space="0" w:color="BFBFBF"/>
              <w:right w:val="single" w:sz="4" w:space="0" w:color="BFBFBF"/>
            </w:tcBorders>
            <w:shd w:val="clear" w:color="auto" w:fill="auto"/>
            <w:noWrap/>
            <w:tcMar>
              <w:top w:w="15" w:type="dxa"/>
              <w:left w:w="15" w:type="dxa"/>
              <w:bottom w:w="0" w:type="dxa"/>
              <w:right w:w="15" w:type="dxa"/>
            </w:tcMar>
            <w:vAlign w:val="center"/>
            <w:hideMark/>
          </w:tcPr>
          <w:p w14:paraId="3A766C44" w14:textId="6C90D177" w:rsidR="00226CBB" w:rsidRPr="005C2CEC" w:rsidRDefault="00226CBB" w:rsidP="00226CBB">
            <w:pPr>
              <w:spacing w:after="0"/>
              <w:jc w:val="center"/>
              <w:rPr>
                <w:sz w:val="20"/>
                <w:szCs w:val="20"/>
              </w:rPr>
            </w:pPr>
            <w:r w:rsidRPr="005C2CEC">
              <w:rPr>
                <w:sz w:val="20"/>
                <w:szCs w:val="20"/>
              </w:rPr>
              <w:t>ÁNO / NIE</w:t>
            </w:r>
          </w:p>
        </w:tc>
        <w:tc>
          <w:tcPr>
            <w:tcW w:w="1418"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6C2450A8" w14:textId="77777777" w:rsidR="00226CBB" w:rsidRPr="005C2CEC" w:rsidRDefault="00226CBB" w:rsidP="00226CBB">
            <w:pPr>
              <w:spacing w:after="0"/>
              <w:jc w:val="left"/>
              <w:rPr>
                <w:color w:val="000000"/>
                <w:sz w:val="20"/>
                <w:szCs w:val="20"/>
              </w:rPr>
            </w:pPr>
            <w:r w:rsidRPr="005C2CEC">
              <w:rPr>
                <w:color w:val="000000"/>
                <w:sz w:val="20"/>
                <w:szCs w:val="20"/>
              </w:rPr>
              <w:t> </w:t>
            </w:r>
          </w:p>
        </w:tc>
        <w:tc>
          <w:tcPr>
            <w:tcW w:w="1559"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483722B5" w14:textId="77777777" w:rsidR="00226CBB" w:rsidRPr="005C2CEC" w:rsidRDefault="00226CBB" w:rsidP="00226CBB">
            <w:pPr>
              <w:spacing w:after="0"/>
              <w:rPr>
                <w:color w:val="000000"/>
                <w:sz w:val="20"/>
                <w:szCs w:val="20"/>
              </w:rPr>
            </w:pPr>
            <w:r w:rsidRPr="005C2CEC">
              <w:rPr>
                <w:color w:val="000000"/>
                <w:sz w:val="20"/>
                <w:szCs w:val="20"/>
              </w:rPr>
              <w:t> </w:t>
            </w:r>
          </w:p>
        </w:tc>
        <w:tc>
          <w:tcPr>
            <w:tcW w:w="1134"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063B6654" w14:textId="77777777" w:rsidR="00226CBB" w:rsidRPr="005C2CEC" w:rsidRDefault="00226CBB" w:rsidP="00226CBB">
            <w:pPr>
              <w:spacing w:after="0"/>
              <w:rPr>
                <w:color w:val="000000"/>
                <w:sz w:val="20"/>
                <w:szCs w:val="20"/>
              </w:rPr>
            </w:pPr>
            <w:r w:rsidRPr="005C2CEC">
              <w:rPr>
                <w:color w:val="000000"/>
                <w:sz w:val="20"/>
                <w:szCs w:val="20"/>
              </w:rPr>
              <w:t> </w:t>
            </w:r>
          </w:p>
        </w:tc>
        <w:tc>
          <w:tcPr>
            <w:tcW w:w="1276"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2FD15F8F" w14:textId="77777777" w:rsidR="00226CBB" w:rsidRPr="005C2CEC" w:rsidRDefault="00226CBB" w:rsidP="00226CBB">
            <w:pPr>
              <w:spacing w:after="0"/>
              <w:rPr>
                <w:color w:val="000000"/>
                <w:sz w:val="20"/>
                <w:szCs w:val="20"/>
              </w:rPr>
            </w:pPr>
            <w:r w:rsidRPr="005C2CEC">
              <w:rPr>
                <w:color w:val="000000"/>
                <w:sz w:val="20"/>
                <w:szCs w:val="20"/>
              </w:rPr>
              <w:t> </w:t>
            </w:r>
          </w:p>
        </w:tc>
        <w:tc>
          <w:tcPr>
            <w:tcW w:w="469" w:type="dxa"/>
            <w:tcBorders>
              <w:top w:val="nil"/>
              <w:left w:val="nil"/>
              <w:bottom w:val="single" w:sz="4" w:space="0" w:color="BFBFBF"/>
              <w:right w:val="single" w:sz="18" w:space="0" w:color="002060"/>
            </w:tcBorders>
            <w:shd w:val="clear" w:color="auto" w:fill="auto"/>
            <w:noWrap/>
            <w:tcMar>
              <w:top w:w="15" w:type="dxa"/>
              <w:left w:w="15" w:type="dxa"/>
              <w:bottom w:w="0" w:type="dxa"/>
              <w:right w:w="15" w:type="dxa"/>
            </w:tcMar>
            <w:vAlign w:val="bottom"/>
            <w:hideMark/>
          </w:tcPr>
          <w:p w14:paraId="0E4BCFE3" w14:textId="77777777" w:rsidR="00226CBB" w:rsidRPr="005C2CEC" w:rsidRDefault="00226CBB" w:rsidP="00226CBB">
            <w:pPr>
              <w:spacing w:after="0"/>
              <w:rPr>
                <w:color w:val="000000"/>
                <w:sz w:val="20"/>
                <w:szCs w:val="20"/>
              </w:rPr>
            </w:pPr>
            <w:r w:rsidRPr="005C2CEC">
              <w:rPr>
                <w:color w:val="000000"/>
                <w:sz w:val="20"/>
                <w:szCs w:val="20"/>
              </w:rPr>
              <w:t> </w:t>
            </w:r>
          </w:p>
        </w:tc>
      </w:tr>
      <w:tr w:rsidR="00226CBB" w:rsidRPr="005C2CEC" w14:paraId="1B1E1A33" w14:textId="77777777" w:rsidTr="00577F95">
        <w:trPr>
          <w:trHeight w:val="396"/>
        </w:trPr>
        <w:tc>
          <w:tcPr>
            <w:tcW w:w="1395" w:type="dxa"/>
            <w:vMerge/>
            <w:tcBorders>
              <w:top w:val="nil"/>
              <w:left w:val="single" w:sz="18" w:space="0" w:color="002060"/>
              <w:bottom w:val="single" w:sz="8" w:space="0" w:color="000000"/>
              <w:right w:val="single" w:sz="4" w:space="0" w:color="BFBFBF"/>
            </w:tcBorders>
            <w:vAlign w:val="center"/>
            <w:hideMark/>
          </w:tcPr>
          <w:p w14:paraId="0D78080B" w14:textId="77777777" w:rsidR="00226CBB" w:rsidRPr="005C2CEC" w:rsidRDefault="00226CBB" w:rsidP="00226CBB">
            <w:pPr>
              <w:spacing w:after="0"/>
              <w:rPr>
                <w:color w:val="000000"/>
              </w:rPr>
            </w:pPr>
          </w:p>
        </w:tc>
        <w:tc>
          <w:tcPr>
            <w:tcW w:w="2410"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50D94F55" w14:textId="77777777" w:rsidR="00226CBB" w:rsidRPr="005C2CEC" w:rsidRDefault="00226CBB" w:rsidP="00226CBB">
            <w:pPr>
              <w:spacing w:after="0"/>
              <w:jc w:val="left"/>
              <w:rPr>
                <w:color w:val="000000"/>
                <w:sz w:val="20"/>
                <w:szCs w:val="20"/>
              </w:rPr>
            </w:pPr>
            <w:r w:rsidRPr="005C2CEC">
              <w:rPr>
                <w:color w:val="000000"/>
                <w:sz w:val="20"/>
                <w:szCs w:val="20"/>
              </w:rPr>
              <w:t>Prostriedky z EŠIF, CEF, KF a iných schém</w:t>
            </w:r>
          </w:p>
        </w:tc>
        <w:tc>
          <w:tcPr>
            <w:tcW w:w="3827"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3BC558B4" w14:textId="77777777" w:rsidR="00226CBB" w:rsidRPr="005C2CEC" w:rsidRDefault="00226CBB" w:rsidP="00226CBB">
            <w:pPr>
              <w:spacing w:after="0"/>
              <w:rPr>
                <w:i/>
                <w:iCs/>
                <w:color w:val="000000"/>
                <w:sz w:val="16"/>
                <w:szCs w:val="16"/>
              </w:rPr>
            </w:pPr>
            <w:r w:rsidRPr="005C2CEC">
              <w:rPr>
                <w:i/>
                <w:iCs/>
                <w:color w:val="000000"/>
                <w:sz w:val="16"/>
                <w:szCs w:val="16"/>
              </w:rPr>
              <w:t>Prostriedky, ktoré budú financované zo štrukturálnych či iných fondov</w:t>
            </w:r>
          </w:p>
        </w:tc>
        <w:tc>
          <w:tcPr>
            <w:tcW w:w="992" w:type="dxa"/>
            <w:tcBorders>
              <w:top w:val="single" w:sz="4" w:space="0" w:color="BFBFBF"/>
              <w:left w:val="nil"/>
              <w:bottom w:val="single" w:sz="4" w:space="0" w:color="BFBFBF"/>
              <w:right w:val="single" w:sz="4" w:space="0" w:color="BFBFBF"/>
            </w:tcBorders>
            <w:shd w:val="clear" w:color="auto" w:fill="auto"/>
            <w:noWrap/>
            <w:tcMar>
              <w:top w:w="15" w:type="dxa"/>
              <w:left w:w="15" w:type="dxa"/>
              <w:bottom w:w="0" w:type="dxa"/>
              <w:right w:w="15" w:type="dxa"/>
            </w:tcMar>
            <w:vAlign w:val="center"/>
            <w:hideMark/>
          </w:tcPr>
          <w:p w14:paraId="1CE8CFA7" w14:textId="202C4B48" w:rsidR="00226CBB" w:rsidRPr="005C2CEC" w:rsidRDefault="00226CBB" w:rsidP="00226CBB">
            <w:pPr>
              <w:spacing w:after="0"/>
              <w:jc w:val="center"/>
              <w:rPr>
                <w:sz w:val="20"/>
                <w:szCs w:val="20"/>
              </w:rPr>
            </w:pPr>
            <w:r w:rsidRPr="005C2CEC">
              <w:rPr>
                <w:sz w:val="20"/>
                <w:szCs w:val="20"/>
              </w:rPr>
              <w:t>ÁNO / NIE</w:t>
            </w:r>
          </w:p>
        </w:tc>
        <w:tc>
          <w:tcPr>
            <w:tcW w:w="1418"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2A73007A" w14:textId="77777777" w:rsidR="00226CBB" w:rsidRPr="005C2CEC" w:rsidRDefault="00226CBB" w:rsidP="00226CBB">
            <w:pPr>
              <w:spacing w:after="0"/>
              <w:jc w:val="left"/>
              <w:rPr>
                <w:color w:val="000000"/>
                <w:sz w:val="20"/>
                <w:szCs w:val="20"/>
              </w:rPr>
            </w:pPr>
            <w:r w:rsidRPr="005C2CEC">
              <w:rPr>
                <w:color w:val="000000"/>
                <w:sz w:val="20"/>
                <w:szCs w:val="20"/>
              </w:rPr>
              <w:t> </w:t>
            </w:r>
          </w:p>
        </w:tc>
        <w:tc>
          <w:tcPr>
            <w:tcW w:w="1559"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18E614C0" w14:textId="77777777" w:rsidR="00226CBB" w:rsidRPr="005C2CEC" w:rsidRDefault="00226CBB" w:rsidP="00226CBB">
            <w:pPr>
              <w:spacing w:after="0"/>
              <w:rPr>
                <w:color w:val="000000"/>
                <w:sz w:val="20"/>
                <w:szCs w:val="20"/>
              </w:rPr>
            </w:pPr>
            <w:r w:rsidRPr="005C2CEC">
              <w:rPr>
                <w:color w:val="000000"/>
                <w:sz w:val="20"/>
                <w:szCs w:val="20"/>
              </w:rPr>
              <w:t> </w:t>
            </w:r>
          </w:p>
        </w:tc>
        <w:tc>
          <w:tcPr>
            <w:tcW w:w="1134"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4DB6C7B7" w14:textId="77777777" w:rsidR="00226CBB" w:rsidRPr="005C2CEC" w:rsidRDefault="00226CBB" w:rsidP="00226CBB">
            <w:pPr>
              <w:spacing w:after="0"/>
              <w:rPr>
                <w:color w:val="000000"/>
                <w:sz w:val="20"/>
                <w:szCs w:val="20"/>
              </w:rPr>
            </w:pPr>
            <w:r w:rsidRPr="005C2CEC">
              <w:rPr>
                <w:color w:val="000000"/>
                <w:sz w:val="20"/>
                <w:szCs w:val="20"/>
              </w:rPr>
              <w:t> </w:t>
            </w:r>
          </w:p>
        </w:tc>
        <w:tc>
          <w:tcPr>
            <w:tcW w:w="1276"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781899A2" w14:textId="77777777" w:rsidR="00226CBB" w:rsidRPr="005C2CEC" w:rsidRDefault="00226CBB" w:rsidP="00226CBB">
            <w:pPr>
              <w:spacing w:after="0"/>
              <w:rPr>
                <w:color w:val="000000"/>
                <w:sz w:val="20"/>
                <w:szCs w:val="20"/>
              </w:rPr>
            </w:pPr>
            <w:r w:rsidRPr="005C2CEC">
              <w:rPr>
                <w:color w:val="000000"/>
                <w:sz w:val="20"/>
                <w:szCs w:val="20"/>
              </w:rPr>
              <w:t> </w:t>
            </w:r>
          </w:p>
        </w:tc>
        <w:tc>
          <w:tcPr>
            <w:tcW w:w="469" w:type="dxa"/>
            <w:tcBorders>
              <w:top w:val="nil"/>
              <w:left w:val="nil"/>
              <w:bottom w:val="single" w:sz="4" w:space="0" w:color="BFBFBF"/>
              <w:right w:val="single" w:sz="18" w:space="0" w:color="002060"/>
            </w:tcBorders>
            <w:shd w:val="clear" w:color="auto" w:fill="auto"/>
            <w:noWrap/>
            <w:tcMar>
              <w:top w:w="15" w:type="dxa"/>
              <w:left w:w="15" w:type="dxa"/>
              <w:bottom w:w="0" w:type="dxa"/>
              <w:right w:w="15" w:type="dxa"/>
            </w:tcMar>
            <w:vAlign w:val="bottom"/>
            <w:hideMark/>
          </w:tcPr>
          <w:p w14:paraId="62CADA1B" w14:textId="77777777" w:rsidR="00226CBB" w:rsidRPr="005C2CEC" w:rsidRDefault="00226CBB" w:rsidP="00226CBB">
            <w:pPr>
              <w:spacing w:after="0"/>
              <w:rPr>
                <w:i/>
                <w:iCs/>
                <w:color w:val="000000"/>
                <w:sz w:val="20"/>
                <w:szCs w:val="20"/>
              </w:rPr>
            </w:pPr>
            <w:r w:rsidRPr="005C2CEC">
              <w:rPr>
                <w:i/>
                <w:iCs/>
                <w:color w:val="000000"/>
                <w:sz w:val="20"/>
                <w:szCs w:val="20"/>
              </w:rPr>
              <w:t> </w:t>
            </w:r>
          </w:p>
        </w:tc>
      </w:tr>
      <w:tr w:rsidR="00226CBB" w:rsidRPr="005C2CEC" w14:paraId="40DF0F0E" w14:textId="77777777" w:rsidTr="00577F95">
        <w:trPr>
          <w:trHeight w:val="261"/>
        </w:trPr>
        <w:tc>
          <w:tcPr>
            <w:tcW w:w="1395" w:type="dxa"/>
            <w:vMerge/>
            <w:tcBorders>
              <w:top w:val="nil"/>
              <w:left w:val="single" w:sz="18" w:space="0" w:color="002060"/>
              <w:bottom w:val="single" w:sz="8" w:space="0" w:color="000000"/>
              <w:right w:val="single" w:sz="4" w:space="0" w:color="BFBFBF"/>
            </w:tcBorders>
            <w:vAlign w:val="center"/>
            <w:hideMark/>
          </w:tcPr>
          <w:p w14:paraId="6CDFC894" w14:textId="77777777" w:rsidR="00226CBB" w:rsidRPr="005C2CEC" w:rsidRDefault="00226CBB" w:rsidP="00226CBB">
            <w:pPr>
              <w:spacing w:after="0"/>
              <w:rPr>
                <w:color w:val="000000"/>
              </w:rPr>
            </w:pPr>
          </w:p>
        </w:tc>
        <w:tc>
          <w:tcPr>
            <w:tcW w:w="2410"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601EBC7E" w14:textId="77777777" w:rsidR="00226CBB" w:rsidRPr="005C2CEC" w:rsidRDefault="00226CBB" w:rsidP="00226CBB">
            <w:pPr>
              <w:spacing w:after="0"/>
              <w:jc w:val="left"/>
              <w:rPr>
                <w:color w:val="000000"/>
                <w:sz w:val="20"/>
                <w:szCs w:val="20"/>
              </w:rPr>
            </w:pPr>
            <w:r w:rsidRPr="005C2CEC">
              <w:rPr>
                <w:color w:val="000000"/>
                <w:sz w:val="20"/>
                <w:szCs w:val="20"/>
              </w:rPr>
              <w:t>Priame príjmy pre verejný sektor</w:t>
            </w:r>
          </w:p>
        </w:tc>
        <w:tc>
          <w:tcPr>
            <w:tcW w:w="3827" w:type="dxa"/>
            <w:tcBorders>
              <w:top w:val="nil"/>
              <w:left w:val="nil"/>
              <w:bottom w:val="single" w:sz="4" w:space="0" w:color="BFBFBF"/>
              <w:right w:val="single" w:sz="4" w:space="0" w:color="BFBFBF"/>
            </w:tcBorders>
            <w:shd w:val="clear" w:color="000000" w:fill="F2F2F2"/>
            <w:tcMar>
              <w:top w:w="15" w:type="dxa"/>
              <w:left w:w="15" w:type="dxa"/>
              <w:bottom w:w="0" w:type="dxa"/>
              <w:right w:w="15" w:type="dxa"/>
            </w:tcMar>
            <w:vAlign w:val="center"/>
            <w:hideMark/>
          </w:tcPr>
          <w:p w14:paraId="163208D0" w14:textId="77777777" w:rsidR="00226CBB" w:rsidRPr="005C2CEC" w:rsidRDefault="00226CBB" w:rsidP="00226CBB">
            <w:pPr>
              <w:spacing w:after="0"/>
              <w:rPr>
                <w:i/>
                <w:iCs/>
                <w:color w:val="000000"/>
                <w:sz w:val="16"/>
                <w:szCs w:val="16"/>
              </w:rPr>
            </w:pPr>
            <w:r w:rsidRPr="005C2CEC">
              <w:rPr>
                <w:i/>
                <w:iCs/>
                <w:color w:val="000000"/>
                <w:sz w:val="16"/>
                <w:szCs w:val="16"/>
              </w:rPr>
              <w:t>Príjmy pre verejný sektor ako dane, clo, mýto či správne poplatky</w:t>
            </w:r>
          </w:p>
        </w:tc>
        <w:tc>
          <w:tcPr>
            <w:tcW w:w="992" w:type="dxa"/>
            <w:tcBorders>
              <w:top w:val="single" w:sz="4" w:space="0" w:color="BFBFBF"/>
              <w:left w:val="nil"/>
              <w:bottom w:val="single" w:sz="4" w:space="0" w:color="BFBFBF"/>
              <w:right w:val="single" w:sz="4" w:space="0" w:color="BFBFBF"/>
            </w:tcBorders>
            <w:shd w:val="clear" w:color="auto" w:fill="auto"/>
            <w:noWrap/>
            <w:tcMar>
              <w:top w:w="15" w:type="dxa"/>
              <w:left w:w="15" w:type="dxa"/>
              <w:bottom w:w="0" w:type="dxa"/>
              <w:right w:w="15" w:type="dxa"/>
            </w:tcMar>
            <w:vAlign w:val="center"/>
            <w:hideMark/>
          </w:tcPr>
          <w:p w14:paraId="1888E1A4" w14:textId="5E975406" w:rsidR="00226CBB" w:rsidRPr="005C2CEC" w:rsidRDefault="00226CBB" w:rsidP="00226CBB">
            <w:pPr>
              <w:spacing w:after="0"/>
              <w:jc w:val="center"/>
              <w:rPr>
                <w:sz w:val="20"/>
                <w:szCs w:val="20"/>
              </w:rPr>
            </w:pPr>
            <w:r w:rsidRPr="005C2CEC">
              <w:rPr>
                <w:sz w:val="20"/>
                <w:szCs w:val="20"/>
              </w:rPr>
              <w:t>ÁNO / NIE</w:t>
            </w:r>
          </w:p>
        </w:tc>
        <w:tc>
          <w:tcPr>
            <w:tcW w:w="1418"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56450E65" w14:textId="77777777" w:rsidR="00226CBB" w:rsidRPr="005C2CEC" w:rsidRDefault="00226CBB" w:rsidP="00226CBB">
            <w:pPr>
              <w:spacing w:after="0"/>
              <w:jc w:val="left"/>
              <w:rPr>
                <w:color w:val="000000"/>
                <w:sz w:val="20"/>
                <w:szCs w:val="20"/>
              </w:rPr>
            </w:pPr>
            <w:r w:rsidRPr="005C2CEC">
              <w:rPr>
                <w:color w:val="000000"/>
                <w:sz w:val="20"/>
                <w:szCs w:val="20"/>
              </w:rPr>
              <w:t> </w:t>
            </w:r>
          </w:p>
        </w:tc>
        <w:tc>
          <w:tcPr>
            <w:tcW w:w="1559"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32460CE9" w14:textId="77777777" w:rsidR="00226CBB" w:rsidRPr="005C2CEC" w:rsidRDefault="00226CBB" w:rsidP="00226CBB">
            <w:pPr>
              <w:spacing w:after="0"/>
              <w:rPr>
                <w:color w:val="000000"/>
                <w:sz w:val="20"/>
                <w:szCs w:val="20"/>
              </w:rPr>
            </w:pPr>
            <w:r w:rsidRPr="005C2CEC">
              <w:rPr>
                <w:color w:val="000000"/>
                <w:sz w:val="20"/>
                <w:szCs w:val="20"/>
              </w:rPr>
              <w:t> </w:t>
            </w:r>
          </w:p>
        </w:tc>
        <w:tc>
          <w:tcPr>
            <w:tcW w:w="1134"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446A26C7" w14:textId="77777777" w:rsidR="00226CBB" w:rsidRPr="005C2CEC" w:rsidRDefault="00226CBB" w:rsidP="00226CBB">
            <w:pPr>
              <w:spacing w:after="0"/>
              <w:rPr>
                <w:color w:val="000000"/>
                <w:sz w:val="20"/>
                <w:szCs w:val="20"/>
              </w:rPr>
            </w:pPr>
            <w:r w:rsidRPr="005C2CEC">
              <w:rPr>
                <w:color w:val="000000"/>
                <w:sz w:val="20"/>
                <w:szCs w:val="20"/>
              </w:rPr>
              <w:t> </w:t>
            </w:r>
          </w:p>
        </w:tc>
        <w:tc>
          <w:tcPr>
            <w:tcW w:w="1276" w:type="dxa"/>
            <w:tcBorders>
              <w:top w:val="nil"/>
              <w:left w:val="nil"/>
              <w:bottom w:val="single" w:sz="4" w:space="0" w:color="BFBFBF"/>
              <w:right w:val="single" w:sz="4" w:space="0" w:color="BFBFBF"/>
            </w:tcBorders>
            <w:shd w:val="clear" w:color="auto" w:fill="auto"/>
            <w:noWrap/>
            <w:tcMar>
              <w:top w:w="15" w:type="dxa"/>
              <w:left w:w="15" w:type="dxa"/>
              <w:bottom w:w="0" w:type="dxa"/>
              <w:right w:w="15" w:type="dxa"/>
            </w:tcMar>
            <w:vAlign w:val="bottom"/>
            <w:hideMark/>
          </w:tcPr>
          <w:p w14:paraId="375E7BDB" w14:textId="77777777" w:rsidR="00226CBB" w:rsidRPr="005C2CEC" w:rsidRDefault="00226CBB" w:rsidP="00226CBB">
            <w:pPr>
              <w:spacing w:after="0"/>
              <w:rPr>
                <w:color w:val="000000"/>
                <w:sz w:val="20"/>
                <w:szCs w:val="20"/>
              </w:rPr>
            </w:pPr>
            <w:r w:rsidRPr="005C2CEC">
              <w:rPr>
                <w:color w:val="000000"/>
                <w:sz w:val="20"/>
                <w:szCs w:val="20"/>
              </w:rPr>
              <w:t> </w:t>
            </w:r>
          </w:p>
        </w:tc>
        <w:tc>
          <w:tcPr>
            <w:tcW w:w="469" w:type="dxa"/>
            <w:tcBorders>
              <w:top w:val="nil"/>
              <w:left w:val="nil"/>
              <w:bottom w:val="single" w:sz="4" w:space="0" w:color="BFBFBF"/>
              <w:right w:val="single" w:sz="18" w:space="0" w:color="002060"/>
            </w:tcBorders>
            <w:shd w:val="clear" w:color="auto" w:fill="auto"/>
            <w:noWrap/>
            <w:tcMar>
              <w:top w:w="15" w:type="dxa"/>
              <w:left w:w="15" w:type="dxa"/>
              <w:bottom w:w="0" w:type="dxa"/>
              <w:right w:w="15" w:type="dxa"/>
            </w:tcMar>
            <w:vAlign w:val="bottom"/>
            <w:hideMark/>
          </w:tcPr>
          <w:p w14:paraId="3EC2590D" w14:textId="77777777" w:rsidR="00226CBB" w:rsidRPr="005C2CEC" w:rsidRDefault="00226CBB" w:rsidP="00226CBB">
            <w:pPr>
              <w:spacing w:after="0"/>
              <w:rPr>
                <w:color w:val="000000"/>
                <w:sz w:val="20"/>
                <w:szCs w:val="20"/>
              </w:rPr>
            </w:pPr>
            <w:r w:rsidRPr="005C2CEC">
              <w:rPr>
                <w:color w:val="000000"/>
                <w:sz w:val="20"/>
                <w:szCs w:val="20"/>
              </w:rPr>
              <w:t> </w:t>
            </w:r>
          </w:p>
        </w:tc>
      </w:tr>
      <w:tr w:rsidR="00226CBB" w:rsidRPr="005C2CEC" w14:paraId="4B107E68" w14:textId="77777777" w:rsidTr="00577F95">
        <w:trPr>
          <w:trHeight w:val="425"/>
        </w:trPr>
        <w:tc>
          <w:tcPr>
            <w:tcW w:w="1395" w:type="dxa"/>
            <w:vMerge/>
            <w:tcBorders>
              <w:top w:val="nil"/>
              <w:left w:val="single" w:sz="18" w:space="0" w:color="002060"/>
              <w:bottom w:val="single" w:sz="8" w:space="0" w:color="000000"/>
              <w:right w:val="single" w:sz="4" w:space="0" w:color="BFBFBF"/>
            </w:tcBorders>
            <w:vAlign w:val="center"/>
            <w:hideMark/>
          </w:tcPr>
          <w:p w14:paraId="485162ED" w14:textId="77777777" w:rsidR="00226CBB" w:rsidRPr="005C2CEC" w:rsidRDefault="00226CBB" w:rsidP="00226CBB">
            <w:pPr>
              <w:spacing w:after="0"/>
              <w:rPr>
                <w:color w:val="000000"/>
              </w:rPr>
            </w:pPr>
          </w:p>
        </w:tc>
        <w:tc>
          <w:tcPr>
            <w:tcW w:w="2410" w:type="dxa"/>
            <w:tcBorders>
              <w:top w:val="nil"/>
              <w:left w:val="nil"/>
              <w:bottom w:val="nil"/>
              <w:right w:val="single" w:sz="4" w:space="0" w:color="BFBFBF"/>
            </w:tcBorders>
            <w:shd w:val="clear" w:color="000000" w:fill="F2F2F2"/>
            <w:tcMar>
              <w:top w:w="15" w:type="dxa"/>
              <w:left w:w="15" w:type="dxa"/>
              <w:bottom w:w="0" w:type="dxa"/>
              <w:right w:w="15" w:type="dxa"/>
            </w:tcMar>
            <w:vAlign w:val="center"/>
            <w:hideMark/>
          </w:tcPr>
          <w:p w14:paraId="754D0BF1" w14:textId="77777777" w:rsidR="00226CBB" w:rsidRPr="005C2CEC" w:rsidRDefault="00226CBB" w:rsidP="00226CBB">
            <w:pPr>
              <w:spacing w:after="0"/>
              <w:jc w:val="left"/>
              <w:rPr>
                <w:color w:val="000000"/>
                <w:sz w:val="20"/>
                <w:szCs w:val="20"/>
              </w:rPr>
            </w:pPr>
            <w:r w:rsidRPr="005C2CEC">
              <w:rPr>
                <w:color w:val="000000"/>
                <w:sz w:val="20"/>
                <w:szCs w:val="20"/>
              </w:rPr>
              <w:t>Príjmy pre operátora</w:t>
            </w:r>
          </w:p>
        </w:tc>
        <w:tc>
          <w:tcPr>
            <w:tcW w:w="3827" w:type="dxa"/>
            <w:tcBorders>
              <w:top w:val="nil"/>
              <w:left w:val="nil"/>
              <w:bottom w:val="nil"/>
              <w:right w:val="single" w:sz="4" w:space="0" w:color="BFBFBF"/>
            </w:tcBorders>
            <w:shd w:val="clear" w:color="000000" w:fill="F2F2F2"/>
            <w:tcMar>
              <w:top w:w="15" w:type="dxa"/>
              <w:left w:w="15" w:type="dxa"/>
              <w:bottom w:w="0" w:type="dxa"/>
              <w:right w:w="15" w:type="dxa"/>
            </w:tcMar>
            <w:vAlign w:val="center"/>
            <w:hideMark/>
          </w:tcPr>
          <w:p w14:paraId="27D00155" w14:textId="77777777" w:rsidR="00226CBB" w:rsidRPr="005C2CEC" w:rsidRDefault="00226CBB" w:rsidP="00226CBB">
            <w:pPr>
              <w:spacing w:after="0"/>
              <w:rPr>
                <w:i/>
                <w:iCs/>
                <w:color w:val="000000"/>
                <w:sz w:val="16"/>
                <w:szCs w:val="16"/>
              </w:rPr>
            </w:pPr>
            <w:r w:rsidRPr="005C2CEC">
              <w:rPr>
                <w:i/>
                <w:iCs/>
                <w:color w:val="000000"/>
                <w:sz w:val="16"/>
                <w:szCs w:val="16"/>
              </w:rPr>
              <w:t>Príjmy pre operátora infraštruktúry/investície, ak ju prevádzkuje súkromný operátor</w:t>
            </w:r>
          </w:p>
        </w:tc>
        <w:tc>
          <w:tcPr>
            <w:tcW w:w="992" w:type="dxa"/>
            <w:tcBorders>
              <w:top w:val="single" w:sz="4" w:space="0" w:color="BFBFBF"/>
              <w:left w:val="nil"/>
              <w:bottom w:val="nil"/>
              <w:right w:val="single" w:sz="4" w:space="0" w:color="BFBFBF"/>
            </w:tcBorders>
            <w:shd w:val="clear" w:color="auto" w:fill="auto"/>
            <w:noWrap/>
            <w:tcMar>
              <w:top w:w="15" w:type="dxa"/>
              <w:left w:w="15" w:type="dxa"/>
              <w:bottom w:w="0" w:type="dxa"/>
              <w:right w:w="15" w:type="dxa"/>
            </w:tcMar>
            <w:vAlign w:val="center"/>
            <w:hideMark/>
          </w:tcPr>
          <w:p w14:paraId="71CFD931" w14:textId="276EF6CE" w:rsidR="00226CBB" w:rsidRPr="005C2CEC" w:rsidRDefault="00226CBB" w:rsidP="00226CBB">
            <w:pPr>
              <w:spacing w:after="0"/>
              <w:jc w:val="center"/>
              <w:rPr>
                <w:sz w:val="20"/>
                <w:szCs w:val="20"/>
              </w:rPr>
            </w:pPr>
            <w:r w:rsidRPr="005C2CEC">
              <w:rPr>
                <w:sz w:val="20"/>
                <w:szCs w:val="20"/>
              </w:rPr>
              <w:t>ÁNO / NIE</w:t>
            </w:r>
          </w:p>
        </w:tc>
        <w:tc>
          <w:tcPr>
            <w:tcW w:w="1418" w:type="dxa"/>
            <w:tcBorders>
              <w:top w:val="nil"/>
              <w:left w:val="nil"/>
              <w:bottom w:val="nil"/>
              <w:right w:val="single" w:sz="4" w:space="0" w:color="BFBFBF"/>
            </w:tcBorders>
            <w:shd w:val="clear" w:color="auto" w:fill="auto"/>
            <w:noWrap/>
            <w:tcMar>
              <w:top w:w="15" w:type="dxa"/>
              <w:left w:w="15" w:type="dxa"/>
              <w:bottom w:w="0" w:type="dxa"/>
              <w:right w:w="15" w:type="dxa"/>
            </w:tcMar>
            <w:vAlign w:val="bottom"/>
            <w:hideMark/>
          </w:tcPr>
          <w:p w14:paraId="4DCC194C" w14:textId="77777777" w:rsidR="00226CBB" w:rsidRPr="005C2CEC" w:rsidRDefault="00226CBB" w:rsidP="00226CBB">
            <w:pPr>
              <w:spacing w:after="0"/>
              <w:jc w:val="left"/>
              <w:rPr>
                <w:color w:val="000000"/>
                <w:sz w:val="20"/>
                <w:szCs w:val="20"/>
              </w:rPr>
            </w:pPr>
            <w:r w:rsidRPr="005C2CEC">
              <w:rPr>
                <w:color w:val="000000"/>
                <w:sz w:val="20"/>
                <w:szCs w:val="20"/>
              </w:rPr>
              <w:t> </w:t>
            </w:r>
          </w:p>
        </w:tc>
        <w:tc>
          <w:tcPr>
            <w:tcW w:w="1559" w:type="dxa"/>
            <w:tcBorders>
              <w:top w:val="nil"/>
              <w:left w:val="nil"/>
              <w:bottom w:val="nil"/>
              <w:right w:val="single" w:sz="4" w:space="0" w:color="BFBFBF"/>
            </w:tcBorders>
            <w:shd w:val="clear" w:color="auto" w:fill="auto"/>
            <w:noWrap/>
            <w:tcMar>
              <w:top w:w="15" w:type="dxa"/>
              <w:left w:w="15" w:type="dxa"/>
              <w:bottom w:w="0" w:type="dxa"/>
              <w:right w:w="15" w:type="dxa"/>
            </w:tcMar>
            <w:vAlign w:val="bottom"/>
            <w:hideMark/>
          </w:tcPr>
          <w:p w14:paraId="29F3530D" w14:textId="77777777" w:rsidR="00226CBB" w:rsidRPr="005C2CEC" w:rsidRDefault="00226CBB" w:rsidP="00226CBB">
            <w:pPr>
              <w:spacing w:after="0"/>
              <w:rPr>
                <w:color w:val="000000"/>
                <w:sz w:val="20"/>
                <w:szCs w:val="20"/>
              </w:rPr>
            </w:pPr>
            <w:r w:rsidRPr="005C2CEC">
              <w:rPr>
                <w:color w:val="000000"/>
                <w:sz w:val="20"/>
                <w:szCs w:val="20"/>
              </w:rPr>
              <w:t> </w:t>
            </w:r>
          </w:p>
        </w:tc>
        <w:tc>
          <w:tcPr>
            <w:tcW w:w="1134" w:type="dxa"/>
            <w:tcBorders>
              <w:top w:val="nil"/>
              <w:left w:val="nil"/>
              <w:bottom w:val="nil"/>
              <w:right w:val="single" w:sz="4" w:space="0" w:color="BFBFBF"/>
            </w:tcBorders>
            <w:shd w:val="clear" w:color="auto" w:fill="auto"/>
            <w:noWrap/>
            <w:tcMar>
              <w:top w:w="15" w:type="dxa"/>
              <w:left w:w="15" w:type="dxa"/>
              <w:bottom w:w="0" w:type="dxa"/>
              <w:right w:w="15" w:type="dxa"/>
            </w:tcMar>
            <w:vAlign w:val="bottom"/>
            <w:hideMark/>
          </w:tcPr>
          <w:p w14:paraId="76C5D669" w14:textId="77777777" w:rsidR="00226CBB" w:rsidRPr="005C2CEC" w:rsidRDefault="00226CBB" w:rsidP="00226CBB">
            <w:pPr>
              <w:spacing w:after="0"/>
              <w:rPr>
                <w:color w:val="000000"/>
                <w:sz w:val="20"/>
                <w:szCs w:val="20"/>
              </w:rPr>
            </w:pPr>
            <w:r w:rsidRPr="005C2CEC">
              <w:rPr>
                <w:color w:val="000000"/>
                <w:sz w:val="20"/>
                <w:szCs w:val="20"/>
              </w:rPr>
              <w:t> </w:t>
            </w:r>
          </w:p>
        </w:tc>
        <w:tc>
          <w:tcPr>
            <w:tcW w:w="1276" w:type="dxa"/>
            <w:tcBorders>
              <w:top w:val="nil"/>
              <w:left w:val="nil"/>
              <w:bottom w:val="nil"/>
              <w:right w:val="single" w:sz="4" w:space="0" w:color="BFBFBF"/>
            </w:tcBorders>
            <w:shd w:val="clear" w:color="auto" w:fill="auto"/>
            <w:noWrap/>
            <w:tcMar>
              <w:top w:w="15" w:type="dxa"/>
              <w:left w:w="15" w:type="dxa"/>
              <w:bottom w:w="0" w:type="dxa"/>
              <w:right w:w="15" w:type="dxa"/>
            </w:tcMar>
            <w:vAlign w:val="bottom"/>
            <w:hideMark/>
          </w:tcPr>
          <w:p w14:paraId="1EBF7F4B" w14:textId="77777777" w:rsidR="00226CBB" w:rsidRPr="005C2CEC" w:rsidRDefault="00226CBB" w:rsidP="00226CBB">
            <w:pPr>
              <w:spacing w:after="0"/>
              <w:rPr>
                <w:color w:val="000000"/>
                <w:sz w:val="20"/>
                <w:szCs w:val="20"/>
              </w:rPr>
            </w:pPr>
            <w:r w:rsidRPr="005C2CEC">
              <w:rPr>
                <w:color w:val="000000"/>
                <w:sz w:val="20"/>
                <w:szCs w:val="20"/>
              </w:rPr>
              <w:t> </w:t>
            </w:r>
          </w:p>
        </w:tc>
        <w:tc>
          <w:tcPr>
            <w:tcW w:w="469" w:type="dxa"/>
            <w:tcBorders>
              <w:top w:val="nil"/>
              <w:left w:val="nil"/>
              <w:bottom w:val="nil"/>
              <w:right w:val="single" w:sz="18" w:space="0" w:color="002060"/>
            </w:tcBorders>
            <w:shd w:val="clear" w:color="auto" w:fill="auto"/>
            <w:noWrap/>
            <w:tcMar>
              <w:top w:w="15" w:type="dxa"/>
              <w:left w:w="15" w:type="dxa"/>
              <w:bottom w:w="0" w:type="dxa"/>
              <w:right w:w="15" w:type="dxa"/>
            </w:tcMar>
            <w:vAlign w:val="bottom"/>
            <w:hideMark/>
          </w:tcPr>
          <w:p w14:paraId="3383318B" w14:textId="77777777" w:rsidR="00226CBB" w:rsidRPr="005C2CEC" w:rsidRDefault="00226CBB" w:rsidP="00226CBB">
            <w:pPr>
              <w:spacing w:after="0"/>
              <w:rPr>
                <w:color w:val="000000"/>
                <w:sz w:val="20"/>
                <w:szCs w:val="20"/>
              </w:rPr>
            </w:pPr>
            <w:r w:rsidRPr="005C2CEC">
              <w:rPr>
                <w:color w:val="000000"/>
                <w:sz w:val="20"/>
                <w:szCs w:val="20"/>
              </w:rPr>
              <w:t> </w:t>
            </w:r>
          </w:p>
        </w:tc>
      </w:tr>
      <w:tr w:rsidR="00226CBB" w:rsidRPr="005C2CEC" w14:paraId="47C1C45D" w14:textId="77777777" w:rsidTr="00577F95">
        <w:trPr>
          <w:trHeight w:val="402"/>
        </w:trPr>
        <w:tc>
          <w:tcPr>
            <w:tcW w:w="1395" w:type="dxa"/>
            <w:vMerge/>
            <w:tcBorders>
              <w:top w:val="nil"/>
              <w:left w:val="single" w:sz="18" w:space="0" w:color="002060"/>
              <w:bottom w:val="single" w:sz="18" w:space="0" w:color="002060"/>
              <w:right w:val="single" w:sz="4" w:space="0" w:color="BFBFBF"/>
            </w:tcBorders>
            <w:vAlign w:val="center"/>
            <w:hideMark/>
          </w:tcPr>
          <w:p w14:paraId="52CE3E9C" w14:textId="77777777" w:rsidR="00226CBB" w:rsidRPr="005C2CEC" w:rsidRDefault="00226CBB" w:rsidP="00226CBB">
            <w:pPr>
              <w:spacing w:after="0"/>
              <w:rPr>
                <w:color w:val="000000"/>
              </w:rPr>
            </w:pPr>
          </w:p>
        </w:tc>
        <w:tc>
          <w:tcPr>
            <w:tcW w:w="2410" w:type="dxa"/>
            <w:tcBorders>
              <w:top w:val="single" w:sz="4" w:space="0" w:color="BFBFBF"/>
              <w:left w:val="nil"/>
              <w:bottom w:val="single" w:sz="18" w:space="0" w:color="002060"/>
              <w:right w:val="single" w:sz="4" w:space="0" w:color="BFBFBF"/>
            </w:tcBorders>
            <w:shd w:val="clear" w:color="000000" w:fill="F2F2F2"/>
            <w:tcMar>
              <w:top w:w="15" w:type="dxa"/>
              <w:left w:w="15" w:type="dxa"/>
              <w:bottom w:w="0" w:type="dxa"/>
              <w:right w:w="15" w:type="dxa"/>
            </w:tcMar>
            <w:vAlign w:val="center"/>
            <w:hideMark/>
          </w:tcPr>
          <w:p w14:paraId="4D44D6EA" w14:textId="77777777" w:rsidR="00226CBB" w:rsidRPr="005C2CEC" w:rsidRDefault="00226CBB" w:rsidP="00226CBB">
            <w:pPr>
              <w:spacing w:after="0"/>
              <w:jc w:val="left"/>
              <w:rPr>
                <w:color w:val="000000"/>
                <w:sz w:val="20"/>
                <w:szCs w:val="20"/>
              </w:rPr>
            </w:pPr>
            <w:r w:rsidRPr="005C2CEC">
              <w:rPr>
                <w:color w:val="000000"/>
                <w:sz w:val="20"/>
                <w:szCs w:val="20"/>
              </w:rPr>
              <w:t>Nepriame daňové príjmy pre štátny rozpočet</w:t>
            </w:r>
          </w:p>
        </w:tc>
        <w:tc>
          <w:tcPr>
            <w:tcW w:w="3827" w:type="dxa"/>
            <w:tcBorders>
              <w:top w:val="single" w:sz="4" w:space="0" w:color="BFBFBF"/>
              <w:left w:val="nil"/>
              <w:bottom w:val="single" w:sz="18" w:space="0" w:color="002060"/>
              <w:right w:val="single" w:sz="4" w:space="0" w:color="BFBFBF"/>
            </w:tcBorders>
            <w:shd w:val="clear" w:color="000000" w:fill="F2F2F2"/>
            <w:tcMar>
              <w:top w:w="15" w:type="dxa"/>
              <w:left w:w="15" w:type="dxa"/>
              <w:bottom w:w="0" w:type="dxa"/>
              <w:right w:w="15" w:type="dxa"/>
            </w:tcMar>
            <w:vAlign w:val="center"/>
            <w:hideMark/>
          </w:tcPr>
          <w:p w14:paraId="64F5AC97" w14:textId="77777777" w:rsidR="00226CBB" w:rsidRPr="005C2CEC" w:rsidRDefault="00226CBB" w:rsidP="00226CBB">
            <w:pPr>
              <w:spacing w:after="0"/>
              <w:rPr>
                <w:i/>
                <w:iCs/>
                <w:color w:val="000000"/>
                <w:sz w:val="16"/>
                <w:szCs w:val="16"/>
              </w:rPr>
            </w:pPr>
            <w:r w:rsidRPr="005C2CEC">
              <w:rPr>
                <w:i/>
                <w:iCs/>
                <w:color w:val="000000"/>
                <w:sz w:val="16"/>
                <w:szCs w:val="16"/>
              </w:rPr>
              <w:t>Indukované daňové príjmy z vyššej ekonomickej aktivity</w:t>
            </w:r>
          </w:p>
        </w:tc>
        <w:tc>
          <w:tcPr>
            <w:tcW w:w="992" w:type="dxa"/>
            <w:tcBorders>
              <w:top w:val="single" w:sz="4" w:space="0" w:color="BFBFBF"/>
              <w:left w:val="nil"/>
              <w:bottom w:val="single" w:sz="18" w:space="0" w:color="002060"/>
              <w:right w:val="single" w:sz="4" w:space="0" w:color="BFBFBF"/>
            </w:tcBorders>
            <w:shd w:val="clear" w:color="auto" w:fill="auto"/>
            <w:noWrap/>
            <w:tcMar>
              <w:top w:w="15" w:type="dxa"/>
              <w:left w:w="15" w:type="dxa"/>
              <w:bottom w:w="0" w:type="dxa"/>
              <w:right w:w="15" w:type="dxa"/>
            </w:tcMar>
            <w:vAlign w:val="center"/>
            <w:hideMark/>
          </w:tcPr>
          <w:p w14:paraId="3FEB180A" w14:textId="5E8C70C4" w:rsidR="00226CBB" w:rsidRPr="005C2CEC" w:rsidRDefault="00226CBB" w:rsidP="00226CBB">
            <w:pPr>
              <w:spacing w:after="0"/>
              <w:jc w:val="center"/>
              <w:rPr>
                <w:sz w:val="20"/>
                <w:szCs w:val="20"/>
              </w:rPr>
            </w:pPr>
            <w:r w:rsidRPr="005C2CEC">
              <w:rPr>
                <w:sz w:val="20"/>
                <w:szCs w:val="20"/>
              </w:rPr>
              <w:t>ÁNO / NIE</w:t>
            </w:r>
          </w:p>
        </w:tc>
        <w:tc>
          <w:tcPr>
            <w:tcW w:w="1418" w:type="dxa"/>
            <w:tcBorders>
              <w:top w:val="single" w:sz="4" w:space="0" w:color="BFBFBF"/>
              <w:left w:val="nil"/>
              <w:bottom w:val="single" w:sz="18" w:space="0" w:color="002060"/>
              <w:right w:val="single" w:sz="4" w:space="0" w:color="BFBFBF"/>
            </w:tcBorders>
            <w:shd w:val="clear" w:color="auto" w:fill="auto"/>
            <w:noWrap/>
            <w:tcMar>
              <w:top w:w="15" w:type="dxa"/>
              <w:left w:w="15" w:type="dxa"/>
              <w:bottom w:w="0" w:type="dxa"/>
              <w:right w:w="15" w:type="dxa"/>
            </w:tcMar>
            <w:vAlign w:val="bottom"/>
            <w:hideMark/>
          </w:tcPr>
          <w:p w14:paraId="390602C9" w14:textId="77777777" w:rsidR="00226CBB" w:rsidRPr="005C2CEC" w:rsidRDefault="00226CBB" w:rsidP="00226CBB">
            <w:pPr>
              <w:spacing w:after="0"/>
              <w:jc w:val="left"/>
              <w:rPr>
                <w:color w:val="000000"/>
                <w:sz w:val="20"/>
                <w:szCs w:val="20"/>
              </w:rPr>
            </w:pPr>
            <w:r w:rsidRPr="005C2CEC">
              <w:rPr>
                <w:color w:val="000000"/>
                <w:sz w:val="20"/>
                <w:szCs w:val="20"/>
              </w:rPr>
              <w:t> </w:t>
            </w:r>
          </w:p>
        </w:tc>
        <w:tc>
          <w:tcPr>
            <w:tcW w:w="1559" w:type="dxa"/>
            <w:tcBorders>
              <w:top w:val="single" w:sz="4" w:space="0" w:color="BFBFBF"/>
              <w:left w:val="nil"/>
              <w:bottom w:val="single" w:sz="18" w:space="0" w:color="002060"/>
              <w:right w:val="single" w:sz="4" w:space="0" w:color="BFBFBF"/>
            </w:tcBorders>
            <w:shd w:val="clear" w:color="auto" w:fill="auto"/>
            <w:noWrap/>
            <w:tcMar>
              <w:top w:w="15" w:type="dxa"/>
              <w:left w:w="15" w:type="dxa"/>
              <w:bottom w:w="0" w:type="dxa"/>
              <w:right w:w="15" w:type="dxa"/>
            </w:tcMar>
            <w:vAlign w:val="bottom"/>
            <w:hideMark/>
          </w:tcPr>
          <w:p w14:paraId="36A5B9FA" w14:textId="77777777" w:rsidR="00226CBB" w:rsidRPr="005C2CEC" w:rsidRDefault="00226CBB" w:rsidP="00226CBB">
            <w:pPr>
              <w:spacing w:after="0"/>
              <w:rPr>
                <w:color w:val="000000"/>
                <w:sz w:val="20"/>
                <w:szCs w:val="20"/>
              </w:rPr>
            </w:pPr>
            <w:r w:rsidRPr="005C2CEC">
              <w:rPr>
                <w:color w:val="000000"/>
                <w:sz w:val="20"/>
                <w:szCs w:val="20"/>
              </w:rPr>
              <w:t> </w:t>
            </w:r>
          </w:p>
        </w:tc>
        <w:tc>
          <w:tcPr>
            <w:tcW w:w="1134" w:type="dxa"/>
            <w:tcBorders>
              <w:top w:val="single" w:sz="4" w:space="0" w:color="BFBFBF"/>
              <w:left w:val="nil"/>
              <w:bottom w:val="single" w:sz="18" w:space="0" w:color="002060"/>
              <w:right w:val="single" w:sz="4" w:space="0" w:color="BFBFBF"/>
            </w:tcBorders>
            <w:shd w:val="clear" w:color="auto" w:fill="auto"/>
            <w:noWrap/>
            <w:tcMar>
              <w:top w:w="15" w:type="dxa"/>
              <w:left w:w="15" w:type="dxa"/>
              <w:bottom w:w="0" w:type="dxa"/>
              <w:right w:w="15" w:type="dxa"/>
            </w:tcMar>
            <w:vAlign w:val="bottom"/>
            <w:hideMark/>
          </w:tcPr>
          <w:p w14:paraId="0EDC8750" w14:textId="77777777" w:rsidR="00226CBB" w:rsidRPr="005C2CEC" w:rsidRDefault="00226CBB" w:rsidP="00226CBB">
            <w:pPr>
              <w:spacing w:after="0"/>
              <w:rPr>
                <w:color w:val="000000"/>
                <w:sz w:val="20"/>
                <w:szCs w:val="20"/>
              </w:rPr>
            </w:pPr>
            <w:r w:rsidRPr="005C2CEC">
              <w:rPr>
                <w:color w:val="000000"/>
                <w:sz w:val="20"/>
                <w:szCs w:val="20"/>
              </w:rPr>
              <w:t> </w:t>
            </w:r>
          </w:p>
        </w:tc>
        <w:tc>
          <w:tcPr>
            <w:tcW w:w="1276" w:type="dxa"/>
            <w:tcBorders>
              <w:top w:val="single" w:sz="4" w:space="0" w:color="BFBFBF"/>
              <w:left w:val="nil"/>
              <w:bottom w:val="single" w:sz="18" w:space="0" w:color="002060"/>
              <w:right w:val="single" w:sz="4" w:space="0" w:color="BFBFBF"/>
            </w:tcBorders>
            <w:shd w:val="clear" w:color="auto" w:fill="auto"/>
            <w:noWrap/>
            <w:tcMar>
              <w:top w:w="15" w:type="dxa"/>
              <w:left w:w="15" w:type="dxa"/>
              <w:bottom w:w="0" w:type="dxa"/>
              <w:right w:w="15" w:type="dxa"/>
            </w:tcMar>
            <w:vAlign w:val="bottom"/>
            <w:hideMark/>
          </w:tcPr>
          <w:p w14:paraId="3D3FB339" w14:textId="77777777" w:rsidR="00226CBB" w:rsidRPr="005C2CEC" w:rsidRDefault="00226CBB" w:rsidP="00226CBB">
            <w:pPr>
              <w:spacing w:after="0"/>
              <w:rPr>
                <w:color w:val="000000"/>
                <w:sz w:val="20"/>
                <w:szCs w:val="20"/>
              </w:rPr>
            </w:pPr>
            <w:r w:rsidRPr="005C2CEC">
              <w:rPr>
                <w:color w:val="000000"/>
                <w:sz w:val="20"/>
                <w:szCs w:val="20"/>
              </w:rPr>
              <w:t> </w:t>
            </w:r>
          </w:p>
        </w:tc>
        <w:tc>
          <w:tcPr>
            <w:tcW w:w="469" w:type="dxa"/>
            <w:tcBorders>
              <w:top w:val="single" w:sz="4" w:space="0" w:color="BFBFBF"/>
              <w:left w:val="nil"/>
              <w:bottom w:val="single" w:sz="18" w:space="0" w:color="002060"/>
              <w:right w:val="single" w:sz="18" w:space="0" w:color="002060"/>
            </w:tcBorders>
            <w:shd w:val="clear" w:color="auto" w:fill="auto"/>
            <w:noWrap/>
            <w:tcMar>
              <w:top w:w="15" w:type="dxa"/>
              <w:left w:w="15" w:type="dxa"/>
              <w:bottom w:w="0" w:type="dxa"/>
              <w:right w:w="15" w:type="dxa"/>
            </w:tcMar>
            <w:vAlign w:val="bottom"/>
            <w:hideMark/>
          </w:tcPr>
          <w:p w14:paraId="4FCB5D29" w14:textId="77777777" w:rsidR="00226CBB" w:rsidRPr="005C2CEC" w:rsidRDefault="00226CBB" w:rsidP="00226CBB">
            <w:pPr>
              <w:spacing w:after="0"/>
              <w:rPr>
                <w:i/>
                <w:iCs/>
                <w:color w:val="000000"/>
                <w:sz w:val="20"/>
                <w:szCs w:val="20"/>
              </w:rPr>
            </w:pPr>
            <w:r w:rsidRPr="005C2CEC">
              <w:rPr>
                <w:i/>
                <w:iCs/>
                <w:color w:val="000000"/>
                <w:sz w:val="20"/>
                <w:szCs w:val="20"/>
              </w:rPr>
              <w:t> </w:t>
            </w:r>
          </w:p>
        </w:tc>
      </w:tr>
    </w:tbl>
    <w:p w14:paraId="6082C717" w14:textId="36748D15" w:rsidR="0098437D" w:rsidRPr="005C2CEC" w:rsidRDefault="0098437D">
      <w:pPr>
        <w:spacing w:after="160" w:line="259" w:lineRule="auto"/>
        <w:jc w:val="left"/>
      </w:pPr>
      <w:r w:rsidRPr="005C2CEC">
        <w:br w:type="page"/>
      </w:r>
    </w:p>
    <w:p w14:paraId="00038793" w14:textId="7655E90A" w:rsidR="002C4AE0" w:rsidRPr="005C2CEC" w:rsidRDefault="002C4AE0" w:rsidP="00171BCF">
      <w:pPr>
        <w:pStyle w:val="Popis"/>
        <w:keepNext w:val="0"/>
        <w:spacing w:after="160" w:line="259" w:lineRule="auto"/>
        <w:jc w:val="left"/>
        <w:rPr>
          <w:sz w:val="22"/>
        </w:rPr>
      </w:pPr>
      <w:r w:rsidRPr="005C2CEC">
        <w:rPr>
          <w:sz w:val="22"/>
        </w:rPr>
        <w:lastRenderedPageBreak/>
        <w:t xml:space="preserve">Príloha </w:t>
      </w:r>
      <w:bookmarkStart w:id="194" w:name="Priloha4"/>
      <w:bookmarkStart w:id="195" w:name="Priloha5"/>
      <w:r w:rsidRPr="005C2CEC">
        <w:fldChar w:fldCharType="begin"/>
      </w:r>
      <w:r w:rsidRPr="005C2CEC">
        <w:rPr>
          <w:sz w:val="22"/>
        </w:rPr>
        <w:instrText xml:space="preserve"> SEQ Príloha \* ARABIC </w:instrText>
      </w:r>
      <w:r w:rsidRPr="005C2CEC">
        <w:fldChar w:fldCharType="separate"/>
      </w:r>
      <w:r w:rsidR="000D2AF7">
        <w:rPr>
          <w:noProof/>
          <w:sz w:val="22"/>
        </w:rPr>
        <w:t>5</w:t>
      </w:r>
      <w:r w:rsidRPr="005C2CEC">
        <w:fldChar w:fldCharType="end"/>
      </w:r>
      <w:bookmarkEnd w:id="194"/>
      <w:bookmarkEnd w:id="195"/>
      <w:r w:rsidRPr="005C2CEC">
        <w:rPr>
          <w:sz w:val="22"/>
        </w:rPr>
        <w:t xml:space="preserve"> </w:t>
      </w:r>
      <w:r w:rsidR="00174C4F">
        <w:rPr>
          <w:sz w:val="22"/>
        </w:rPr>
        <w:t xml:space="preserve">Vzor priorizovaného </w:t>
      </w:r>
      <w:r w:rsidR="004927A8">
        <w:rPr>
          <w:sz w:val="22"/>
        </w:rPr>
        <w:t>zoznamu</w:t>
      </w:r>
      <w:r w:rsidR="00174C4F">
        <w:rPr>
          <w:sz w:val="22"/>
        </w:rPr>
        <w:t xml:space="preserve"> investičných projektov</w:t>
      </w:r>
    </w:p>
    <w:tbl>
      <w:tblPr>
        <w:tblW w:w="14360" w:type="dxa"/>
        <w:tblCellMar>
          <w:left w:w="70" w:type="dxa"/>
          <w:right w:w="70" w:type="dxa"/>
        </w:tblCellMar>
        <w:tblLook w:val="04A0" w:firstRow="1" w:lastRow="0" w:firstColumn="1" w:lastColumn="0" w:noHBand="0" w:noVBand="1"/>
      </w:tblPr>
      <w:tblGrid>
        <w:gridCol w:w="186"/>
        <w:gridCol w:w="1300"/>
        <w:gridCol w:w="1100"/>
        <w:gridCol w:w="1400"/>
        <w:gridCol w:w="1520"/>
        <w:gridCol w:w="2060"/>
        <w:gridCol w:w="1640"/>
        <w:gridCol w:w="1143"/>
        <w:gridCol w:w="1240"/>
        <w:gridCol w:w="1240"/>
        <w:gridCol w:w="1420"/>
        <w:gridCol w:w="186"/>
      </w:tblGrid>
      <w:tr w:rsidR="005C6FC4" w:rsidRPr="005C6FC4" w14:paraId="12B1BE1B" w14:textId="77777777" w:rsidTr="005C6FC4">
        <w:trPr>
          <w:trHeight w:val="150"/>
        </w:trPr>
        <w:tc>
          <w:tcPr>
            <w:tcW w:w="160" w:type="dxa"/>
            <w:tcBorders>
              <w:top w:val="single" w:sz="8" w:space="0" w:color="auto"/>
              <w:left w:val="single" w:sz="8" w:space="0" w:color="auto"/>
              <w:bottom w:val="nil"/>
              <w:right w:val="nil"/>
            </w:tcBorders>
            <w:shd w:val="clear" w:color="auto" w:fill="auto"/>
            <w:noWrap/>
            <w:hideMark/>
          </w:tcPr>
          <w:p w14:paraId="3CD3D41C"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300" w:type="dxa"/>
            <w:tcBorders>
              <w:top w:val="single" w:sz="8" w:space="0" w:color="auto"/>
              <w:left w:val="nil"/>
              <w:bottom w:val="nil"/>
              <w:right w:val="nil"/>
            </w:tcBorders>
            <w:shd w:val="clear" w:color="auto" w:fill="auto"/>
            <w:noWrap/>
            <w:hideMark/>
          </w:tcPr>
          <w:p w14:paraId="257D1016"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100" w:type="dxa"/>
            <w:tcBorders>
              <w:top w:val="single" w:sz="8" w:space="0" w:color="auto"/>
              <w:left w:val="nil"/>
              <w:bottom w:val="nil"/>
              <w:right w:val="nil"/>
            </w:tcBorders>
            <w:shd w:val="clear" w:color="auto" w:fill="auto"/>
            <w:noWrap/>
            <w:hideMark/>
          </w:tcPr>
          <w:p w14:paraId="49DEF4A2"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00" w:type="dxa"/>
            <w:tcBorders>
              <w:top w:val="single" w:sz="8" w:space="0" w:color="auto"/>
              <w:left w:val="nil"/>
              <w:bottom w:val="nil"/>
              <w:right w:val="nil"/>
            </w:tcBorders>
            <w:shd w:val="clear" w:color="auto" w:fill="auto"/>
            <w:noWrap/>
            <w:hideMark/>
          </w:tcPr>
          <w:p w14:paraId="095BC020"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520" w:type="dxa"/>
            <w:tcBorders>
              <w:top w:val="single" w:sz="8" w:space="0" w:color="auto"/>
              <w:left w:val="nil"/>
              <w:bottom w:val="nil"/>
              <w:right w:val="nil"/>
            </w:tcBorders>
            <w:shd w:val="clear" w:color="auto" w:fill="auto"/>
            <w:noWrap/>
            <w:hideMark/>
          </w:tcPr>
          <w:p w14:paraId="1FE633DD"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2060" w:type="dxa"/>
            <w:tcBorders>
              <w:top w:val="single" w:sz="8" w:space="0" w:color="auto"/>
              <w:left w:val="nil"/>
              <w:bottom w:val="nil"/>
              <w:right w:val="nil"/>
            </w:tcBorders>
            <w:shd w:val="clear" w:color="auto" w:fill="auto"/>
            <w:noWrap/>
            <w:hideMark/>
          </w:tcPr>
          <w:p w14:paraId="5D606D84"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40" w:type="dxa"/>
            <w:tcBorders>
              <w:top w:val="single" w:sz="8" w:space="0" w:color="auto"/>
              <w:left w:val="nil"/>
              <w:bottom w:val="nil"/>
              <w:right w:val="nil"/>
            </w:tcBorders>
            <w:shd w:val="clear" w:color="auto" w:fill="auto"/>
            <w:noWrap/>
            <w:hideMark/>
          </w:tcPr>
          <w:p w14:paraId="57563EB0"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120" w:type="dxa"/>
            <w:tcBorders>
              <w:top w:val="single" w:sz="8" w:space="0" w:color="auto"/>
              <w:left w:val="nil"/>
              <w:bottom w:val="nil"/>
              <w:right w:val="nil"/>
            </w:tcBorders>
            <w:shd w:val="clear" w:color="auto" w:fill="auto"/>
            <w:noWrap/>
            <w:hideMark/>
          </w:tcPr>
          <w:p w14:paraId="22AFC8B2"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single" w:sz="8" w:space="0" w:color="auto"/>
              <w:left w:val="nil"/>
              <w:bottom w:val="nil"/>
              <w:right w:val="nil"/>
            </w:tcBorders>
            <w:shd w:val="clear" w:color="auto" w:fill="auto"/>
            <w:noWrap/>
            <w:hideMark/>
          </w:tcPr>
          <w:p w14:paraId="4CB31793"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single" w:sz="8" w:space="0" w:color="auto"/>
              <w:left w:val="nil"/>
              <w:bottom w:val="nil"/>
              <w:right w:val="nil"/>
            </w:tcBorders>
            <w:shd w:val="clear" w:color="auto" w:fill="auto"/>
            <w:noWrap/>
            <w:hideMark/>
          </w:tcPr>
          <w:p w14:paraId="0D9C441D"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20" w:type="dxa"/>
            <w:tcBorders>
              <w:top w:val="single" w:sz="8" w:space="0" w:color="auto"/>
              <w:left w:val="nil"/>
              <w:bottom w:val="nil"/>
              <w:right w:val="nil"/>
            </w:tcBorders>
            <w:shd w:val="clear" w:color="auto" w:fill="auto"/>
            <w:noWrap/>
            <w:hideMark/>
          </w:tcPr>
          <w:p w14:paraId="3EEDBA9E"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0" w:type="dxa"/>
            <w:tcBorders>
              <w:top w:val="single" w:sz="8" w:space="0" w:color="auto"/>
              <w:left w:val="nil"/>
              <w:bottom w:val="nil"/>
              <w:right w:val="single" w:sz="8" w:space="0" w:color="auto"/>
            </w:tcBorders>
            <w:shd w:val="clear" w:color="auto" w:fill="auto"/>
            <w:noWrap/>
            <w:hideMark/>
          </w:tcPr>
          <w:p w14:paraId="411D0E13"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r>
      <w:tr w:rsidR="005C6FC4" w:rsidRPr="005C6FC4" w14:paraId="0D6F9BE6" w14:textId="77777777" w:rsidTr="005C6FC4">
        <w:trPr>
          <w:trHeight w:val="330"/>
        </w:trPr>
        <w:tc>
          <w:tcPr>
            <w:tcW w:w="160" w:type="dxa"/>
            <w:tcBorders>
              <w:top w:val="nil"/>
              <w:left w:val="single" w:sz="8" w:space="0" w:color="auto"/>
              <w:bottom w:val="nil"/>
              <w:right w:val="nil"/>
            </w:tcBorders>
            <w:shd w:val="clear" w:color="auto" w:fill="auto"/>
            <w:noWrap/>
            <w:hideMark/>
          </w:tcPr>
          <w:p w14:paraId="47D6C50F"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5320" w:type="dxa"/>
            <w:gridSpan w:val="4"/>
            <w:tcBorders>
              <w:top w:val="nil"/>
              <w:left w:val="nil"/>
              <w:bottom w:val="nil"/>
              <w:right w:val="nil"/>
            </w:tcBorders>
            <w:shd w:val="clear" w:color="auto" w:fill="auto"/>
            <w:noWrap/>
            <w:hideMark/>
          </w:tcPr>
          <w:p w14:paraId="1552B395" w14:textId="7A018323" w:rsidR="005C6FC4" w:rsidRPr="005C6FC4" w:rsidRDefault="005C6FC4" w:rsidP="009333DA">
            <w:pPr>
              <w:spacing w:after="0" w:line="240" w:lineRule="auto"/>
              <w:jc w:val="left"/>
              <w:rPr>
                <w:rFonts w:eastAsia="Times New Roman" w:cs="Times New Roman"/>
                <w:b/>
                <w:bCs/>
                <w:color w:val="000000"/>
                <w:lang w:eastAsia="sk-SK"/>
              </w:rPr>
            </w:pPr>
            <w:r w:rsidRPr="005C6FC4">
              <w:rPr>
                <w:rFonts w:eastAsia="Times New Roman" w:cs="Times New Roman"/>
                <w:b/>
                <w:bCs/>
                <w:color w:val="000000"/>
                <w:lang w:eastAsia="sk-SK"/>
              </w:rPr>
              <w:t xml:space="preserve">PRIORIZOVANÝ </w:t>
            </w:r>
            <w:r w:rsidR="009333DA">
              <w:rPr>
                <w:rFonts w:eastAsia="Times New Roman" w:cs="Times New Roman"/>
                <w:b/>
                <w:bCs/>
                <w:color w:val="000000"/>
                <w:lang w:eastAsia="sk-SK"/>
              </w:rPr>
              <w:t>ZOZNAM</w:t>
            </w:r>
            <w:r w:rsidRPr="005C6FC4">
              <w:rPr>
                <w:rFonts w:eastAsia="Times New Roman" w:cs="Times New Roman"/>
                <w:b/>
                <w:bCs/>
                <w:color w:val="000000"/>
                <w:lang w:eastAsia="sk-SK"/>
              </w:rPr>
              <w:t xml:space="preserve"> INVESTIČNÝCH PROJEKTOV</w:t>
            </w:r>
          </w:p>
        </w:tc>
        <w:tc>
          <w:tcPr>
            <w:tcW w:w="2060" w:type="dxa"/>
            <w:tcBorders>
              <w:top w:val="nil"/>
              <w:left w:val="nil"/>
              <w:bottom w:val="nil"/>
              <w:right w:val="nil"/>
            </w:tcBorders>
            <w:shd w:val="clear" w:color="auto" w:fill="auto"/>
            <w:noWrap/>
            <w:hideMark/>
          </w:tcPr>
          <w:p w14:paraId="20C01A85" w14:textId="77777777" w:rsidR="005C6FC4" w:rsidRPr="005C6FC4" w:rsidRDefault="005C6FC4" w:rsidP="005C6FC4">
            <w:pPr>
              <w:spacing w:after="0" w:line="240" w:lineRule="auto"/>
              <w:jc w:val="left"/>
              <w:rPr>
                <w:rFonts w:eastAsia="Times New Roman" w:cs="Times New Roman"/>
                <w:b/>
                <w:bCs/>
                <w:color w:val="000000"/>
                <w:lang w:eastAsia="sk-SK"/>
              </w:rPr>
            </w:pPr>
          </w:p>
        </w:tc>
        <w:tc>
          <w:tcPr>
            <w:tcW w:w="1640" w:type="dxa"/>
            <w:tcBorders>
              <w:top w:val="nil"/>
              <w:left w:val="nil"/>
              <w:bottom w:val="nil"/>
              <w:right w:val="nil"/>
            </w:tcBorders>
            <w:shd w:val="clear" w:color="auto" w:fill="auto"/>
            <w:noWrap/>
            <w:hideMark/>
          </w:tcPr>
          <w:p w14:paraId="04C62D6C"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120" w:type="dxa"/>
            <w:tcBorders>
              <w:top w:val="nil"/>
              <w:left w:val="nil"/>
              <w:bottom w:val="nil"/>
              <w:right w:val="nil"/>
            </w:tcBorders>
            <w:shd w:val="clear" w:color="auto" w:fill="auto"/>
            <w:noWrap/>
            <w:hideMark/>
          </w:tcPr>
          <w:p w14:paraId="41C93830"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240" w:type="dxa"/>
            <w:tcBorders>
              <w:top w:val="nil"/>
              <w:left w:val="nil"/>
              <w:bottom w:val="nil"/>
              <w:right w:val="nil"/>
            </w:tcBorders>
            <w:shd w:val="clear" w:color="auto" w:fill="auto"/>
            <w:noWrap/>
            <w:hideMark/>
          </w:tcPr>
          <w:p w14:paraId="5F7D6CDE"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240" w:type="dxa"/>
            <w:tcBorders>
              <w:top w:val="nil"/>
              <w:left w:val="nil"/>
              <w:bottom w:val="nil"/>
              <w:right w:val="nil"/>
            </w:tcBorders>
            <w:shd w:val="clear" w:color="auto" w:fill="auto"/>
            <w:noWrap/>
            <w:hideMark/>
          </w:tcPr>
          <w:p w14:paraId="69C65BE9"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420" w:type="dxa"/>
            <w:tcBorders>
              <w:top w:val="nil"/>
              <w:left w:val="nil"/>
              <w:bottom w:val="nil"/>
              <w:right w:val="nil"/>
            </w:tcBorders>
            <w:shd w:val="clear" w:color="auto" w:fill="auto"/>
            <w:noWrap/>
            <w:hideMark/>
          </w:tcPr>
          <w:p w14:paraId="79C0DC9F"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60" w:type="dxa"/>
            <w:tcBorders>
              <w:top w:val="nil"/>
              <w:left w:val="nil"/>
              <w:bottom w:val="nil"/>
              <w:right w:val="single" w:sz="8" w:space="0" w:color="auto"/>
            </w:tcBorders>
            <w:shd w:val="clear" w:color="auto" w:fill="auto"/>
            <w:noWrap/>
            <w:hideMark/>
          </w:tcPr>
          <w:p w14:paraId="76DCBDF0"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r>
      <w:tr w:rsidR="005C6FC4" w:rsidRPr="005C6FC4" w14:paraId="05115043" w14:textId="77777777" w:rsidTr="005C6FC4">
        <w:trPr>
          <w:trHeight w:val="124"/>
        </w:trPr>
        <w:tc>
          <w:tcPr>
            <w:tcW w:w="160" w:type="dxa"/>
            <w:tcBorders>
              <w:top w:val="nil"/>
              <w:left w:val="single" w:sz="8" w:space="0" w:color="auto"/>
              <w:bottom w:val="nil"/>
              <w:right w:val="nil"/>
            </w:tcBorders>
            <w:shd w:val="clear" w:color="auto" w:fill="auto"/>
            <w:noWrap/>
            <w:hideMark/>
          </w:tcPr>
          <w:p w14:paraId="0DBC75D6"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300" w:type="dxa"/>
            <w:tcBorders>
              <w:top w:val="nil"/>
              <w:left w:val="nil"/>
              <w:bottom w:val="nil"/>
              <w:right w:val="nil"/>
            </w:tcBorders>
            <w:shd w:val="clear" w:color="auto" w:fill="auto"/>
            <w:noWrap/>
            <w:hideMark/>
          </w:tcPr>
          <w:p w14:paraId="12015DD3" w14:textId="77777777" w:rsidR="005C6FC4" w:rsidRPr="005C6FC4" w:rsidRDefault="005C6FC4" w:rsidP="005C6FC4">
            <w:pPr>
              <w:spacing w:after="0" w:line="240" w:lineRule="auto"/>
              <w:jc w:val="left"/>
              <w:rPr>
                <w:rFonts w:eastAsia="Times New Roman" w:cs="Times New Roman"/>
                <w:color w:val="000000"/>
                <w:sz w:val="20"/>
                <w:szCs w:val="20"/>
                <w:lang w:eastAsia="sk-SK"/>
              </w:rPr>
            </w:pPr>
          </w:p>
        </w:tc>
        <w:tc>
          <w:tcPr>
            <w:tcW w:w="1100" w:type="dxa"/>
            <w:tcBorders>
              <w:top w:val="nil"/>
              <w:left w:val="nil"/>
              <w:bottom w:val="nil"/>
              <w:right w:val="nil"/>
            </w:tcBorders>
            <w:shd w:val="clear" w:color="auto" w:fill="auto"/>
            <w:noWrap/>
            <w:hideMark/>
          </w:tcPr>
          <w:p w14:paraId="59791B47"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400" w:type="dxa"/>
            <w:tcBorders>
              <w:top w:val="nil"/>
              <w:left w:val="nil"/>
              <w:bottom w:val="nil"/>
              <w:right w:val="nil"/>
            </w:tcBorders>
            <w:shd w:val="clear" w:color="auto" w:fill="auto"/>
            <w:noWrap/>
            <w:hideMark/>
          </w:tcPr>
          <w:p w14:paraId="16185268"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520" w:type="dxa"/>
            <w:tcBorders>
              <w:top w:val="nil"/>
              <w:left w:val="nil"/>
              <w:bottom w:val="nil"/>
              <w:right w:val="nil"/>
            </w:tcBorders>
            <w:shd w:val="clear" w:color="auto" w:fill="auto"/>
            <w:noWrap/>
            <w:hideMark/>
          </w:tcPr>
          <w:p w14:paraId="3E1E0A91"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2060" w:type="dxa"/>
            <w:tcBorders>
              <w:top w:val="nil"/>
              <w:left w:val="nil"/>
              <w:bottom w:val="nil"/>
              <w:right w:val="nil"/>
            </w:tcBorders>
            <w:shd w:val="clear" w:color="auto" w:fill="auto"/>
            <w:noWrap/>
            <w:hideMark/>
          </w:tcPr>
          <w:p w14:paraId="21882BA7"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640" w:type="dxa"/>
            <w:tcBorders>
              <w:top w:val="nil"/>
              <w:left w:val="nil"/>
              <w:bottom w:val="nil"/>
              <w:right w:val="nil"/>
            </w:tcBorders>
            <w:shd w:val="clear" w:color="auto" w:fill="auto"/>
            <w:noWrap/>
            <w:hideMark/>
          </w:tcPr>
          <w:p w14:paraId="7FFF6A60"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120" w:type="dxa"/>
            <w:tcBorders>
              <w:top w:val="nil"/>
              <w:left w:val="nil"/>
              <w:bottom w:val="nil"/>
              <w:right w:val="nil"/>
            </w:tcBorders>
            <w:shd w:val="clear" w:color="auto" w:fill="auto"/>
            <w:noWrap/>
            <w:hideMark/>
          </w:tcPr>
          <w:p w14:paraId="04A0D45F"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240" w:type="dxa"/>
            <w:tcBorders>
              <w:top w:val="nil"/>
              <w:left w:val="nil"/>
              <w:bottom w:val="nil"/>
              <w:right w:val="nil"/>
            </w:tcBorders>
            <w:shd w:val="clear" w:color="auto" w:fill="auto"/>
            <w:noWrap/>
            <w:hideMark/>
          </w:tcPr>
          <w:p w14:paraId="28FFFEC7"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240" w:type="dxa"/>
            <w:tcBorders>
              <w:top w:val="nil"/>
              <w:left w:val="nil"/>
              <w:bottom w:val="nil"/>
              <w:right w:val="nil"/>
            </w:tcBorders>
            <w:shd w:val="clear" w:color="auto" w:fill="auto"/>
            <w:noWrap/>
            <w:hideMark/>
          </w:tcPr>
          <w:p w14:paraId="7FDDEFF5"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420" w:type="dxa"/>
            <w:tcBorders>
              <w:top w:val="nil"/>
              <w:left w:val="nil"/>
              <w:bottom w:val="nil"/>
              <w:right w:val="nil"/>
            </w:tcBorders>
            <w:shd w:val="clear" w:color="auto" w:fill="auto"/>
            <w:noWrap/>
            <w:hideMark/>
          </w:tcPr>
          <w:p w14:paraId="004B77C7"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60" w:type="dxa"/>
            <w:tcBorders>
              <w:top w:val="nil"/>
              <w:left w:val="nil"/>
              <w:bottom w:val="nil"/>
              <w:right w:val="single" w:sz="8" w:space="0" w:color="auto"/>
            </w:tcBorders>
            <w:shd w:val="clear" w:color="auto" w:fill="auto"/>
            <w:noWrap/>
            <w:hideMark/>
          </w:tcPr>
          <w:p w14:paraId="6A3EC4D0"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r>
      <w:tr w:rsidR="005C6FC4" w:rsidRPr="005C6FC4" w14:paraId="6E5F61C9" w14:textId="77777777" w:rsidTr="005C6FC4">
        <w:trPr>
          <w:trHeight w:val="345"/>
        </w:trPr>
        <w:tc>
          <w:tcPr>
            <w:tcW w:w="160" w:type="dxa"/>
            <w:tcBorders>
              <w:top w:val="nil"/>
              <w:left w:val="single" w:sz="8" w:space="0" w:color="auto"/>
              <w:bottom w:val="nil"/>
              <w:right w:val="nil"/>
            </w:tcBorders>
            <w:shd w:val="clear" w:color="auto" w:fill="auto"/>
            <w:noWrap/>
            <w:hideMark/>
          </w:tcPr>
          <w:p w14:paraId="0440BD09"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2400" w:type="dxa"/>
            <w:gridSpan w:val="2"/>
            <w:tcBorders>
              <w:top w:val="nil"/>
              <w:left w:val="nil"/>
              <w:bottom w:val="nil"/>
              <w:right w:val="nil"/>
            </w:tcBorders>
            <w:shd w:val="clear" w:color="auto" w:fill="auto"/>
            <w:noWrap/>
            <w:hideMark/>
          </w:tcPr>
          <w:p w14:paraId="42A0B991" w14:textId="77777777" w:rsidR="005C6FC4" w:rsidRPr="005C6FC4" w:rsidRDefault="005C6FC4" w:rsidP="005C6FC4">
            <w:pPr>
              <w:spacing w:after="0" w:line="240" w:lineRule="auto"/>
              <w:jc w:val="left"/>
              <w:rPr>
                <w:rFonts w:eastAsia="Times New Roman" w:cs="Times New Roman"/>
                <w:b/>
                <w:bCs/>
                <w:color w:val="000000"/>
                <w:lang w:eastAsia="sk-SK"/>
              </w:rPr>
            </w:pPr>
            <w:r w:rsidRPr="005C6FC4">
              <w:rPr>
                <w:rFonts w:eastAsia="Times New Roman" w:cs="Times New Roman"/>
                <w:b/>
                <w:bCs/>
                <w:color w:val="000000"/>
                <w:lang w:eastAsia="sk-SK"/>
              </w:rPr>
              <w:t>Kapitola:</w:t>
            </w:r>
          </w:p>
        </w:tc>
        <w:tc>
          <w:tcPr>
            <w:tcW w:w="2920" w:type="dxa"/>
            <w:gridSpan w:val="2"/>
            <w:tcBorders>
              <w:top w:val="single" w:sz="8" w:space="0" w:color="auto"/>
              <w:left w:val="single" w:sz="8" w:space="0" w:color="auto"/>
              <w:bottom w:val="single" w:sz="8" w:space="0" w:color="auto"/>
              <w:right w:val="single" w:sz="8" w:space="0" w:color="000000"/>
            </w:tcBorders>
            <w:shd w:val="clear" w:color="auto" w:fill="auto"/>
            <w:noWrap/>
            <w:hideMark/>
          </w:tcPr>
          <w:p w14:paraId="2AFBCB77" w14:textId="77777777" w:rsidR="005C6FC4" w:rsidRPr="005C6FC4" w:rsidRDefault="005C6FC4" w:rsidP="005C6FC4">
            <w:pPr>
              <w:spacing w:after="0" w:line="240" w:lineRule="auto"/>
              <w:jc w:val="center"/>
              <w:rPr>
                <w:rFonts w:eastAsia="Times New Roman" w:cs="Times New Roman"/>
                <w:color w:val="000000"/>
                <w:lang w:eastAsia="sk-SK"/>
              </w:rPr>
            </w:pPr>
            <w:r w:rsidRPr="005C6FC4">
              <w:rPr>
                <w:rFonts w:eastAsia="Times New Roman" w:cs="Times New Roman"/>
                <w:color w:val="000000"/>
                <w:lang w:eastAsia="sk-SK"/>
              </w:rPr>
              <w:t> </w:t>
            </w:r>
          </w:p>
        </w:tc>
        <w:tc>
          <w:tcPr>
            <w:tcW w:w="2060" w:type="dxa"/>
            <w:tcBorders>
              <w:top w:val="nil"/>
              <w:left w:val="nil"/>
              <w:bottom w:val="nil"/>
              <w:right w:val="nil"/>
            </w:tcBorders>
            <w:shd w:val="clear" w:color="auto" w:fill="auto"/>
            <w:noWrap/>
            <w:hideMark/>
          </w:tcPr>
          <w:p w14:paraId="18B95B44" w14:textId="77777777" w:rsidR="005C6FC4" w:rsidRPr="005C6FC4" w:rsidRDefault="005C6FC4" w:rsidP="005C6FC4">
            <w:pPr>
              <w:spacing w:after="0" w:line="240" w:lineRule="auto"/>
              <w:jc w:val="center"/>
              <w:rPr>
                <w:rFonts w:eastAsia="Times New Roman" w:cs="Times New Roman"/>
                <w:color w:val="000000"/>
                <w:lang w:eastAsia="sk-SK"/>
              </w:rPr>
            </w:pPr>
          </w:p>
        </w:tc>
        <w:tc>
          <w:tcPr>
            <w:tcW w:w="1640" w:type="dxa"/>
            <w:tcBorders>
              <w:top w:val="nil"/>
              <w:left w:val="nil"/>
              <w:bottom w:val="nil"/>
              <w:right w:val="nil"/>
            </w:tcBorders>
            <w:shd w:val="clear" w:color="auto" w:fill="auto"/>
            <w:noWrap/>
            <w:vAlign w:val="bottom"/>
            <w:hideMark/>
          </w:tcPr>
          <w:p w14:paraId="19EEFAAD"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120" w:type="dxa"/>
            <w:tcBorders>
              <w:top w:val="nil"/>
              <w:left w:val="nil"/>
              <w:bottom w:val="nil"/>
              <w:right w:val="nil"/>
            </w:tcBorders>
            <w:shd w:val="clear" w:color="auto" w:fill="auto"/>
            <w:noWrap/>
            <w:vAlign w:val="bottom"/>
            <w:hideMark/>
          </w:tcPr>
          <w:p w14:paraId="00137074"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240" w:type="dxa"/>
            <w:tcBorders>
              <w:top w:val="nil"/>
              <w:left w:val="nil"/>
              <w:bottom w:val="nil"/>
              <w:right w:val="nil"/>
            </w:tcBorders>
            <w:shd w:val="clear" w:color="auto" w:fill="auto"/>
            <w:noWrap/>
            <w:vAlign w:val="bottom"/>
            <w:hideMark/>
          </w:tcPr>
          <w:p w14:paraId="04CDCF10"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240" w:type="dxa"/>
            <w:tcBorders>
              <w:top w:val="nil"/>
              <w:left w:val="nil"/>
              <w:bottom w:val="nil"/>
              <w:right w:val="nil"/>
            </w:tcBorders>
            <w:shd w:val="clear" w:color="auto" w:fill="auto"/>
            <w:noWrap/>
            <w:vAlign w:val="bottom"/>
            <w:hideMark/>
          </w:tcPr>
          <w:p w14:paraId="668D3FC6"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420" w:type="dxa"/>
            <w:tcBorders>
              <w:top w:val="nil"/>
              <w:left w:val="nil"/>
              <w:bottom w:val="nil"/>
              <w:right w:val="nil"/>
            </w:tcBorders>
            <w:shd w:val="clear" w:color="auto" w:fill="auto"/>
            <w:noWrap/>
            <w:hideMark/>
          </w:tcPr>
          <w:p w14:paraId="53D487CF"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60" w:type="dxa"/>
            <w:tcBorders>
              <w:top w:val="nil"/>
              <w:left w:val="nil"/>
              <w:bottom w:val="nil"/>
              <w:right w:val="single" w:sz="8" w:space="0" w:color="auto"/>
            </w:tcBorders>
            <w:shd w:val="clear" w:color="auto" w:fill="auto"/>
            <w:noWrap/>
            <w:hideMark/>
          </w:tcPr>
          <w:p w14:paraId="1B6AE1A6"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r>
      <w:tr w:rsidR="005C6FC4" w:rsidRPr="005C6FC4" w14:paraId="5DF98666" w14:textId="77777777" w:rsidTr="005C6FC4">
        <w:trPr>
          <w:trHeight w:val="224"/>
        </w:trPr>
        <w:tc>
          <w:tcPr>
            <w:tcW w:w="160" w:type="dxa"/>
            <w:tcBorders>
              <w:top w:val="nil"/>
              <w:left w:val="single" w:sz="8" w:space="0" w:color="auto"/>
              <w:bottom w:val="nil"/>
              <w:right w:val="nil"/>
            </w:tcBorders>
            <w:shd w:val="clear" w:color="auto" w:fill="auto"/>
            <w:noWrap/>
            <w:hideMark/>
          </w:tcPr>
          <w:p w14:paraId="5C375CF8"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300" w:type="dxa"/>
            <w:tcBorders>
              <w:top w:val="nil"/>
              <w:left w:val="nil"/>
              <w:bottom w:val="nil"/>
              <w:right w:val="nil"/>
            </w:tcBorders>
            <w:shd w:val="clear" w:color="auto" w:fill="auto"/>
            <w:noWrap/>
            <w:hideMark/>
          </w:tcPr>
          <w:p w14:paraId="52F68729" w14:textId="77777777" w:rsidR="005C6FC4" w:rsidRPr="005C6FC4" w:rsidRDefault="005C6FC4" w:rsidP="005C6FC4">
            <w:pPr>
              <w:spacing w:after="0" w:line="240" w:lineRule="auto"/>
              <w:jc w:val="left"/>
              <w:rPr>
                <w:rFonts w:eastAsia="Times New Roman" w:cs="Times New Roman"/>
                <w:color w:val="000000"/>
                <w:sz w:val="20"/>
                <w:szCs w:val="20"/>
                <w:lang w:eastAsia="sk-SK"/>
              </w:rPr>
            </w:pPr>
          </w:p>
        </w:tc>
        <w:tc>
          <w:tcPr>
            <w:tcW w:w="1100" w:type="dxa"/>
            <w:tcBorders>
              <w:top w:val="nil"/>
              <w:left w:val="nil"/>
              <w:bottom w:val="nil"/>
              <w:right w:val="nil"/>
            </w:tcBorders>
            <w:shd w:val="clear" w:color="auto" w:fill="auto"/>
            <w:noWrap/>
            <w:hideMark/>
          </w:tcPr>
          <w:p w14:paraId="56AC0D67"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400" w:type="dxa"/>
            <w:tcBorders>
              <w:top w:val="nil"/>
              <w:left w:val="nil"/>
              <w:bottom w:val="nil"/>
              <w:right w:val="nil"/>
            </w:tcBorders>
            <w:shd w:val="clear" w:color="auto" w:fill="auto"/>
            <w:noWrap/>
            <w:hideMark/>
          </w:tcPr>
          <w:p w14:paraId="218B1CA2"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520" w:type="dxa"/>
            <w:tcBorders>
              <w:top w:val="nil"/>
              <w:left w:val="nil"/>
              <w:bottom w:val="nil"/>
              <w:right w:val="nil"/>
            </w:tcBorders>
            <w:shd w:val="clear" w:color="auto" w:fill="auto"/>
            <w:noWrap/>
            <w:hideMark/>
          </w:tcPr>
          <w:p w14:paraId="70D6421F"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2060" w:type="dxa"/>
            <w:tcBorders>
              <w:top w:val="nil"/>
              <w:left w:val="nil"/>
              <w:bottom w:val="nil"/>
              <w:right w:val="nil"/>
            </w:tcBorders>
            <w:shd w:val="clear" w:color="auto" w:fill="auto"/>
            <w:noWrap/>
            <w:hideMark/>
          </w:tcPr>
          <w:p w14:paraId="66B3A635"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640" w:type="dxa"/>
            <w:tcBorders>
              <w:top w:val="nil"/>
              <w:left w:val="nil"/>
              <w:bottom w:val="nil"/>
              <w:right w:val="nil"/>
            </w:tcBorders>
            <w:shd w:val="clear" w:color="auto" w:fill="auto"/>
            <w:noWrap/>
            <w:hideMark/>
          </w:tcPr>
          <w:p w14:paraId="14FC1E57"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120" w:type="dxa"/>
            <w:tcBorders>
              <w:top w:val="nil"/>
              <w:left w:val="nil"/>
              <w:bottom w:val="nil"/>
              <w:right w:val="nil"/>
            </w:tcBorders>
            <w:shd w:val="clear" w:color="auto" w:fill="auto"/>
            <w:noWrap/>
            <w:hideMark/>
          </w:tcPr>
          <w:p w14:paraId="2724B657"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240" w:type="dxa"/>
            <w:tcBorders>
              <w:top w:val="nil"/>
              <w:left w:val="nil"/>
              <w:bottom w:val="nil"/>
              <w:right w:val="nil"/>
            </w:tcBorders>
            <w:shd w:val="clear" w:color="auto" w:fill="auto"/>
            <w:noWrap/>
            <w:hideMark/>
          </w:tcPr>
          <w:p w14:paraId="4673ED10"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240" w:type="dxa"/>
            <w:tcBorders>
              <w:top w:val="nil"/>
              <w:left w:val="nil"/>
              <w:bottom w:val="nil"/>
              <w:right w:val="nil"/>
            </w:tcBorders>
            <w:shd w:val="clear" w:color="auto" w:fill="auto"/>
            <w:noWrap/>
            <w:hideMark/>
          </w:tcPr>
          <w:p w14:paraId="685A6743"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420" w:type="dxa"/>
            <w:tcBorders>
              <w:top w:val="nil"/>
              <w:left w:val="nil"/>
              <w:bottom w:val="nil"/>
              <w:right w:val="nil"/>
            </w:tcBorders>
            <w:shd w:val="clear" w:color="auto" w:fill="auto"/>
            <w:noWrap/>
            <w:hideMark/>
          </w:tcPr>
          <w:p w14:paraId="6F38571E"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60" w:type="dxa"/>
            <w:tcBorders>
              <w:top w:val="nil"/>
              <w:left w:val="nil"/>
              <w:bottom w:val="nil"/>
              <w:right w:val="single" w:sz="8" w:space="0" w:color="auto"/>
            </w:tcBorders>
            <w:shd w:val="clear" w:color="auto" w:fill="auto"/>
            <w:noWrap/>
            <w:hideMark/>
          </w:tcPr>
          <w:p w14:paraId="5F731BAC"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r>
      <w:tr w:rsidR="005C6FC4" w:rsidRPr="005C6FC4" w14:paraId="1145FAA2" w14:textId="77777777" w:rsidTr="005C6FC4">
        <w:trPr>
          <w:trHeight w:val="345"/>
        </w:trPr>
        <w:tc>
          <w:tcPr>
            <w:tcW w:w="160" w:type="dxa"/>
            <w:tcBorders>
              <w:top w:val="nil"/>
              <w:left w:val="single" w:sz="8" w:space="0" w:color="auto"/>
              <w:bottom w:val="nil"/>
              <w:right w:val="nil"/>
            </w:tcBorders>
            <w:shd w:val="clear" w:color="auto" w:fill="auto"/>
            <w:noWrap/>
            <w:hideMark/>
          </w:tcPr>
          <w:p w14:paraId="48A5ECFE"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2400" w:type="dxa"/>
            <w:gridSpan w:val="2"/>
            <w:tcBorders>
              <w:top w:val="nil"/>
              <w:left w:val="nil"/>
              <w:bottom w:val="nil"/>
              <w:right w:val="nil"/>
            </w:tcBorders>
            <w:shd w:val="clear" w:color="auto" w:fill="auto"/>
            <w:noWrap/>
            <w:hideMark/>
          </w:tcPr>
          <w:p w14:paraId="2081A25E" w14:textId="77777777" w:rsidR="005C6FC4" w:rsidRPr="005C6FC4" w:rsidRDefault="005C6FC4" w:rsidP="005C6FC4">
            <w:pPr>
              <w:spacing w:after="0" w:line="240" w:lineRule="auto"/>
              <w:jc w:val="left"/>
              <w:rPr>
                <w:rFonts w:eastAsia="Times New Roman" w:cs="Times New Roman"/>
                <w:b/>
                <w:bCs/>
                <w:color w:val="000000"/>
                <w:lang w:eastAsia="sk-SK"/>
              </w:rPr>
            </w:pPr>
            <w:r w:rsidRPr="005C6FC4">
              <w:rPr>
                <w:rFonts w:eastAsia="Times New Roman" w:cs="Times New Roman"/>
                <w:b/>
                <w:bCs/>
                <w:color w:val="000000"/>
                <w:lang w:eastAsia="sk-SK"/>
              </w:rPr>
              <w:t>Sektor:</w:t>
            </w:r>
          </w:p>
        </w:tc>
        <w:tc>
          <w:tcPr>
            <w:tcW w:w="2920" w:type="dxa"/>
            <w:gridSpan w:val="2"/>
            <w:tcBorders>
              <w:top w:val="single" w:sz="8" w:space="0" w:color="auto"/>
              <w:left w:val="single" w:sz="8" w:space="0" w:color="auto"/>
              <w:bottom w:val="single" w:sz="8" w:space="0" w:color="auto"/>
              <w:right w:val="single" w:sz="8" w:space="0" w:color="000000"/>
            </w:tcBorders>
            <w:shd w:val="clear" w:color="auto" w:fill="auto"/>
            <w:noWrap/>
            <w:hideMark/>
          </w:tcPr>
          <w:p w14:paraId="283EBEAD" w14:textId="77777777" w:rsidR="005C6FC4" w:rsidRPr="005C6FC4" w:rsidRDefault="005C6FC4" w:rsidP="005C6FC4">
            <w:pPr>
              <w:spacing w:after="0" w:line="240" w:lineRule="auto"/>
              <w:jc w:val="center"/>
              <w:rPr>
                <w:rFonts w:eastAsia="Times New Roman" w:cs="Times New Roman"/>
                <w:color w:val="000000"/>
                <w:lang w:eastAsia="sk-SK"/>
              </w:rPr>
            </w:pPr>
            <w:r w:rsidRPr="005C6FC4">
              <w:rPr>
                <w:rFonts w:eastAsia="Times New Roman" w:cs="Times New Roman"/>
                <w:color w:val="000000"/>
                <w:lang w:eastAsia="sk-SK"/>
              </w:rPr>
              <w:t> </w:t>
            </w:r>
          </w:p>
        </w:tc>
        <w:tc>
          <w:tcPr>
            <w:tcW w:w="2060" w:type="dxa"/>
            <w:tcBorders>
              <w:top w:val="nil"/>
              <w:left w:val="nil"/>
              <w:bottom w:val="nil"/>
              <w:right w:val="nil"/>
            </w:tcBorders>
            <w:shd w:val="clear" w:color="auto" w:fill="auto"/>
            <w:noWrap/>
            <w:hideMark/>
          </w:tcPr>
          <w:p w14:paraId="0A25B41D" w14:textId="77777777" w:rsidR="005C6FC4" w:rsidRPr="005C6FC4" w:rsidRDefault="005C6FC4" w:rsidP="005C6FC4">
            <w:pPr>
              <w:spacing w:after="0" w:line="240" w:lineRule="auto"/>
              <w:jc w:val="center"/>
              <w:rPr>
                <w:rFonts w:eastAsia="Times New Roman" w:cs="Times New Roman"/>
                <w:color w:val="000000"/>
                <w:lang w:eastAsia="sk-SK"/>
              </w:rPr>
            </w:pPr>
          </w:p>
        </w:tc>
        <w:tc>
          <w:tcPr>
            <w:tcW w:w="1640" w:type="dxa"/>
            <w:tcBorders>
              <w:top w:val="nil"/>
              <w:left w:val="nil"/>
              <w:bottom w:val="nil"/>
              <w:right w:val="nil"/>
            </w:tcBorders>
            <w:shd w:val="clear" w:color="auto" w:fill="auto"/>
            <w:noWrap/>
            <w:hideMark/>
          </w:tcPr>
          <w:p w14:paraId="637B7807"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2360" w:type="dxa"/>
            <w:gridSpan w:val="2"/>
            <w:tcBorders>
              <w:top w:val="nil"/>
              <w:left w:val="nil"/>
              <w:bottom w:val="nil"/>
              <w:right w:val="nil"/>
            </w:tcBorders>
            <w:shd w:val="clear" w:color="auto" w:fill="auto"/>
            <w:noWrap/>
            <w:hideMark/>
          </w:tcPr>
          <w:p w14:paraId="12B886ED" w14:textId="77777777" w:rsidR="005C6FC4" w:rsidRPr="005C6FC4" w:rsidRDefault="005C6FC4" w:rsidP="005C6FC4">
            <w:pPr>
              <w:spacing w:after="0" w:line="240" w:lineRule="auto"/>
              <w:jc w:val="left"/>
              <w:rPr>
                <w:rFonts w:eastAsia="Times New Roman" w:cs="Times New Roman"/>
                <w:b/>
                <w:bCs/>
                <w:color w:val="000000"/>
                <w:lang w:eastAsia="sk-SK"/>
              </w:rPr>
            </w:pPr>
            <w:r w:rsidRPr="005C6FC4">
              <w:rPr>
                <w:rFonts w:eastAsia="Times New Roman" w:cs="Times New Roman"/>
                <w:b/>
                <w:bCs/>
                <w:color w:val="000000"/>
                <w:lang w:eastAsia="sk-SK"/>
              </w:rPr>
              <w:t>Dátum aktualizácie:</w:t>
            </w:r>
          </w:p>
        </w:tc>
        <w:tc>
          <w:tcPr>
            <w:tcW w:w="2660" w:type="dxa"/>
            <w:gridSpan w:val="2"/>
            <w:tcBorders>
              <w:top w:val="single" w:sz="8" w:space="0" w:color="auto"/>
              <w:left w:val="single" w:sz="8" w:space="0" w:color="auto"/>
              <w:bottom w:val="single" w:sz="8" w:space="0" w:color="auto"/>
              <w:right w:val="single" w:sz="8" w:space="0" w:color="000000"/>
            </w:tcBorders>
            <w:shd w:val="clear" w:color="auto" w:fill="auto"/>
            <w:noWrap/>
            <w:hideMark/>
          </w:tcPr>
          <w:p w14:paraId="4C1CF888" w14:textId="77777777" w:rsidR="005C6FC4" w:rsidRPr="005C6FC4" w:rsidRDefault="005C6FC4" w:rsidP="005C6FC4">
            <w:pPr>
              <w:spacing w:after="0" w:line="240" w:lineRule="auto"/>
              <w:jc w:val="center"/>
              <w:rPr>
                <w:rFonts w:eastAsia="Times New Roman" w:cs="Times New Roman"/>
                <w:color w:val="000000"/>
                <w:lang w:eastAsia="sk-SK"/>
              </w:rPr>
            </w:pPr>
            <w:r w:rsidRPr="005C6FC4">
              <w:rPr>
                <w:rFonts w:eastAsia="Times New Roman" w:cs="Times New Roman"/>
                <w:color w:val="000000"/>
                <w:lang w:eastAsia="sk-SK"/>
              </w:rPr>
              <w:t> </w:t>
            </w:r>
          </w:p>
        </w:tc>
        <w:tc>
          <w:tcPr>
            <w:tcW w:w="160" w:type="dxa"/>
            <w:tcBorders>
              <w:top w:val="nil"/>
              <w:left w:val="nil"/>
              <w:bottom w:val="nil"/>
              <w:right w:val="single" w:sz="8" w:space="0" w:color="auto"/>
            </w:tcBorders>
            <w:shd w:val="clear" w:color="auto" w:fill="auto"/>
            <w:noWrap/>
            <w:hideMark/>
          </w:tcPr>
          <w:p w14:paraId="0E77495C"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r>
      <w:tr w:rsidR="005C6FC4" w:rsidRPr="005C6FC4" w14:paraId="44D2F649" w14:textId="77777777" w:rsidTr="005C6FC4">
        <w:trPr>
          <w:trHeight w:val="60"/>
        </w:trPr>
        <w:tc>
          <w:tcPr>
            <w:tcW w:w="160" w:type="dxa"/>
            <w:tcBorders>
              <w:top w:val="nil"/>
              <w:left w:val="single" w:sz="8" w:space="0" w:color="auto"/>
              <w:bottom w:val="nil"/>
              <w:right w:val="nil"/>
            </w:tcBorders>
            <w:shd w:val="clear" w:color="auto" w:fill="auto"/>
            <w:noWrap/>
            <w:hideMark/>
          </w:tcPr>
          <w:p w14:paraId="44ACD2C5"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300" w:type="dxa"/>
            <w:tcBorders>
              <w:top w:val="nil"/>
              <w:left w:val="nil"/>
              <w:bottom w:val="nil"/>
              <w:right w:val="nil"/>
            </w:tcBorders>
            <w:shd w:val="clear" w:color="auto" w:fill="auto"/>
            <w:noWrap/>
            <w:hideMark/>
          </w:tcPr>
          <w:p w14:paraId="351EB911" w14:textId="77777777" w:rsidR="005C6FC4" w:rsidRPr="005C6FC4" w:rsidRDefault="005C6FC4" w:rsidP="005C6FC4">
            <w:pPr>
              <w:spacing w:after="0" w:line="240" w:lineRule="auto"/>
              <w:jc w:val="left"/>
              <w:rPr>
                <w:rFonts w:eastAsia="Times New Roman" w:cs="Times New Roman"/>
                <w:color w:val="000000"/>
                <w:sz w:val="20"/>
                <w:szCs w:val="20"/>
                <w:lang w:eastAsia="sk-SK"/>
              </w:rPr>
            </w:pPr>
          </w:p>
        </w:tc>
        <w:tc>
          <w:tcPr>
            <w:tcW w:w="1100" w:type="dxa"/>
            <w:tcBorders>
              <w:top w:val="nil"/>
              <w:left w:val="nil"/>
              <w:bottom w:val="nil"/>
              <w:right w:val="nil"/>
            </w:tcBorders>
            <w:shd w:val="clear" w:color="auto" w:fill="auto"/>
            <w:noWrap/>
            <w:hideMark/>
          </w:tcPr>
          <w:p w14:paraId="76AE916C"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400" w:type="dxa"/>
            <w:tcBorders>
              <w:top w:val="nil"/>
              <w:left w:val="nil"/>
              <w:bottom w:val="nil"/>
              <w:right w:val="nil"/>
            </w:tcBorders>
            <w:shd w:val="clear" w:color="auto" w:fill="auto"/>
            <w:noWrap/>
            <w:hideMark/>
          </w:tcPr>
          <w:p w14:paraId="220DCAAE"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520" w:type="dxa"/>
            <w:tcBorders>
              <w:top w:val="nil"/>
              <w:left w:val="nil"/>
              <w:bottom w:val="nil"/>
              <w:right w:val="nil"/>
            </w:tcBorders>
            <w:shd w:val="clear" w:color="auto" w:fill="auto"/>
            <w:noWrap/>
            <w:hideMark/>
          </w:tcPr>
          <w:p w14:paraId="0625452A"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2060" w:type="dxa"/>
            <w:tcBorders>
              <w:top w:val="nil"/>
              <w:left w:val="nil"/>
              <w:bottom w:val="nil"/>
              <w:right w:val="nil"/>
            </w:tcBorders>
            <w:shd w:val="clear" w:color="auto" w:fill="auto"/>
            <w:noWrap/>
            <w:hideMark/>
          </w:tcPr>
          <w:p w14:paraId="5EDB0877"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640" w:type="dxa"/>
            <w:tcBorders>
              <w:top w:val="nil"/>
              <w:left w:val="nil"/>
              <w:bottom w:val="nil"/>
              <w:right w:val="nil"/>
            </w:tcBorders>
            <w:shd w:val="clear" w:color="auto" w:fill="auto"/>
            <w:noWrap/>
            <w:hideMark/>
          </w:tcPr>
          <w:p w14:paraId="13E09D84"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120" w:type="dxa"/>
            <w:tcBorders>
              <w:top w:val="nil"/>
              <w:left w:val="nil"/>
              <w:bottom w:val="nil"/>
              <w:right w:val="nil"/>
            </w:tcBorders>
            <w:shd w:val="clear" w:color="auto" w:fill="auto"/>
            <w:noWrap/>
            <w:hideMark/>
          </w:tcPr>
          <w:p w14:paraId="2B079417"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240" w:type="dxa"/>
            <w:tcBorders>
              <w:top w:val="nil"/>
              <w:left w:val="nil"/>
              <w:bottom w:val="nil"/>
              <w:right w:val="nil"/>
            </w:tcBorders>
            <w:shd w:val="clear" w:color="auto" w:fill="auto"/>
            <w:noWrap/>
            <w:hideMark/>
          </w:tcPr>
          <w:p w14:paraId="5CC9069A"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240" w:type="dxa"/>
            <w:tcBorders>
              <w:top w:val="nil"/>
              <w:left w:val="nil"/>
              <w:bottom w:val="nil"/>
              <w:right w:val="nil"/>
            </w:tcBorders>
            <w:shd w:val="clear" w:color="auto" w:fill="auto"/>
            <w:noWrap/>
            <w:hideMark/>
          </w:tcPr>
          <w:p w14:paraId="270F3064"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420" w:type="dxa"/>
            <w:tcBorders>
              <w:top w:val="nil"/>
              <w:left w:val="nil"/>
              <w:bottom w:val="nil"/>
              <w:right w:val="nil"/>
            </w:tcBorders>
            <w:shd w:val="clear" w:color="auto" w:fill="auto"/>
            <w:noWrap/>
            <w:hideMark/>
          </w:tcPr>
          <w:p w14:paraId="0CC03C21" w14:textId="77777777" w:rsidR="005C6FC4" w:rsidRPr="005C6FC4" w:rsidRDefault="005C6FC4" w:rsidP="005C6FC4">
            <w:pPr>
              <w:spacing w:after="0" w:line="240" w:lineRule="auto"/>
              <w:jc w:val="left"/>
              <w:rPr>
                <w:rFonts w:ascii="Times New Roman" w:eastAsia="Times New Roman" w:hAnsi="Times New Roman" w:cs="Times New Roman"/>
                <w:sz w:val="20"/>
                <w:szCs w:val="20"/>
                <w:lang w:eastAsia="sk-SK"/>
              </w:rPr>
            </w:pPr>
          </w:p>
        </w:tc>
        <w:tc>
          <w:tcPr>
            <w:tcW w:w="160" w:type="dxa"/>
            <w:tcBorders>
              <w:top w:val="nil"/>
              <w:left w:val="nil"/>
              <w:bottom w:val="nil"/>
              <w:right w:val="single" w:sz="8" w:space="0" w:color="auto"/>
            </w:tcBorders>
            <w:shd w:val="clear" w:color="auto" w:fill="auto"/>
            <w:noWrap/>
            <w:hideMark/>
          </w:tcPr>
          <w:p w14:paraId="45CF829F"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r>
      <w:tr w:rsidR="005C6FC4" w:rsidRPr="005C6FC4" w14:paraId="54429D06" w14:textId="77777777" w:rsidTr="005C6FC4">
        <w:trPr>
          <w:trHeight w:val="765"/>
        </w:trPr>
        <w:tc>
          <w:tcPr>
            <w:tcW w:w="160" w:type="dxa"/>
            <w:tcBorders>
              <w:top w:val="nil"/>
              <w:left w:val="single" w:sz="8" w:space="0" w:color="auto"/>
              <w:bottom w:val="nil"/>
              <w:right w:val="nil"/>
            </w:tcBorders>
            <w:shd w:val="clear" w:color="auto" w:fill="auto"/>
            <w:noWrap/>
            <w:hideMark/>
          </w:tcPr>
          <w:p w14:paraId="6C3F3744"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300" w:type="dxa"/>
            <w:tcBorders>
              <w:top w:val="single" w:sz="8" w:space="0" w:color="auto"/>
              <w:left w:val="single" w:sz="8" w:space="0" w:color="auto"/>
              <w:bottom w:val="single" w:sz="4" w:space="0" w:color="auto"/>
              <w:right w:val="single" w:sz="4" w:space="0" w:color="auto"/>
            </w:tcBorders>
            <w:shd w:val="clear" w:color="auto" w:fill="auto"/>
            <w:hideMark/>
          </w:tcPr>
          <w:p w14:paraId="5038295B" w14:textId="77777777" w:rsidR="005C6FC4" w:rsidRPr="005C6FC4" w:rsidRDefault="005C6FC4" w:rsidP="005C6FC4">
            <w:pPr>
              <w:spacing w:after="0" w:line="240" w:lineRule="auto"/>
              <w:jc w:val="center"/>
              <w:rPr>
                <w:rFonts w:eastAsia="Times New Roman" w:cs="Times New Roman"/>
                <w:b/>
                <w:bCs/>
                <w:color w:val="000000"/>
                <w:sz w:val="20"/>
                <w:szCs w:val="20"/>
                <w:lang w:eastAsia="sk-SK"/>
              </w:rPr>
            </w:pPr>
            <w:r w:rsidRPr="005C6FC4">
              <w:rPr>
                <w:rFonts w:eastAsia="Times New Roman" w:cs="Times New Roman"/>
                <w:b/>
                <w:bCs/>
                <w:color w:val="000000"/>
                <w:sz w:val="20"/>
                <w:szCs w:val="20"/>
                <w:lang w:eastAsia="sk-SK"/>
              </w:rPr>
              <w:t>Poradové číslo (podľa priority)</w:t>
            </w:r>
          </w:p>
        </w:tc>
        <w:tc>
          <w:tcPr>
            <w:tcW w:w="1100" w:type="dxa"/>
            <w:tcBorders>
              <w:top w:val="single" w:sz="8" w:space="0" w:color="auto"/>
              <w:left w:val="nil"/>
              <w:bottom w:val="single" w:sz="4" w:space="0" w:color="auto"/>
              <w:right w:val="single" w:sz="4" w:space="0" w:color="auto"/>
            </w:tcBorders>
            <w:shd w:val="clear" w:color="auto" w:fill="auto"/>
            <w:hideMark/>
          </w:tcPr>
          <w:p w14:paraId="1597796E" w14:textId="77777777" w:rsidR="005C6FC4" w:rsidRPr="005C6FC4" w:rsidRDefault="005C6FC4" w:rsidP="005C6FC4">
            <w:pPr>
              <w:spacing w:after="0" w:line="240" w:lineRule="auto"/>
              <w:jc w:val="center"/>
              <w:rPr>
                <w:rFonts w:eastAsia="Times New Roman" w:cs="Times New Roman"/>
                <w:b/>
                <w:bCs/>
                <w:color w:val="000000"/>
                <w:sz w:val="20"/>
                <w:szCs w:val="20"/>
                <w:lang w:eastAsia="sk-SK"/>
              </w:rPr>
            </w:pPr>
            <w:r w:rsidRPr="005C6FC4">
              <w:rPr>
                <w:rFonts w:eastAsia="Times New Roman" w:cs="Times New Roman"/>
                <w:b/>
                <w:bCs/>
                <w:color w:val="000000"/>
                <w:sz w:val="20"/>
                <w:szCs w:val="20"/>
                <w:lang w:eastAsia="sk-SK"/>
              </w:rPr>
              <w:t>Organizácia</w:t>
            </w:r>
          </w:p>
        </w:tc>
        <w:tc>
          <w:tcPr>
            <w:tcW w:w="1400" w:type="dxa"/>
            <w:tcBorders>
              <w:top w:val="single" w:sz="8" w:space="0" w:color="auto"/>
              <w:left w:val="nil"/>
              <w:bottom w:val="single" w:sz="4" w:space="0" w:color="auto"/>
              <w:right w:val="single" w:sz="4" w:space="0" w:color="auto"/>
            </w:tcBorders>
            <w:shd w:val="clear" w:color="auto" w:fill="auto"/>
            <w:hideMark/>
          </w:tcPr>
          <w:p w14:paraId="6F1A1D9E" w14:textId="77777777" w:rsidR="005C6FC4" w:rsidRPr="005C6FC4" w:rsidRDefault="005C6FC4" w:rsidP="005C6FC4">
            <w:pPr>
              <w:spacing w:after="0" w:line="240" w:lineRule="auto"/>
              <w:jc w:val="center"/>
              <w:rPr>
                <w:rFonts w:eastAsia="Times New Roman" w:cs="Times New Roman"/>
                <w:b/>
                <w:bCs/>
                <w:color w:val="000000"/>
                <w:sz w:val="20"/>
                <w:szCs w:val="20"/>
                <w:lang w:eastAsia="sk-SK"/>
              </w:rPr>
            </w:pPr>
            <w:r w:rsidRPr="005C6FC4">
              <w:rPr>
                <w:rFonts w:eastAsia="Times New Roman" w:cs="Times New Roman"/>
                <w:b/>
                <w:bCs/>
                <w:color w:val="000000"/>
                <w:sz w:val="20"/>
                <w:szCs w:val="20"/>
                <w:lang w:eastAsia="sk-SK"/>
              </w:rPr>
              <w:t>Názov projektu</w:t>
            </w:r>
          </w:p>
        </w:tc>
        <w:tc>
          <w:tcPr>
            <w:tcW w:w="1520" w:type="dxa"/>
            <w:tcBorders>
              <w:top w:val="single" w:sz="8" w:space="0" w:color="auto"/>
              <w:left w:val="nil"/>
              <w:bottom w:val="single" w:sz="4" w:space="0" w:color="auto"/>
              <w:right w:val="single" w:sz="4" w:space="0" w:color="auto"/>
            </w:tcBorders>
            <w:shd w:val="clear" w:color="auto" w:fill="auto"/>
            <w:hideMark/>
          </w:tcPr>
          <w:p w14:paraId="57EF1A20" w14:textId="77777777" w:rsidR="005C6FC4" w:rsidRPr="005C6FC4" w:rsidRDefault="005C6FC4" w:rsidP="005C6FC4">
            <w:pPr>
              <w:spacing w:after="0" w:line="240" w:lineRule="auto"/>
              <w:jc w:val="center"/>
              <w:rPr>
                <w:rFonts w:eastAsia="Times New Roman" w:cs="Times New Roman"/>
                <w:b/>
                <w:bCs/>
                <w:color w:val="000000"/>
                <w:sz w:val="20"/>
                <w:szCs w:val="20"/>
                <w:lang w:eastAsia="sk-SK"/>
              </w:rPr>
            </w:pPr>
            <w:r w:rsidRPr="005C6FC4">
              <w:rPr>
                <w:rFonts w:eastAsia="Times New Roman" w:cs="Times New Roman"/>
                <w:b/>
                <w:bCs/>
                <w:color w:val="000000"/>
                <w:sz w:val="20"/>
                <w:szCs w:val="20"/>
                <w:lang w:eastAsia="sk-SK"/>
              </w:rPr>
              <w:t>Fáza prípravy</w:t>
            </w:r>
          </w:p>
        </w:tc>
        <w:tc>
          <w:tcPr>
            <w:tcW w:w="2060" w:type="dxa"/>
            <w:tcBorders>
              <w:top w:val="single" w:sz="8" w:space="0" w:color="auto"/>
              <w:left w:val="nil"/>
              <w:bottom w:val="single" w:sz="4" w:space="0" w:color="auto"/>
              <w:right w:val="single" w:sz="4" w:space="0" w:color="auto"/>
            </w:tcBorders>
            <w:shd w:val="clear" w:color="auto" w:fill="auto"/>
            <w:hideMark/>
          </w:tcPr>
          <w:p w14:paraId="0ACA34D7" w14:textId="77777777" w:rsidR="005C6FC4" w:rsidRPr="005C6FC4" w:rsidRDefault="005C6FC4" w:rsidP="005C6FC4">
            <w:pPr>
              <w:spacing w:after="0" w:line="240" w:lineRule="auto"/>
              <w:jc w:val="center"/>
              <w:rPr>
                <w:rFonts w:eastAsia="Times New Roman" w:cs="Times New Roman"/>
                <w:b/>
                <w:bCs/>
                <w:color w:val="000000"/>
                <w:sz w:val="20"/>
                <w:szCs w:val="20"/>
                <w:lang w:eastAsia="sk-SK"/>
              </w:rPr>
            </w:pPr>
            <w:r w:rsidRPr="005C6FC4">
              <w:rPr>
                <w:rFonts w:eastAsia="Times New Roman" w:cs="Times New Roman"/>
                <w:b/>
                <w:bCs/>
                <w:color w:val="000000"/>
                <w:sz w:val="20"/>
                <w:szCs w:val="20"/>
                <w:lang w:eastAsia="sk-SK"/>
              </w:rPr>
              <w:t>Rozpočet na projektovú</w:t>
            </w:r>
            <w:r w:rsidRPr="005C6FC4">
              <w:rPr>
                <w:rFonts w:eastAsia="Times New Roman" w:cs="Times New Roman"/>
                <w:b/>
                <w:bCs/>
                <w:color w:val="000000"/>
                <w:sz w:val="20"/>
                <w:szCs w:val="20"/>
                <w:lang w:eastAsia="sk-SK"/>
              </w:rPr>
              <w:br/>
              <w:t>prípravu [eur s DPH]</w:t>
            </w:r>
          </w:p>
        </w:tc>
        <w:tc>
          <w:tcPr>
            <w:tcW w:w="1640" w:type="dxa"/>
            <w:tcBorders>
              <w:top w:val="single" w:sz="8" w:space="0" w:color="auto"/>
              <w:left w:val="nil"/>
              <w:bottom w:val="single" w:sz="4" w:space="0" w:color="auto"/>
              <w:right w:val="single" w:sz="4" w:space="0" w:color="auto"/>
            </w:tcBorders>
            <w:shd w:val="clear" w:color="auto" w:fill="auto"/>
            <w:hideMark/>
          </w:tcPr>
          <w:p w14:paraId="0A59CF36" w14:textId="77777777" w:rsidR="005C6FC4" w:rsidRPr="005C6FC4" w:rsidRDefault="005C6FC4" w:rsidP="005C6FC4">
            <w:pPr>
              <w:spacing w:after="0" w:line="240" w:lineRule="auto"/>
              <w:jc w:val="center"/>
              <w:rPr>
                <w:rFonts w:eastAsia="Times New Roman" w:cs="Times New Roman"/>
                <w:b/>
                <w:bCs/>
                <w:color w:val="000000"/>
                <w:sz w:val="20"/>
                <w:szCs w:val="20"/>
                <w:lang w:eastAsia="sk-SK"/>
              </w:rPr>
            </w:pPr>
            <w:r w:rsidRPr="005C6FC4">
              <w:rPr>
                <w:rFonts w:eastAsia="Times New Roman" w:cs="Times New Roman"/>
                <w:b/>
                <w:bCs/>
                <w:color w:val="000000"/>
                <w:sz w:val="20"/>
                <w:szCs w:val="20"/>
                <w:lang w:eastAsia="sk-SK"/>
              </w:rPr>
              <w:t>Rozpočet na realizáciu projektu</w:t>
            </w:r>
            <w:r w:rsidRPr="005C6FC4">
              <w:rPr>
                <w:rFonts w:eastAsia="Times New Roman" w:cs="Times New Roman"/>
                <w:b/>
                <w:bCs/>
                <w:color w:val="000000"/>
                <w:sz w:val="20"/>
                <w:szCs w:val="20"/>
                <w:lang w:eastAsia="sk-SK"/>
              </w:rPr>
              <w:br/>
              <w:t>[eur s DPH]</w:t>
            </w:r>
          </w:p>
        </w:tc>
        <w:tc>
          <w:tcPr>
            <w:tcW w:w="1120" w:type="dxa"/>
            <w:tcBorders>
              <w:top w:val="single" w:sz="8" w:space="0" w:color="auto"/>
              <w:left w:val="nil"/>
              <w:bottom w:val="single" w:sz="4" w:space="0" w:color="auto"/>
              <w:right w:val="single" w:sz="4" w:space="0" w:color="auto"/>
            </w:tcBorders>
            <w:shd w:val="clear" w:color="auto" w:fill="auto"/>
            <w:hideMark/>
          </w:tcPr>
          <w:p w14:paraId="326EF973" w14:textId="77777777" w:rsidR="005C6FC4" w:rsidRPr="005C6FC4" w:rsidRDefault="005C6FC4" w:rsidP="005C6FC4">
            <w:pPr>
              <w:spacing w:after="0" w:line="240" w:lineRule="auto"/>
              <w:jc w:val="center"/>
              <w:rPr>
                <w:rFonts w:eastAsia="Times New Roman" w:cs="Times New Roman"/>
                <w:b/>
                <w:bCs/>
                <w:color w:val="000000"/>
                <w:sz w:val="20"/>
                <w:szCs w:val="20"/>
                <w:lang w:eastAsia="sk-SK"/>
              </w:rPr>
            </w:pPr>
            <w:r w:rsidRPr="005C6FC4">
              <w:rPr>
                <w:rFonts w:eastAsia="Times New Roman" w:cs="Times New Roman"/>
                <w:b/>
                <w:bCs/>
                <w:color w:val="000000"/>
                <w:sz w:val="20"/>
                <w:szCs w:val="20"/>
                <w:lang w:eastAsia="sk-SK"/>
              </w:rPr>
              <w:t>Zdroj financovania</w:t>
            </w:r>
          </w:p>
        </w:tc>
        <w:tc>
          <w:tcPr>
            <w:tcW w:w="1240" w:type="dxa"/>
            <w:tcBorders>
              <w:top w:val="single" w:sz="8" w:space="0" w:color="auto"/>
              <w:left w:val="nil"/>
              <w:bottom w:val="single" w:sz="4" w:space="0" w:color="auto"/>
              <w:right w:val="single" w:sz="4" w:space="0" w:color="auto"/>
            </w:tcBorders>
            <w:shd w:val="clear" w:color="auto" w:fill="auto"/>
            <w:hideMark/>
          </w:tcPr>
          <w:p w14:paraId="66647868" w14:textId="406C1C28" w:rsidR="005C6FC4" w:rsidRPr="005C6FC4" w:rsidRDefault="00F02A03" w:rsidP="005C6FC4">
            <w:pPr>
              <w:spacing w:after="0" w:line="240" w:lineRule="auto"/>
              <w:jc w:val="center"/>
              <w:rPr>
                <w:rFonts w:eastAsia="Times New Roman" w:cs="Times New Roman"/>
                <w:b/>
                <w:bCs/>
                <w:color w:val="000000"/>
                <w:sz w:val="20"/>
                <w:szCs w:val="20"/>
                <w:lang w:eastAsia="sk-SK"/>
              </w:rPr>
            </w:pPr>
            <w:r>
              <w:rPr>
                <w:rFonts w:eastAsia="Times New Roman" w:cs="Times New Roman"/>
                <w:b/>
                <w:bCs/>
                <w:color w:val="000000"/>
                <w:sz w:val="20"/>
                <w:szCs w:val="20"/>
                <w:lang w:eastAsia="sk-SK"/>
              </w:rPr>
              <w:t>Začiatok</w:t>
            </w:r>
            <w:r w:rsidRPr="005C6FC4">
              <w:rPr>
                <w:rFonts w:eastAsia="Times New Roman" w:cs="Times New Roman"/>
                <w:b/>
                <w:bCs/>
                <w:color w:val="000000"/>
                <w:sz w:val="20"/>
                <w:szCs w:val="20"/>
                <w:lang w:eastAsia="sk-SK"/>
              </w:rPr>
              <w:t xml:space="preserve"> </w:t>
            </w:r>
            <w:r w:rsidR="005C6FC4" w:rsidRPr="005C6FC4">
              <w:rPr>
                <w:rFonts w:eastAsia="Times New Roman" w:cs="Times New Roman"/>
                <w:b/>
                <w:bCs/>
                <w:color w:val="000000"/>
                <w:sz w:val="20"/>
                <w:szCs w:val="20"/>
                <w:lang w:eastAsia="sk-SK"/>
              </w:rPr>
              <w:t>projektu [rok]</w:t>
            </w:r>
          </w:p>
        </w:tc>
        <w:tc>
          <w:tcPr>
            <w:tcW w:w="1240" w:type="dxa"/>
            <w:tcBorders>
              <w:top w:val="single" w:sz="8" w:space="0" w:color="auto"/>
              <w:left w:val="nil"/>
              <w:bottom w:val="single" w:sz="4" w:space="0" w:color="auto"/>
              <w:right w:val="single" w:sz="4" w:space="0" w:color="auto"/>
            </w:tcBorders>
            <w:shd w:val="clear" w:color="auto" w:fill="auto"/>
            <w:hideMark/>
          </w:tcPr>
          <w:p w14:paraId="376C207F" w14:textId="77777777" w:rsidR="005C6FC4" w:rsidRPr="005C6FC4" w:rsidRDefault="005C6FC4" w:rsidP="005C6FC4">
            <w:pPr>
              <w:spacing w:after="0" w:line="240" w:lineRule="auto"/>
              <w:jc w:val="center"/>
              <w:rPr>
                <w:rFonts w:eastAsia="Times New Roman" w:cs="Times New Roman"/>
                <w:b/>
                <w:bCs/>
                <w:color w:val="000000"/>
                <w:sz w:val="20"/>
                <w:szCs w:val="20"/>
                <w:lang w:eastAsia="sk-SK"/>
              </w:rPr>
            </w:pPr>
            <w:r w:rsidRPr="005C6FC4">
              <w:rPr>
                <w:rFonts w:eastAsia="Times New Roman" w:cs="Times New Roman"/>
                <w:b/>
                <w:bCs/>
                <w:color w:val="000000"/>
                <w:sz w:val="20"/>
                <w:szCs w:val="20"/>
                <w:lang w:eastAsia="sk-SK"/>
              </w:rPr>
              <w:t>Ukončenie projektu [rok]</w:t>
            </w:r>
          </w:p>
        </w:tc>
        <w:tc>
          <w:tcPr>
            <w:tcW w:w="1420" w:type="dxa"/>
            <w:tcBorders>
              <w:top w:val="single" w:sz="8" w:space="0" w:color="auto"/>
              <w:left w:val="nil"/>
              <w:bottom w:val="single" w:sz="4" w:space="0" w:color="auto"/>
              <w:right w:val="single" w:sz="8" w:space="0" w:color="auto"/>
            </w:tcBorders>
            <w:shd w:val="clear" w:color="auto" w:fill="auto"/>
            <w:hideMark/>
          </w:tcPr>
          <w:p w14:paraId="4A27857F" w14:textId="77777777" w:rsidR="005C6FC4" w:rsidRPr="005C6FC4" w:rsidRDefault="005C6FC4" w:rsidP="005C6FC4">
            <w:pPr>
              <w:spacing w:after="0" w:line="240" w:lineRule="auto"/>
              <w:jc w:val="center"/>
              <w:rPr>
                <w:rFonts w:eastAsia="Times New Roman" w:cs="Times New Roman"/>
                <w:b/>
                <w:bCs/>
                <w:color w:val="000000"/>
                <w:sz w:val="20"/>
                <w:szCs w:val="20"/>
                <w:lang w:eastAsia="sk-SK"/>
              </w:rPr>
            </w:pPr>
            <w:r w:rsidRPr="005C6FC4">
              <w:rPr>
                <w:rFonts w:eastAsia="Times New Roman" w:cs="Times New Roman"/>
                <w:b/>
                <w:bCs/>
                <w:color w:val="000000"/>
                <w:sz w:val="20"/>
                <w:szCs w:val="20"/>
                <w:lang w:eastAsia="sk-SK"/>
              </w:rPr>
              <w:t>Nadväznosť na strategický cieľ</w:t>
            </w:r>
          </w:p>
        </w:tc>
        <w:tc>
          <w:tcPr>
            <w:tcW w:w="160" w:type="dxa"/>
            <w:tcBorders>
              <w:top w:val="nil"/>
              <w:left w:val="nil"/>
              <w:bottom w:val="nil"/>
              <w:right w:val="single" w:sz="8" w:space="0" w:color="auto"/>
            </w:tcBorders>
            <w:shd w:val="clear" w:color="auto" w:fill="auto"/>
            <w:noWrap/>
            <w:hideMark/>
          </w:tcPr>
          <w:p w14:paraId="69393F69"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r>
      <w:tr w:rsidR="005C6FC4" w:rsidRPr="005C6FC4" w14:paraId="37D52E18" w14:textId="77777777" w:rsidTr="005C6FC4">
        <w:trPr>
          <w:trHeight w:val="255"/>
        </w:trPr>
        <w:tc>
          <w:tcPr>
            <w:tcW w:w="160" w:type="dxa"/>
            <w:tcBorders>
              <w:top w:val="nil"/>
              <w:left w:val="single" w:sz="8" w:space="0" w:color="auto"/>
              <w:bottom w:val="nil"/>
              <w:right w:val="nil"/>
            </w:tcBorders>
            <w:shd w:val="clear" w:color="auto" w:fill="auto"/>
            <w:noWrap/>
            <w:hideMark/>
          </w:tcPr>
          <w:p w14:paraId="1A8ECF04"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300" w:type="dxa"/>
            <w:tcBorders>
              <w:top w:val="nil"/>
              <w:left w:val="single" w:sz="8" w:space="0" w:color="auto"/>
              <w:bottom w:val="single" w:sz="4" w:space="0" w:color="auto"/>
              <w:right w:val="single" w:sz="4" w:space="0" w:color="auto"/>
            </w:tcBorders>
            <w:shd w:val="clear" w:color="auto" w:fill="auto"/>
            <w:noWrap/>
            <w:hideMark/>
          </w:tcPr>
          <w:p w14:paraId="73A88C24" w14:textId="77777777" w:rsidR="005C6FC4" w:rsidRPr="005C6FC4" w:rsidRDefault="005C6FC4" w:rsidP="005C6FC4">
            <w:pPr>
              <w:spacing w:after="0" w:line="240" w:lineRule="auto"/>
              <w:jc w:val="right"/>
              <w:rPr>
                <w:rFonts w:eastAsia="Times New Roman" w:cs="Times New Roman"/>
                <w:color w:val="000000"/>
                <w:sz w:val="20"/>
                <w:szCs w:val="20"/>
                <w:lang w:eastAsia="sk-SK"/>
              </w:rPr>
            </w:pPr>
            <w:r w:rsidRPr="005C6FC4">
              <w:rPr>
                <w:rFonts w:eastAsia="Times New Roman" w:cs="Times New Roman"/>
                <w:color w:val="000000"/>
                <w:sz w:val="20"/>
                <w:szCs w:val="20"/>
                <w:lang w:eastAsia="sk-SK"/>
              </w:rPr>
              <w:t>1</w:t>
            </w:r>
          </w:p>
        </w:tc>
        <w:tc>
          <w:tcPr>
            <w:tcW w:w="1100" w:type="dxa"/>
            <w:tcBorders>
              <w:top w:val="nil"/>
              <w:left w:val="nil"/>
              <w:bottom w:val="single" w:sz="4" w:space="0" w:color="auto"/>
              <w:right w:val="single" w:sz="4" w:space="0" w:color="auto"/>
            </w:tcBorders>
            <w:shd w:val="clear" w:color="auto" w:fill="auto"/>
            <w:noWrap/>
            <w:hideMark/>
          </w:tcPr>
          <w:p w14:paraId="24152A0E"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00" w:type="dxa"/>
            <w:tcBorders>
              <w:top w:val="nil"/>
              <w:left w:val="nil"/>
              <w:bottom w:val="single" w:sz="4" w:space="0" w:color="auto"/>
              <w:right w:val="single" w:sz="4" w:space="0" w:color="auto"/>
            </w:tcBorders>
            <w:shd w:val="clear" w:color="auto" w:fill="auto"/>
            <w:noWrap/>
            <w:hideMark/>
          </w:tcPr>
          <w:p w14:paraId="5AFB20FE"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520" w:type="dxa"/>
            <w:tcBorders>
              <w:top w:val="nil"/>
              <w:left w:val="nil"/>
              <w:bottom w:val="single" w:sz="4" w:space="0" w:color="auto"/>
              <w:right w:val="single" w:sz="4" w:space="0" w:color="auto"/>
            </w:tcBorders>
            <w:shd w:val="clear" w:color="auto" w:fill="auto"/>
            <w:hideMark/>
          </w:tcPr>
          <w:p w14:paraId="6F2D9C2B"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2060" w:type="dxa"/>
            <w:tcBorders>
              <w:top w:val="nil"/>
              <w:left w:val="nil"/>
              <w:bottom w:val="single" w:sz="4" w:space="0" w:color="auto"/>
              <w:right w:val="single" w:sz="4" w:space="0" w:color="auto"/>
            </w:tcBorders>
            <w:shd w:val="clear" w:color="auto" w:fill="auto"/>
            <w:noWrap/>
            <w:hideMark/>
          </w:tcPr>
          <w:p w14:paraId="43CD0D0A"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40" w:type="dxa"/>
            <w:tcBorders>
              <w:top w:val="nil"/>
              <w:left w:val="nil"/>
              <w:bottom w:val="single" w:sz="4" w:space="0" w:color="auto"/>
              <w:right w:val="single" w:sz="4" w:space="0" w:color="auto"/>
            </w:tcBorders>
            <w:shd w:val="clear" w:color="auto" w:fill="auto"/>
            <w:noWrap/>
            <w:hideMark/>
          </w:tcPr>
          <w:p w14:paraId="2C7A165F"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120" w:type="dxa"/>
            <w:tcBorders>
              <w:top w:val="nil"/>
              <w:left w:val="nil"/>
              <w:bottom w:val="single" w:sz="4" w:space="0" w:color="auto"/>
              <w:right w:val="single" w:sz="4" w:space="0" w:color="auto"/>
            </w:tcBorders>
            <w:shd w:val="clear" w:color="auto" w:fill="auto"/>
            <w:noWrap/>
            <w:hideMark/>
          </w:tcPr>
          <w:p w14:paraId="62B8F6E7"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6CE4E531"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24396A82"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20" w:type="dxa"/>
            <w:tcBorders>
              <w:top w:val="nil"/>
              <w:left w:val="nil"/>
              <w:bottom w:val="single" w:sz="4" w:space="0" w:color="auto"/>
              <w:right w:val="single" w:sz="8" w:space="0" w:color="auto"/>
            </w:tcBorders>
            <w:shd w:val="clear" w:color="auto" w:fill="auto"/>
            <w:hideMark/>
          </w:tcPr>
          <w:p w14:paraId="49B7D1AC"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0" w:type="dxa"/>
            <w:tcBorders>
              <w:top w:val="nil"/>
              <w:left w:val="nil"/>
              <w:bottom w:val="nil"/>
              <w:right w:val="single" w:sz="8" w:space="0" w:color="auto"/>
            </w:tcBorders>
            <w:shd w:val="clear" w:color="auto" w:fill="auto"/>
            <w:noWrap/>
            <w:hideMark/>
          </w:tcPr>
          <w:p w14:paraId="2BF38229"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r>
      <w:tr w:rsidR="005C6FC4" w:rsidRPr="005C6FC4" w14:paraId="1FE1C876" w14:textId="77777777" w:rsidTr="005C6FC4">
        <w:trPr>
          <w:trHeight w:val="255"/>
        </w:trPr>
        <w:tc>
          <w:tcPr>
            <w:tcW w:w="160" w:type="dxa"/>
            <w:tcBorders>
              <w:top w:val="nil"/>
              <w:left w:val="single" w:sz="8" w:space="0" w:color="auto"/>
              <w:bottom w:val="nil"/>
              <w:right w:val="nil"/>
            </w:tcBorders>
            <w:shd w:val="clear" w:color="auto" w:fill="auto"/>
            <w:noWrap/>
            <w:hideMark/>
          </w:tcPr>
          <w:p w14:paraId="08562856"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300" w:type="dxa"/>
            <w:tcBorders>
              <w:top w:val="nil"/>
              <w:left w:val="single" w:sz="8" w:space="0" w:color="auto"/>
              <w:bottom w:val="single" w:sz="4" w:space="0" w:color="auto"/>
              <w:right w:val="single" w:sz="4" w:space="0" w:color="auto"/>
            </w:tcBorders>
            <w:shd w:val="clear" w:color="auto" w:fill="auto"/>
            <w:noWrap/>
            <w:hideMark/>
          </w:tcPr>
          <w:p w14:paraId="6C562802" w14:textId="77777777" w:rsidR="005C6FC4" w:rsidRPr="005C6FC4" w:rsidRDefault="005C6FC4" w:rsidP="005C6FC4">
            <w:pPr>
              <w:spacing w:after="0" w:line="240" w:lineRule="auto"/>
              <w:jc w:val="right"/>
              <w:rPr>
                <w:rFonts w:eastAsia="Times New Roman" w:cs="Times New Roman"/>
                <w:color w:val="000000"/>
                <w:sz w:val="20"/>
                <w:szCs w:val="20"/>
                <w:lang w:eastAsia="sk-SK"/>
              </w:rPr>
            </w:pPr>
            <w:r w:rsidRPr="005C6FC4">
              <w:rPr>
                <w:rFonts w:eastAsia="Times New Roman" w:cs="Times New Roman"/>
                <w:color w:val="000000"/>
                <w:sz w:val="20"/>
                <w:szCs w:val="20"/>
                <w:lang w:eastAsia="sk-SK"/>
              </w:rPr>
              <w:t>2</w:t>
            </w:r>
          </w:p>
        </w:tc>
        <w:tc>
          <w:tcPr>
            <w:tcW w:w="1100" w:type="dxa"/>
            <w:tcBorders>
              <w:top w:val="nil"/>
              <w:left w:val="nil"/>
              <w:bottom w:val="single" w:sz="4" w:space="0" w:color="auto"/>
              <w:right w:val="single" w:sz="4" w:space="0" w:color="auto"/>
            </w:tcBorders>
            <w:shd w:val="clear" w:color="auto" w:fill="auto"/>
            <w:noWrap/>
            <w:hideMark/>
          </w:tcPr>
          <w:p w14:paraId="4049BA7B"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00" w:type="dxa"/>
            <w:tcBorders>
              <w:top w:val="nil"/>
              <w:left w:val="nil"/>
              <w:bottom w:val="single" w:sz="4" w:space="0" w:color="auto"/>
              <w:right w:val="single" w:sz="4" w:space="0" w:color="auto"/>
            </w:tcBorders>
            <w:shd w:val="clear" w:color="auto" w:fill="auto"/>
            <w:noWrap/>
            <w:hideMark/>
          </w:tcPr>
          <w:p w14:paraId="6783CDEF"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520" w:type="dxa"/>
            <w:tcBorders>
              <w:top w:val="nil"/>
              <w:left w:val="nil"/>
              <w:bottom w:val="single" w:sz="4" w:space="0" w:color="auto"/>
              <w:right w:val="single" w:sz="4" w:space="0" w:color="auto"/>
            </w:tcBorders>
            <w:shd w:val="clear" w:color="auto" w:fill="auto"/>
            <w:noWrap/>
            <w:hideMark/>
          </w:tcPr>
          <w:p w14:paraId="46802E14"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2060" w:type="dxa"/>
            <w:tcBorders>
              <w:top w:val="nil"/>
              <w:left w:val="nil"/>
              <w:bottom w:val="single" w:sz="4" w:space="0" w:color="auto"/>
              <w:right w:val="single" w:sz="4" w:space="0" w:color="auto"/>
            </w:tcBorders>
            <w:shd w:val="clear" w:color="auto" w:fill="auto"/>
            <w:noWrap/>
            <w:hideMark/>
          </w:tcPr>
          <w:p w14:paraId="3E749074"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40" w:type="dxa"/>
            <w:tcBorders>
              <w:top w:val="nil"/>
              <w:left w:val="nil"/>
              <w:bottom w:val="single" w:sz="4" w:space="0" w:color="auto"/>
              <w:right w:val="single" w:sz="4" w:space="0" w:color="auto"/>
            </w:tcBorders>
            <w:shd w:val="clear" w:color="auto" w:fill="auto"/>
            <w:noWrap/>
            <w:hideMark/>
          </w:tcPr>
          <w:p w14:paraId="18D68E28"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120" w:type="dxa"/>
            <w:tcBorders>
              <w:top w:val="nil"/>
              <w:left w:val="nil"/>
              <w:bottom w:val="single" w:sz="4" w:space="0" w:color="auto"/>
              <w:right w:val="single" w:sz="4" w:space="0" w:color="auto"/>
            </w:tcBorders>
            <w:shd w:val="clear" w:color="auto" w:fill="auto"/>
            <w:noWrap/>
            <w:hideMark/>
          </w:tcPr>
          <w:p w14:paraId="7A184A1A"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10DFC2C8"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73402588"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20" w:type="dxa"/>
            <w:tcBorders>
              <w:top w:val="nil"/>
              <w:left w:val="nil"/>
              <w:bottom w:val="single" w:sz="4" w:space="0" w:color="auto"/>
              <w:right w:val="single" w:sz="8" w:space="0" w:color="auto"/>
            </w:tcBorders>
            <w:shd w:val="clear" w:color="auto" w:fill="auto"/>
            <w:noWrap/>
            <w:hideMark/>
          </w:tcPr>
          <w:p w14:paraId="7EECB90E"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0" w:type="dxa"/>
            <w:tcBorders>
              <w:top w:val="nil"/>
              <w:left w:val="nil"/>
              <w:bottom w:val="nil"/>
              <w:right w:val="single" w:sz="8" w:space="0" w:color="auto"/>
            </w:tcBorders>
            <w:shd w:val="clear" w:color="auto" w:fill="auto"/>
            <w:noWrap/>
            <w:hideMark/>
          </w:tcPr>
          <w:p w14:paraId="5A844898"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r>
      <w:tr w:rsidR="005C6FC4" w:rsidRPr="005C6FC4" w14:paraId="3C5420A2" w14:textId="77777777" w:rsidTr="005C6FC4">
        <w:trPr>
          <w:trHeight w:val="255"/>
        </w:trPr>
        <w:tc>
          <w:tcPr>
            <w:tcW w:w="160" w:type="dxa"/>
            <w:tcBorders>
              <w:top w:val="nil"/>
              <w:left w:val="single" w:sz="8" w:space="0" w:color="auto"/>
              <w:bottom w:val="nil"/>
              <w:right w:val="nil"/>
            </w:tcBorders>
            <w:shd w:val="clear" w:color="auto" w:fill="auto"/>
            <w:noWrap/>
            <w:hideMark/>
          </w:tcPr>
          <w:p w14:paraId="33D41728"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300" w:type="dxa"/>
            <w:tcBorders>
              <w:top w:val="nil"/>
              <w:left w:val="single" w:sz="8" w:space="0" w:color="auto"/>
              <w:bottom w:val="single" w:sz="4" w:space="0" w:color="auto"/>
              <w:right w:val="single" w:sz="4" w:space="0" w:color="auto"/>
            </w:tcBorders>
            <w:shd w:val="clear" w:color="auto" w:fill="auto"/>
            <w:noWrap/>
            <w:hideMark/>
          </w:tcPr>
          <w:p w14:paraId="6A892D86" w14:textId="77777777" w:rsidR="005C6FC4" w:rsidRPr="005C6FC4" w:rsidRDefault="005C6FC4" w:rsidP="005C6FC4">
            <w:pPr>
              <w:spacing w:after="0" w:line="240" w:lineRule="auto"/>
              <w:jc w:val="right"/>
              <w:rPr>
                <w:rFonts w:eastAsia="Times New Roman" w:cs="Times New Roman"/>
                <w:color w:val="000000"/>
                <w:sz w:val="20"/>
                <w:szCs w:val="20"/>
                <w:lang w:eastAsia="sk-SK"/>
              </w:rPr>
            </w:pPr>
            <w:r w:rsidRPr="005C6FC4">
              <w:rPr>
                <w:rFonts w:eastAsia="Times New Roman" w:cs="Times New Roman"/>
                <w:color w:val="000000"/>
                <w:sz w:val="20"/>
                <w:szCs w:val="20"/>
                <w:lang w:eastAsia="sk-SK"/>
              </w:rPr>
              <w:t>3</w:t>
            </w:r>
          </w:p>
        </w:tc>
        <w:tc>
          <w:tcPr>
            <w:tcW w:w="1100" w:type="dxa"/>
            <w:tcBorders>
              <w:top w:val="nil"/>
              <w:left w:val="nil"/>
              <w:bottom w:val="single" w:sz="4" w:space="0" w:color="auto"/>
              <w:right w:val="single" w:sz="4" w:space="0" w:color="auto"/>
            </w:tcBorders>
            <w:shd w:val="clear" w:color="auto" w:fill="auto"/>
            <w:noWrap/>
            <w:hideMark/>
          </w:tcPr>
          <w:p w14:paraId="2BA45F46"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00" w:type="dxa"/>
            <w:tcBorders>
              <w:top w:val="nil"/>
              <w:left w:val="nil"/>
              <w:bottom w:val="single" w:sz="4" w:space="0" w:color="auto"/>
              <w:right w:val="single" w:sz="4" w:space="0" w:color="auto"/>
            </w:tcBorders>
            <w:shd w:val="clear" w:color="auto" w:fill="auto"/>
            <w:noWrap/>
            <w:hideMark/>
          </w:tcPr>
          <w:p w14:paraId="5BE7C1FE"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520" w:type="dxa"/>
            <w:tcBorders>
              <w:top w:val="nil"/>
              <w:left w:val="nil"/>
              <w:bottom w:val="single" w:sz="4" w:space="0" w:color="auto"/>
              <w:right w:val="single" w:sz="4" w:space="0" w:color="auto"/>
            </w:tcBorders>
            <w:shd w:val="clear" w:color="auto" w:fill="auto"/>
            <w:noWrap/>
            <w:hideMark/>
          </w:tcPr>
          <w:p w14:paraId="650A04A3"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2060" w:type="dxa"/>
            <w:tcBorders>
              <w:top w:val="nil"/>
              <w:left w:val="nil"/>
              <w:bottom w:val="single" w:sz="4" w:space="0" w:color="auto"/>
              <w:right w:val="single" w:sz="4" w:space="0" w:color="auto"/>
            </w:tcBorders>
            <w:shd w:val="clear" w:color="auto" w:fill="auto"/>
            <w:noWrap/>
            <w:hideMark/>
          </w:tcPr>
          <w:p w14:paraId="4C60D979"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40" w:type="dxa"/>
            <w:tcBorders>
              <w:top w:val="nil"/>
              <w:left w:val="nil"/>
              <w:bottom w:val="single" w:sz="4" w:space="0" w:color="auto"/>
              <w:right w:val="single" w:sz="4" w:space="0" w:color="auto"/>
            </w:tcBorders>
            <w:shd w:val="clear" w:color="auto" w:fill="auto"/>
            <w:noWrap/>
            <w:hideMark/>
          </w:tcPr>
          <w:p w14:paraId="3A83E541"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120" w:type="dxa"/>
            <w:tcBorders>
              <w:top w:val="nil"/>
              <w:left w:val="nil"/>
              <w:bottom w:val="single" w:sz="4" w:space="0" w:color="auto"/>
              <w:right w:val="single" w:sz="4" w:space="0" w:color="auto"/>
            </w:tcBorders>
            <w:shd w:val="clear" w:color="auto" w:fill="auto"/>
            <w:noWrap/>
            <w:hideMark/>
          </w:tcPr>
          <w:p w14:paraId="70FEB079"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75C50532"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22653717"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20" w:type="dxa"/>
            <w:tcBorders>
              <w:top w:val="nil"/>
              <w:left w:val="nil"/>
              <w:bottom w:val="single" w:sz="4" w:space="0" w:color="auto"/>
              <w:right w:val="single" w:sz="8" w:space="0" w:color="auto"/>
            </w:tcBorders>
            <w:shd w:val="clear" w:color="auto" w:fill="auto"/>
            <w:noWrap/>
            <w:hideMark/>
          </w:tcPr>
          <w:p w14:paraId="1FFF44CD"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0" w:type="dxa"/>
            <w:tcBorders>
              <w:top w:val="nil"/>
              <w:left w:val="nil"/>
              <w:bottom w:val="nil"/>
              <w:right w:val="single" w:sz="8" w:space="0" w:color="auto"/>
            </w:tcBorders>
            <w:shd w:val="clear" w:color="auto" w:fill="auto"/>
            <w:noWrap/>
            <w:hideMark/>
          </w:tcPr>
          <w:p w14:paraId="1EFF1EFA"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r>
      <w:tr w:rsidR="005C6FC4" w:rsidRPr="005C6FC4" w14:paraId="524CF450" w14:textId="77777777" w:rsidTr="005C6FC4">
        <w:trPr>
          <w:trHeight w:val="255"/>
        </w:trPr>
        <w:tc>
          <w:tcPr>
            <w:tcW w:w="160" w:type="dxa"/>
            <w:tcBorders>
              <w:top w:val="nil"/>
              <w:left w:val="single" w:sz="8" w:space="0" w:color="auto"/>
              <w:bottom w:val="nil"/>
              <w:right w:val="nil"/>
            </w:tcBorders>
            <w:shd w:val="clear" w:color="auto" w:fill="auto"/>
            <w:noWrap/>
            <w:hideMark/>
          </w:tcPr>
          <w:p w14:paraId="0274A918"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300" w:type="dxa"/>
            <w:tcBorders>
              <w:top w:val="nil"/>
              <w:left w:val="single" w:sz="8" w:space="0" w:color="auto"/>
              <w:bottom w:val="single" w:sz="4" w:space="0" w:color="auto"/>
              <w:right w:val="single" w:sz="4" w:space="0" w:color="auto"/>
            </w:tcBorders>
            <w:shd w:val="clear" w:color="auto" w:fill="auto"/>
            <w:noWrap/>
            <w:hideMark/>
          </w:tcPr>
          <w:p w14:paraId="5087A0B6" w14:textId="77777777" w:rsidR="005C6FC4" w:rsidRPr="005C6FC4" w:rsidRDefault="005C6FC4" w:rsidP="005C6FC4">
            <w:pPr>
              <w:spacing w:after="0" w:line="240" w:lineRule="auto"/>
              <w:jc w:val="right"/>
              <w:rPr>
                <w:rFonts w:eastAsia="Times New Roman" w:cs="Times New Roman"/>
                <w:color w:val="000000"/>
                <w:sz w:val="20"/>
                <w:szCs w:val="20"/>
                <w:lang w:eastAsia="sk-SK"/>
              </w:rPr>
            </w:pPr>
            <w:r w:rsidRPr="005C6FC4">
              <w:rPr>
                <w:rFonts w:eastAsia="Times New Roman" w:cs="Times New Roman"/>
                <w:color w:val="000000"/>
                <w:sz w:val="20"/>
                <w:szCs w:val="20"/>
                <w:lang w:eastAsia="sk-SK"/>
              </w:rPr>
              <w:t>4</w:t>
            </w:r>
          </w:p>
        </w:tc>
        <w:tc>
          <w:tcPr>
            <w:tcW w:w="1100" w:type="dxa"/>
            <w:tcBorders>
              <w:top w:val="nil"/>
              <w:left w:val="nil"/>
              <w:bottom w:val="single" w:sz="4" w:space="0" w:color="auto"/>
              <w:right w:val="single" w:sz="4" w:space="0" w:color="auto"/>
            </w:tcBorders>
            <w:shd w:val="clear" w:color="auto" w:fill="auto"/>
            <w:noWrap/>
            <w:hideMark/>
          </w:tcPr>
          <w:p w14:paraId="7E2D3949"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00" w:type="dxa"/>
            <w:tcBorders>
              <w:top w:val="nil"/>
              <w:left w:val="nil"/>
              <w:bottom w:val="single" w:sz="4" w:space="0" w:color="auto"/>
              <w:right w:val="single" w:sz="4" w:space="0" w:color="auto"/>
            </w:tcBorders>
            <w:shd w:val="clear" w:color="auto" w:fill="auto"/>
            <w:noWrap/>
            <w:hideMark/>
          </w:tcPr>
          <w:p w14:paraId="27FBAE31"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520" w:type="dxa"/>
            <w:tcBorders>
              <w:top w:val="nil"/>
              <w:left w:val="nil"/>
              <w:bottom w:val="single" w:sz="4" w:space="0" w:color="auto"/>
              <w:right w:val="single" w:sz="4" w:space="0" w:color="auto"/>
            </w:tcBorders>
            <w:shd w:val="clear" w:color="auto" w:fill="auto"/>
            <w:noWrap/>
            <w:hideMark/>
          </w:tcPr>
          <w:p w14:paraId="7D564D43"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2060" w:type="dxa"/>
            <w:tcBorders>
              <w:top w:val="nil"/>
              <w:left w:val="nil"/>
              <w:bottom w:val="single" w:sz="4" w:space="0" w:color="auto"/>
              <w:right w:val="single" w:sz="4" w:space="0" w:color="auto"/>
            </w:tcBorders>
            <w:shd w:val="clear" w:color="auto" w:fill="auto"/>
            <w:noWrap/>
            <w:hideMark/>
          </w:tcPr>
          <w:p w14:paraId="72DEFDC5"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40" w:type="dxa"/>
            <w:tcBorders>
              <w:top w:val="nil"/>
              <w:left w:val="nil"/>
              <w:bottom w:val="single" w:sz="4" w:space="0" w:color="auto"/>
              <w:right w:val="single" w:sz="4" w:space="0" w:color="auto"/>
            </w:tcBorders>
            <w:shd w:val="clear" w:color="auto" w:fill="auto"/>
            <w:noWrap/>
            <w:hideMark/>
          </w:tcPr>
          <w:p w14:paraId="6FBA6746"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120" w:type="dxa"/>
            <w:tcBorders>
              <w:top w:val="nil"/>
              <w:left w:val="nil"/>
              <w:bottom w:val="single" w:sz="4" w:space="0" w:color="auto"/>
              <w:right w:val="single" w:sz="4" w:space="0" w:color="auto"/>
            </w:tcBorders>
            <w:shd w:val="clear" w:color="auto" w:fill="auto"/>
            <w:noWrap/>
            <w:hideMark/>
          </w:tcPr>
          <w:p w14:paraId="5D18DA3F"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1D79796E"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583442EE"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20" w:type="dxa"/>
            <w:tcBorders>
              <w:top w:val="nil"/>
              <w:left w:val="nil"/>
              <w:bottom w:val="single" w:sz="4" w:space="0" w:color="auto"/>
              <w:right w:val="single" w:sz="8" w:space="0" w:color="auto"/>
            </w:tcBorders>
            <w:shd w:val="clear" w:color="auto" w:fill="auto"/>
            <w:noWrap/>
            <w:hideMark/>
          </w:tcPr>
          <w:p w14:paraId="67F899B9"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0" w:type="dxa"/>
            <w:tcBorders>
              <w:top w:val="nil"/>
              <w:left w:val="nil"/>
              <w:bottom w:val="nil"/>
              <w:right w:val="single" w:sz="8" w:space="0" w:color="auto"/>
            </w:tcBorders>
            <w:shd w:val="clear" w:color="auto" w:fill="auto"/>
            <w:noWrap/>
            <w:hideMark/>
          </w:tcPr>
          <w:p w14:paraId="472E3250"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r>
      <w:tr w:rsidR="005C6FC4" w:rsidRPr="005C6FC4" w14:paraId="035D7FC6" w14:textId="77777777" w:rsidTr="005C6FC4">
        <w:trPr>
          <w:trHeight w:val="255"/>
        </w:trPr>
        <w:tc>
          <w:tcPr>
            <w:tcW w:w="160" w:type="dxa"/>
            <w:tcBorders>
              <w:top w:val="nil"/>
              <w:left w:val="single" w:sz="8" w:space="0" w:color="auto"/>
              <w:bottom w:val="nil"/>
              <w:right w:val="nil"/>
            </w:tcBorders>
            <w:shd w:val="clear" w:color="auto" w:fill="auto"/>
            <w:noWrap/>
            <w:hideMark/>
          </w:tcPr>
          <w:p w14:paraId="6D458550"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300" w:type="dxa"/>
            <w:tcBorders>
              <w:top w:val="nil"/>
              <w:left w:val="single" w:sz="8" w:space="0" w:color="auto"/>
              <w:bottom w:val="single" w:sz="4" w:space="0" w:color="auto"/>
              <w:right w:val="single" w:sz="4" w:space="0" w:color="auto"/>
            </w:tcBorders>
            <w:shd w:val="clear" w:color="auto" w:fill="auto"/>
            <w:noWrap/>
            <w:hideMark/>
          </w:tcPr>
          <w:p w14:paraId="1F184F9E" w14:textId="77777777" w:rsidR="005C6FC4" w:rsidRPr="005C6FC4" w:rsidRDefault="005C6FC4" w:rsidP="005C6FC4">
            <w:pPr>
              <w:spacing w:after="0" w:line="240" w:lineRule="auto"/>
              <w:jc w:val="right"/>
              <w:rPr>
                <w:rFonts w:eastAsia="Times New Roman" w:cs="Times New Roman"/>
                <w:color w:val="000000"/>
                <w:sz w:val="20"/>
                <w:szCs w:val="20"/>
                <w:lang w:eastAsia="sk-SK"/>
              </w:rPr>
            </w:pPr>
            <w:r w:rsidRPr="005C6FC4">
              <w:rPr>
                <w:rFonts w:eastAsia="Times New Roman" w:cs="Times New Roman"/>
                <w:color w:val="000000"/>
                <w:sz w:val="20"/>
                <w:szCs w:val="20"/>
                <w:lang w:eastAsia="sk-SK"/>
              </w:rPr>
              <w:t>5</w:t>
            </w:r>
          </w:p>
        </w:tc>
        <w:tc>
          <w:tcPr>
            <w:tcW w:w="1100" w:type="dxa"/>
            <w:tcBorders>
              <w:top w:val="nil"/>
              <w:left w:val="nil"/>
              <w:bottom w:val="single" w:sz="4" w:space="0" w:color="auto"/>
              <w:right w:val="single" w:sz="4" w:space="0" w:color="auto"/>
            </w:tcBorders>
            <w:shd w:val="clear" w:color="auto" w:fill="auto"/>
            <w:noWrap/>
            <w:hideMark/>
          </w:tcPr>
          <w:p w14:paraId="02B31620"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00" w:type="dxa"/>
            <w:tcBorders>
              <w:top w:val="nil"/>
              <w:left w:val="nil"/>
              <w:bottom w:val="single" w:sz="4" w:space="0" w:color="auto"/>
              <w:right w:val="single" w:sz="4" w:space="0" w:color="auto"/>
            </w:tcBorders>
            <w:shd w:val="clear" w:color="auto" w:fill="auto"/>
            <w:noWrap/>
            <w:hideMark/>
          </w:tcPr>
          <w:p w14:paraId="2B64862B"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520" w:type="dxa"/>
            <w:tcBorders>
              <w:top w:val="nil"/>
              <w:left w:val="nil"/>
              <w:bottom w:val="single" w:sz="4" w:space="0" w:color="auto"/>
              <w:right w:val="single" w:sz="4" w:space="0" w:color="auto"/>
            </w:tcBorders>
            <w:shd w:val="clear" w:color="auto" w:fill="auto"/>
            <w:noWrap/>
            <w:hideMark/>
          </w:tcPr>
          <w:p w14:paraId="4A7BF079"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2060" w:type="dxa"/>
            <w:tcBorders>
              <w:top w:val="nil"/>
              <w:left w:val="nil"/>
              <w:bottom w:val="single" w:sz="4" w:space="0" w:color="auto"/>
              <w:right w:val="single" w:sz="4" w:space="0" w:color="auto"/>
            </w:tcBorders>
            <w:shd w:val="clear" w:color="auto" w:fill="auto"/>
            <w:noWrap/>
            <w:hideMark/>
          </w:tcPr>
          <w:p w14:paraId="0FC51C10"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40" w:type="dxa"/>
            <w:tcBorders>
              <w:top w:val="nil"/>
              <w:left w:val="nil"/>
              <w:bottom w:val="single" w:sz="4" w:space="0" w:color="auto"/>
              <w:right w:val="single" w:sz="4" w:space="0" w:color="auto"/>
            </w:tcBorders>
            <w:shd w:val="clear" w:color="auto" w:fill="auto"/>
            <w:noWrap/>
            <w:hideMark/>
          </w:tcPr>
          <w:p w14:paraId="17D25DF1"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120" w:type="dxa"/>
            <w:tcBorders>
              <w:top w:val="nil"/>
              <w:left w:val="nil"/>
              <w:bottom w:val="single" w:sz="4" w:space="0" w:color="auto"/>
              <w:right w:val="single" w:sz="4" w:space="0" w:color="auto"/>
            </w:tcBorders>
            <w:shd w:val="clear" w:color="auto" w:fill="auto"/>
            <w:noWrap/>
            <w:hideMark/>
          </w:tcPr>
          <w:p w14:paraId="7C6AAF01"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23C8AC01"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647B78E7"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20" w:type="dxa"/>
            <w:tcBorders>
              <w:top w:val="nil"/>
              <w:left w:val="nil"/>
              <w:bottom w:val="single" w:sz="4" w:space="0" w:color="auto"/>
              <w:right w:val="single" w:sz="8" w:space="0" w:color="auto"/>
            </w:tcBorders>
            <w:shd w:val="clear" w:color="auto" w:fill="auto"/>
            <w:noWrap/>
            <w:hideMark/>
          </w:tcPr>
          <w:p w14:paraId="6FDA2E40"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0" w:type="dxa"/>
            <w:tcBorders>
              <w:top w:val="nil"/>
              <w:left w:val="nil"/>
              <w:bottom w:val="nil"/>
              <w:right w:val="single" w:sz="8" w:space="0" w:color="auto"/>
            </w:tcBorders>
            <w:shd w:val="clear" w:color="auto" w:fill="auto"/>
            <w:noWrap/>
            <w:hideMark/>
          </w:tcPr>
          <w:p w14:paraId="202D4284"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r>
      <w:tr w:rsidR="005C6FC4" w:rsidRPr="005C6FC4" w14:paraId="278D4F9D" w14:textId="77777777" w:rsidTr="005C6FC4">
        <w:trPr>
          <w:trHeight w:val="255"/>
        </w:trPr>
        <w:tc>
          <w:tcPr>
            <w:tcW w:w="160" w:type="dxa"/>
            <w:tcBorders>
              <w:top w:val="nil"/>
              <w:left w:val="single" w:sz="8" w:space="0" w:color="auto"/>
              <w:bottom w:val="nil"/>
              <w:right w:val="nil"/>
            </w:tcBorders>
            <w:shd w:val="clear" w:color="auto" w:fill="auto"/>
            <w:noWrap/>
            <w:hideMark/>
          </w:tcPr>
          <w:p w14:paraId="34FB7CC9"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300" w:type="dxa"/>
            <w:tcBorders>
              <w:top w:val="nil"/>
              <w:left w:val="single" w:sz="8" w:space="0" w:color="auto"/>
              <w:bottom w:val="single" w:sz="4" w:space="0" w:color="auto"/>
              <w:right w:val="single" w:sz="4" w:space="0" w:color="auto"/>
            </w:tcBorders>
            <w:shd w:val="clear" w:color="auto" w:fill="auto"/>
            <w:noWrap/>
            <w:hideMark/>
          </w:tcPr>
          <w:p w14:paraId="2EEF0B27" w14:textId="77777777" w:rsidR="005C6FC4" w:rsidRPr="005C6FC4" w:rsidRDefault="005C6FC4" w:rsidP="005C6FC4">
            <w:pPr>
              <w:spacing w:after="0" w:line="240" w:lineRule="auto"/>
              <w:jc w:val="right"/>
              <w:rPr>
                <w:rFonts w:eastAsia="Times New Roman" w:cs="Times New Roman"/>
                <w:color w:val="000000"/>
                <w:sz w:val="20"/>
                <w:szCs w:val="20"/>
                <w:lang w:eastAsia="sk-SK"/>
              </w:rPr>
            </w:pPr>
            <w:r w:rsidRPr="005C6FC4">
              <w:rPr>
                <w:rFonts w:eastAsia="Times New Roman" w:cs="Times New Roman"/>
                <w:color w:val="000000"/>
                <w:sz w:val="20"/>
                <w:szCs w:val="20"/>
                <w:lang w:eastAsia="sk-SK"/>
              </w:rPr>
              <w:t>6</w:t>
            </w:r>
          </w:p>
        </w:tc>
        <w:tc>
          <w:tcPr>
            <w:tcW w:w="1100" w:type="dxa"/>
            <w:tcBorders>
              <w:top w:val="nil"/>
              <w:left w:val="nil"/>
              <w:bottom w:val="single" w:sz="4" w:space="0" w:color="auto"/>
              <w:right w:val="single" w:sz="4" w:space="0" w:color="auto"/>
            </w:tcBorders>
            <w:shd w:val="clear" w:color="auto" w:fill="auto"/>
            <w:noWrap/>
            <w:hideMark/>
          </w:tcPr>
          <w:p w14:paraId="238BB2BB"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00" w:type="dxa"/>
            <w:tcBorders>
              <w:top w:val="nil"/>
              <w:left w:val="nil"/>
              <w:bottom w:val="single" w:sz="4" w:space="0" w:color="auto"/>
              <w:right w:val="single" w:sz="4" w:space="0" w:color="auto"/>
            </w:tcBorders>
            <w:shd w:val="clear" w:color="auto" w:fill="auto"/>
            <w:noWrap/>
            <w:hideMark/>
          </w:tcPr>
          <w:p w14:paraId="4154886D"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520" w:type="dxa"/>
            <w:tcBorders>
              <w:top w:val="nil"/>
              <w:left w:val="nil"/>
              <w:bottom w:val="single" w:sz="4" w:space="0" w:color="auto"/>
              <w:right w:val="single" w:sz="4" w:space="0" w:color="auto"/>
            </w:tcBorders>
            <w:shd w:val="clear" w:color="auto" w:fill="auto"/>
            <w:noWrap/>
            <w:hideMark/>
          </w:tcPr>
          <w:p w14:paraId="630284ED"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2060" w:type="dxa"/>
            <w:tcBorders>
              <w:top w:val="nil"/>
              <w:left w:val="nil"/>
              <w:bottom w:val="single" w:sz="4" w:space="0" w:color="auto"/>
              <w:right w:val="single" w:sz="4" w:space="0" w:color="auto"/>
            </w:tcBorders>
            <w:shd w:val="clear" w:color="auto" w:fill="auto"/>
            <w:noWrap/>
            <w:hideMark/>
          </w:tcPr>
          <w:p w14:paraId="72B2754D"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40" w:type="dxa"/>
            <w:tcBorders>
              <w:top w:val="nil"/>
              <w:left w:val="nil"/>
              <w:bottom w:val="single" w:sz="4" w:space="0" w:color="auto"/>
              <w:right w:val="single" w:sz="4" w:space="0" w:color="auto"/>
            </w:tcBorders>
            <w:shd w:val="clear" w:color="auto" w:fill="auto"/>
            <w:noWrap/>
            <w:hideMark/>
          </w:tcPr>
          <w:p w14:paraId="434AF8D1"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120" w:type="dxa"/>
            <w:tcBorders>
              <w:top w:val="nil"/>
              <w:left w:val="nil"/>
              <w:bottom w:val="single" w:sz="4" w:space="0" w:color="auto"/>
              <w:right w:val="single" w:sz="4" w:space="0" w:color="auto"/>
            </w:tcBorders>
            <w:shd w:val="clear" w:color="auto" w:fill="auto"/>
            <w:noWrap/>
            <w:hideMark/>
          </w:tcPr>
          <w:p w14:paraId="2E384EDB"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4135F4BC"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4DFAAD95"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20" w:type="dxa"/>
            <w:tcBorders>
              <w:top w:val="nil"/>
              <w:left w:val="nil"/>
              <w:bottom w:val="single" w:sz="4" w:space="0" w:color="auto"/>
              <w:right w:val="single" w:sz="8" w:space="0" w:color="auto"/>
            </w:tcBorders>
            <w:shd w:val="clear" w:color="auto" w:fill="auto"/>
            <w:noWrap/>
            <w:hideMark/>
          </w:tcPr>
          <w:p w14:paraId="24E20C71"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0" w:type="dxa"/>
            <w:tcBorders>
              <w:top w:val="nil"/>
              <w:left w:val="nil"/>
              <w:bottom w:val="nil"/>
              <w:right w:val="single" w:sz="8" w:space="0" w:color="auto"/>
            </w:tcBorders>
            <w:shd w:val="clear" w:color="auto" w:fill="auto"/>
            <w:noWrap/>
            <w:hideMark/>
          </w:tcPr>
          <w:p w14:paraId="0F040054"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r>
      <w:tr w:rsidR="005C6FC4" w:rsidRPr="005C6FC4" w14:paraId="65A99D21" w14:textId="77777777" w:rsidTr="005C6FC4">
        <w:trPr>
          <w:trHeight w:val="255"/>
        </w:trPr>
        <w:tc>
          <w:tcPr>
            <w:tcW w:w="160" w:type="dxa"/>
            <w:tcBorders>
              <w:top w:val="nil"/>
              <w:left w:val="single" w:sz="8" w:space="0" w:color="auto"/>
              <w:bottom w:val="nil"/>
              <w:right w:val="nil"/>
            </w:tcBorders>
            <w:shd w:val="clear" w:color="auto" w:fill="auto"/>
            <w:noWrap/>
            <w:hideMark/>
          </w:tcPr>
          <w:p w14:paraId="7333FD3E"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300" w:type="dxa"/>
            <w:tcBorders>
              <w:top w:val="nil"/>
              <w:left w:val="single" w:sz="8" w:space="0" w:color="auto"/>
              <w:bottom w:val="single" w:sz="4" w:space="0" w:color="auto"/>
              <w:right w:val="single" w:sz="4" w:space="0" w:color="auto"/>
            </w:tcBorders>
            <w:shd w:val="clear" w:color="auto" w:fill="auto"/>
            <w:noWrap/>
            <w:hideMark/>
          </w:tcPr>
          <w:p w14:paraId="2C87311B" w14:textId="77777777" w:rsidR="005C6FC4" w:rsidRPr="005C6FC4" w:rsidRDefault="005C6FC4" w:rsidP="005C6FC4">
            <w:pPr>
              <w:spacing w:after="0" w:line="240" w:lineRule="auto"/>
              <w:jc w:val="right"/>
              <w:rPr>
                <w:rFonts w:eastAsia="Times New Roman" w:cs="Times New Roman"/>
                <w:color w:val="000000"/>
                <w:sz w:val="20"/>
                <w:szCs w:val="20"/>
                <w:lang w:eastAsia="sk-SK"/>
              </w:rPr>
            </w:pPr>
            <w:r w:rsidRPr="005C6FC4">
              <w:rPr>
                <w:rFonts w:eastAsia="Times New Roman" w:cs="Times New Roman"/>
                <w:color w:val="000000"/>
                <w:sz w:val="20"/>
                <w:szCs w:val="20"/>
                <w:lang w:eastAsia="sk-SK"/>
              </w:rPr>
              <w:t>7</w:t>
            </w:r>
          </w:p>
        </w:tc>
        <w:tc>
          <w:tcPr>
            <w:tcW w:w="1100" w:type="dxa"/>
            <w:tcBorders>
              <w:top w:val="nil"/>
              <w:left w:val="nil"/>
              <w:bottom w:val="single" w:sz="4" w:space="0" w:color="auto"/>
              <w:right w:val="single" w:sz="4" w:space="0" w:color="auto"/>
            </w:tcBorders>
            <w:shd w:val="clear" w:color="auto" w:fill="auto"/>
            <w:noWrap/>
            <w:hideMark/>
          </w:tcPr>
          <w:p w14:paraId="59739CC4"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00" w:type="dxa"/>
            <w:tcBorders>
              <w:top w:val="nil"/>
              <w:left w:val="nil"/>
              <w:bottom w:val="single" w:sz="4" w:space="0" w:color="auto"/>
              <w:right w:val="single" w:sz="4" w:space="0" w:color="auto"/>
            </w:tcBorders>
            <w:shd w:val="clear" w:color="auto" w:fill="auto"/>
            <w:noWrap/>
            <w:hideMark/>
          </w:tcPr>
          <w:p w14:paraId="435201BD"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520" w:type="dxa"/>
            <w:tcBorders>
              <w:top w:val="nil"/>
              <w:left w:val="nil"/>
              <w:bottom w:val="single" w:sz="4" w:space="0" w:color="auto"/>
              <w:right w:val="single" w:sz="4" w:space="0" w:color="auto"/>
            </w:tcBorders>
            <w:shd w:val="clear" w:color="auto" w:fill="auto"/>
            <w:noWrap/>
            <w:hideMark/>
          </w:tcPr>
          <w:p w14:paraId="3C199723"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2060" w:type="dxa"/>
            <w:tcBorders>
              <w:top w:val="nil"/>
              <w:left w:val="nil"/>
              <w:bottom w:val="single" w:sz="4" w:space="0" w:color="auto"/>
              <w:right w:val="single" w:sz="4" w:space="0" w:color="auto"/>
            </w:tcBorders>
            <w:shd w:val="clear" w:color="auto" w:fill="auto"/>
            <w:noWrap/>
            <w:hideMark/>
          </w:tcPr>
          <w:p w14:paraId="3CC7EDA3"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40" w:type="dxa"/>
            <w:tcBorders>
              <w:top w:val="nil"/>
              <w:left w:val="nil"/>
              <w:bottom w:val="single" w:sz="4" w:space="0" w:color="auto"/>
              <w:right w:val="single" w:sz="4" w:space="0" w:color="auto"/>
            </w:tcBorders>
            <w:shd w:val="clear" w:color="auto" w:fill="auto"/>
            <w:noWrap/>
            <w:hideMark/>
          </w:tcPr>
          <w:p w14:paraId="5CF44A79"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120" w:type="dxa"/>
            <w:tcBorders>
              <w:top w:val="nil"/>
              <w:left w:val="nil"/>
              <w:bottom w:val="single" w:sz="4" w:space="0" w:color="auto"/>
              <w:right w:val="single" w:sz="4" w:space="0" w:color="auto"/>
            </w:tcBorders>
            <w:shd w:val="clear" w:color="auto" w:fill="auto"/>
            <w:noWrap/>
            <w:hideMark/>
          </w:tcPr>
          <w:p w14:paraId="22D9F001"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1DD92D5C"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2FADD17A"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20" w:type="dxa"/>
            <w:tcBorders>
              <w:top w:val="nil"/>
              <w:left w:val="nil"/>
              <w:bottom w:val="single" w:sz="4" w:space="0" w:color="auto"/>
              <w:right w:val="single" w:sz="8" w:space="0" w:color="auto"/>
            </w:tcBorders>
            <w:shd w:val="clear" w:color="auto" w:fill="auto"/>
            <w:noWrap/>
            <w:hideMark/>
          </w:tcPr>
          <w:p w14:paraId="3A4A11DC"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0" w:type="dxa"/>
            <w:tcBorders>
              <w:top w:val="nil"/>
              <w:left w:val="nil"/>
              <w:bottom w:val="nil"/>
              <w:right w:val="single" w:sz="8" w:space="0" w:color="auto"/>
            </w:tcBorders>
            <w:shd w:val="clear" w:color="auto" w:fill="auto"/>
            <w:noWrap/>
            <w:hideMark/>
          </w:tcPr>
          <w:p w14:paraId="469BE4E9"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r>
      <w:tr w:rsidR="005C6FC4" w:rsidRPr="005C6FC4" w14:paraId="4E783CBD" w14:textId="77777777" w:rsidTr="005C6FC4">
        <w:trPr>
          <w:trHeight w:val="255"/>
        </w:trPr>
        <w:tc>
          <w:tcPr>
            <w:tcW w:w="160" w:type="dxa"/>
            <w:tcBorders>
              <w:top w:val="nil"/>
              <w:left w:val="single" w:sz="8" w:space="0" w:color="auto"/>
              <w:bottom w:val="nil"/>
              <w:right w:val="nil"/>
            </w:tcBorders>
            <w:shd w:val="clear" w:color="auto" w:fill="auto"/>
            <w:noWrap/>
            <w:hideMark/>
          </w:tcPr>
          <w:p w14:paraId="36FDD6B4"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300" w:type="dxa"/>
            <w:tcBorders>
              <w:top w:val="nil"/>
              <w:left w:val="single" w:sz="8" w:space="0" w:color="auto"/>
              <w:bottom w:val="single" w:sz="4" w:space="0" w:color="auto"/>
              <w:right w:val="single" w:sz="4" w:space="0" w:color="auto"/>
            </w:tcBorders>
            <w:shd w:val="clear" w:color="auto" w:fill="auto"/>
            <w:noWrap/>
            <w:hideMark/>
          </w:tcPr>
          <w:p w14:paraId="43227774" w14:textId="77777777" w:rsidR="005C6FC4" w:rsidRPr="005C6FC4" w:rsidRDefault="005C6FC4" w:rsidP="005C6FC4">
            <w:pPr>
              <w:spacing w:after="0" w:line="240" w:lineRule="auto"/>
              <w:jc w:val="right"/>
              <w:rPr>
                <w:rFonts w:eastAsia="Times New Roman" w:cs="Times New Roman"/>
                <w:color w:val="000000"/>
                <w:sz w:val="20"/>
                <w:szCs w:val="20"/>
                <w:lang w:eastAsia="sk-SK"/>
              </w:rPr>
            </w:pPr>
            <w:r w:rsidRPr="005C6FC4">
              <w:rPr>
                <w:rFonts w:eastAsia="Times New Roman" w:cs="Times New Roman"/>
                <w:color w:val="000000"/>
                <w:sz w:val="20"/>
                <w:szCs w:val="20"/>
                <w:lang w:eastAsia="sk-SK"/>
              </w:rPr>
              <w:t>8</w:t>
            </w:r>
          </w:p>
        </w:tc>
        <w:tc>
          <w:tcPr>
            <w:tcW w:w="1100" w:type="dxa"/>
            <w:tcBorders>
              <w:top w:val="nil"/>
              <w:left w:val="nil"/>
              <w:bottom w:val="single" w:sz="4" w:space="0" w:color="auto"/>
              <w:right w:val="single" w:sz="4" w:space="0" w:color="auto"/>
            </w:tcBorders>
            <w:shd w:val="clear" w:color="auto" w:fill="auto"/>
            <w:noWrap/>
            <w:hideMark/>
          </w:tcPr>
          <w:p w14:paraId="1C4D8299"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00" w:type="dxa"/>
            <w:tcBorders>
              <w:top w:val="nil"/>
              <w:left w:val="nil"/>
              <w:bottom w:val="single" w:sz="4" w:space="0" w:color="auto"/>
              <w:right w:val="single" w:sz="4" w:space="0" w:color="auto"/>
            </w:tcBorders>
            <w:shd w:val="clear" w:color="auto" w:fill="auto"/>
            <w:noWrap/>
            <w:hideMark/>
          </w:tcPr>
          <w:p w14:paraId="6497D8CF"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520" w:type="dxa"/>
            <w:tcBorders>
              <w:top w:val="nil"/>
              <w:left w:val="nil"/>
              <w:bottom w:val="single" w:sz="4" w:space="0" w:color="auto"/>
              <w:right w:val="single" w:sz="4" w:space="0" w:color="auto"/>
            </w:tcBorders>
            <w:shd w:val="clear" w:color="auto" w:fill="auto"/>
            <w:noWrap/>
            <w:hideMark/>
          </w:tcPr>
          <w:p w14:paraId="30656401"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2060" w:type="dxa"/>
            <w:tcBorders>
              <w:top w:val="nil"/>
              <w:left w:val="nil"/>
              <w:bottom w:val="single" w:sz="4" w:space="0" w:color="auto"/>
              <w:right w:val="single" w:sz="4" w:space="0" w:color="auto"/>
            </w:tcBorders>
            <w:shd w:val="clear" w:color="auto" w:fill="auto"/>
            <w:noWrap/>
            <w:hideMark/>
          </w:tcPr>
          <w:p w14:paraId="3CBA35EF"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40" w:type="dxa"/>
            <w:tcBorders>
              <w:top w:val="nil"/>
              <w:left w:val="nil"/>
              <w:bottom w:val="single" w:sz="4" w:space="0" w:color="auto"/>
              <w:right w:val="single" w:sz="4" w:space="0" w:color="auto"/>
            </w:tcBorders>
            <w:shd w:val="clear" w:color="auto" w:fill="auto"/>
            <w:noWrap/>
            <w:hideMark/>
          </w:tcPr>
          <w:p w14:paraId="4EB3D4CF"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120" w:type="dxa"/>
            <w:tcBorders>
              <w:top w:val="nil"/>
              <w:left w:val="nil"/>
              <w:bottom w:val="single" w:sz="4" w:space="0" w:color="auto"/>
              <w:right w:val="single" w:sz="4" w:space="0" w:color="auto"/>
            </w:tcBorders>
            <w:shd w:val="clear" w:color="auto" w:fill="auto"/>
            <w:noWrap/>
            <w:hideMark/>
          </w:tcPr>
          <w:p w14:paraId="63F7F1DF"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3A06EEB3"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37001814"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20" w:type="dxa"/>
            <w:tcBorders>
              <w:top w:val="nil"/>
              <w:left w:val="nil"/>
              <w:bottom w:val="single" w:sz="4" w:space="0" w:color="auto"/>
              <w:right w:val="single" w:sz="8" w:space="0" w:color="auto"/>
            </w:tcBorders>
            <w:shd w:val="clear" w:color="auto" w:fill="auto"/>
            <w:noWrap/>
            <w:hideMark/>
          </w:tcPr>
          <w:p w14:paraId="19A882F2"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0" w:type="dxa"/>
            <w:tcBorders>
              <w:top w:val="nil"/>
              <w:left w:val="nil"/>
              <w:bottom w:val="nil"/>
              <w:right w:val="single" w:sz="8" w:space="0" w:color="auto"/>
            </w:tcBorders>
            <w:shd w:val="clear" w:color="auto" w:fill="auto"/>
            <w:noWrap/>
            <w:hideMark/>
          </w:tcPr>
          <w:p w14:paraId="70B442EC"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r>
      <w:tr w:rsidR="005C6FC4" w:rsidRPr="005C6FC4" w14:paraId="5A13075B" w14:textId="77777777" w:rsidTr="005C6FC4">
        <w:trPr>
          <w:trHeight w:val="255"/>
        </w:trPr>
        <w:tc>
          <w:tcPr>
            <w:tcW w:w="160" w:type="dxa"/>
            <w:tcBorders>
              <w:top w:val="nil"/>
              <w:left w:val="single" w:sz="8" w:space="0" w:color="auto"/>
              <w:bottom w:val="nil"/>
              <w:right w:val="nil"/>
            </w:tcBorders>
            <w:shd w:val="clear" w:color="auto" w:fill="auto"/>
            <w:noWrap/>
            <w:hideMark/>
          </w:tcPr>
          <w:p w14:paraId="75BEF2CD"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300" w:type="dxa"/>
            <w:tcBorders>
              <w:top w:val="nil"/>
              <w:left w:val="single" w:sz="8" w:space="0" w:color="auto"/>
              <w:bottom w:val="single" w:sz="4" w:space="0" w:color="auto"/>
              <w:right w:val="single" w:sz="4" w:space="0" w:color="auto"/>
            </w:tcBorders>
            <w:shd w:val="clear" w:color="auto" w:fill="auto"/>
            <w:noWrap/>
            <w:hideMark/>
          </w:tcPr>
          <w:p w14:paraId="3975A200" w14:textId="77777777" w:rsidR="005C6FC4" w:rsidRPr="005C6FC4" w:rsidRDefault="005C6FC4" w:rsidP="005C6FC4">
            <w:pPr>
              <w:spacing w:after="0" w:line="240" w:lineRule="auto"/>
              <w:jc w:val="right"/>
              <w:rPr>
                <w:rFonts w:eastAsia="Times New Roman" w:cs="Times New Roman"/>
                <w:color w:val="000000"/>
                <w:sz w:val="20"/>
                <w:szCs w:val="20"/>
                <w:lang w:eastAsia="sk-SK"/>
              </w:rPr>
            </w:pPr>
            <w:r w:rsidRPr="005C6FC4">
              <w:rPr>
                <w:rFonts w:eastAsia="Times New Roman" w:cs="Times New Roman"/>
                <w:color w:val="000000"/>
                <w:sz w:val="20"/>
                <w:szCs w:val="20"/>
                <w:lang w:eastAsia="sk-SK"/>
              </w:rPr>
              <w:t>9</w:t>
            </w:r>
          </w:p>
        </w:tc>
        <w:tc>
          <w:tcPr>
            <w:tcW w:w="1100" w:type="dxa"/>
            <w:tcBorders>
              <w:top w:val="nil"/>
              <w:left w:val="nil"/>
              <w:bottom w:val="single" w:sz="4" w:space="0" w:color="auto"/>
              <w:right w:val="single" w:sz="4" w:space="0" w:color="auto"/>
            </w:tcBorders>
            <w:shd w:val="clear" w:color="auto" w:fill="auto"/>
            <w:noWrap/>
            <w:hideMark/>
          </w:tcPr>
          <w:p w14:paraId="70D4B9D5"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00" w:type="dxa"/>
            <w:tcBorders>
              <w:top w:val="nil"/>
              <w:left w:val="nil"/>
              <w:bottom w:val="single" w:sz="4" w:space="0" w:color="auto"/>
              <w:right w:val="single" w:sz="4" w:space="0" w:color="auto"/>
            </w:tcBorders>
            <w:shd w:val="clear" w:color="auto" w:fill="auto"/>
            <w:noWrap/>
            <w:hideMark/>
          </w:tcPr>
          <w:p w14:paraId="2BEA066F"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520" w:type="dxa"/>
            <w:tcBorders>
              <w:top w:val="nil"/>
              <w:left w:val="nil"/>
              <w:bottom w:val="single" w:sz="4" w:space="0" w:color="auto"/>
              <w:right w:val="single" w:sz="4" w:space="0" w:color="auto"/>
            </w:tcBorders>
            <w:shd w:val="clear" w:color="auto" w:fill="auto"/>
            <w:noWrap/>
            <w:hideMark/>
          </w:tcPr>
          <w:p w14:paraId="4C059316"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2060" w:type="dxa"/>
            <w:tcBorders>
              <w:top w:val="nil"/>
              <w:left w:val="nil"/>
              <w:bottom w:val="single" w:sz="4" w:space="0" w:color="auto"/>
              <w:right w:val="single" w:sz="4" w:space="0" w:color="auto"/>
            </w:tcBorders>
            <w:shd w:val="clear" w:color="auto" w:fill="auto"/>
            <w:noWrap/>
            <w:hideMark/>
          </w:tcPr>
          <w:p w14:paraId="0CE886C4"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40" w:type="dxa"/>
            <w:tcBorders>
              <w:top w:val="nil"/>
              <w:left w:val="nil"/>
              <w:bottom w:val="single" w:sz="4" w:space="0" w:color="auto"/>
              <w:right w:val="single" w:sz="4" w:space="0" w:color="auto"/>
            </w:tcBorders>
            <w:shd w:val="clear" w:color="auto" w:fill="auto"/>
            <w:noWrap/>
            <w:hideMark/>
          </w:tcPr>
          <w:p w14:paraId="4F86C387"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120" w:type="dxa"/>
            <w:tcBorders>
              <w:top w:val="nil"/>
              <w:left w:val="nil"/>
              <w:bottom w:val="single" w:sz="4" w:space="0" w:color="auto"/>
              <w:right w:val="single" w:sz="4" w:space="0" w:color="auto"/>
            </w:tcBorders>
            <w:shd w:val="clear" w:color="auto" w:fill="auto"/>
            <w:noWrap/>
            <w:hideMark/>
          </w:tcPr>
          <w:p w14:paraId="0007DFF9"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49280356"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1F14D6B5"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20" w:type="dxa"/>
            <w:tcBorders>
              <w:top w:val="nil"/>
              <w:left w:val="nil"/>
              <w:bottom w:val="single" w:sz="4" w:space="0" w:color="auto"/>
              <w:right w:val="single" w:sz="8" w:space="0" w:color="auto"/>
            </w:tcBorders>
            <w:shd w:val="clear" w:color="auto" w:fill="auto"/>
            <w:noWrap/>
            <w:hideMark/>
          </w:tcPr>
          <w:p w14:paraId="7D7DA468"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0" w:type="dxa"/>
            <w:tcBorders>
              <w:top w:val="nil"/>
              <w:left w:val="nil"/>
              <w:bottom w:val="nil"/>
              <w:right w:val="single" w:sz="8" w:space="0" w:color="auto"/>
            </w:tcBorders>
            <w:shd w:val="clear" w:color="auto" w:fill="auto"/>
            <w:noWrap/>
            <w:hideMark/>
          </w:tcPr>
          <w:p w14:paraId="581934FF"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r>
      <w:tr w:rsidR="005C6FC4" w:rsidRPr="005C6FC4" w14:paraId="448C2591" w14:textId="77777777" w:rsidTr="005C6FC4">
        <w:trPr>
          <w:trHeight w:val="255"/>
        </w:trPr>
        <w:tc>
          <w:tcPr>
            <w:tcW w:w="160" w:type="dxa"/>
            <w:tcBorders>
              <w:top w:val="nil"/>
              <w:left w:val="single" w:sz="8" w:space="0" w:color="auto"/>
              <w:bottom w:val="nil"/>
              <w:right w:val="nil"/>
            </w:tcBorders>
            <w:shd w:val="clear" w:color="auto" w:fill="auto"/>
            <w:noWrap/>
            <w:hideMark/>
          </w:tcPr>
          <w:p w14:paraId="270E1D67"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300" w:type="dxa"/>
            <w:tcBorders>
              <w:top w:val="nil"/>
              <w:left w:val="single" w:sz="8" w:space="0" w:color="auto"/>
              <w:bottom w:val="single" w:sz="4" w:space="0" w:color="auto"/>
              <w:right w:val="single" w:sz="4" w:space="0" w:color="auto"/>
            </w:tcBorders>
            <w:shd w:val="clear" w:color="auto" w:fill="auto"/>
            <w:noWrap/>
            <w:hideMark/>
          </w:tcPr>
          <w:p w14:paraId="638ACF1C" w14:textId="77777777" w:rsidR="005C6FC4" w:rsidRPr="005C6FC4" w:rsidRDefault="005C6FC4" w:rsidP="005C6FC4">
            <w:pPr>
              <w:spacing w:after="0" w:line="240" w:lineRule="auto"/>
              <w:jc w:val="right"/>
              <w:rPr>
                <w:rFonts w:eastAsia="Times New Roman" w:cs="Times New Roman"/>
                <w:color w:val="000000"/>
                <w:sz w:val="20"/>
                <w:szCs w:val="20"/>
                <w:lang w:eastAsia="sk-SK"/>
              </w:rPr>
            </w:pPr>
            <w:r w:rsidRPr="005C6FC4">
              <w:rPr>
                <w:rFonts w:eastAsia="Times New Roman" w:cs="Times New Roman"/>
                <w:color w:val="000000"/>
                <w:sz w:val="20"/>
                <w:szCs w:val="20"/>
                <w:lang w:eastAsia="sk-SK"/>
              </w:rPr>
              <w:t>10</w:t>
            </w:r>
          </w:p>
        </w:tc>
        <w:tc>
          <w:tcPr>
            <w:tcW w:w="1100" w:type="dxa"/>
            <w:tcBorders>
              <w:top w:val="nil"/>
              <w:left w:val="nil"/>
              <w:bottom w:val="single" w:sz="4" w:space="0" w:color="auto"/>
              <w:right w:val="single" w:sz="4" w:space="0" w:color="auto"/>
            </w:tcBorders>
            <w:shd w:val="clear" w:color="auto" w:fill="auto"/>
            <w:noWrap/>
            <w:hideMark/>
          </w:tcPr>
          <w:p w14:paraId="5F384514"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00" w:type="dxa"/>
            <w:tcBorders>
              <w:top w:val="nil"/>
              <w:left w:val="nil"/>
              <w:bottom w:val="single" w:sz="4" w:space="0" w:color="auto"/>
              <w:right w:val="single" w:sz="4" w:space="0" w:color="auto"/>
            </w:tcBorders>
            <w:shd w:val="clear" w:color="auto" w:fill="auto"/>
            <w:noWrap/>
            <w:hideMark/>
          </w:tcPr>
          <w:p w14:paraId="0CBEFD4A"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520" w:type="dxa"/>
            <w:tcBorders>
              <w:top w:val="nil"/>
              <w:left w:val="nil"/>
              <w:bottom w:val="single" w:sz="4" w:space="0" w:color="auto"/>
              <w:right w:val="single" w:sz="4" w:space="0" w:color="auto"/>
            </w:tcBorders>
            <w:shd w:val="clear" w:color="auto" w:fill="auto"/>
            <w:noWrap/>
            <w:hideMark/>
          </w:tcPr>
          <w:p w14:paraId="1607BE60"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2060" w:type="dxa"/>
            <w:tcBorders>
              <w:top w:val="nil"/>
              <w:left w:val="nil"/>
              <w:bottom w:val="single" w:sz="4" w:space="0" w:color="auto"/>
              <w:right w:val="single" w:sz="4" w:space="0" w:color="auto"/>
            </w:tcBorders>
            <w:shd w:val="clear" w:color="auto" w:fill="auto"/>
            <w:noWrap/>
            <w:hideMark/>
          </w:tcPr>
          <w:p w14:paraId="421F2F15"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40" w:type="dxa"/>
            <w:tcBorders>
              <w:top w:val="nil"/>
              <w:left w:val="nil"/>
              <w:bottom w:val="single" w:sz="4" w:space="0" w:color="auto"/>
              <w:right w:val="single" w:sz="4" w:space="0" w:color="auto"/>
            </w:tcBorders>
            <w:shd w:val="clear" w:color="auto" w:fill="auto"/>
            <w:noWrap/>
            <w:hideMark/>
          </w:tcPr>
          <w:p w14:paraId="415E1A09"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120" w:type="dxa"/>
            <w:tcBorders>
              <w:top w:val="nil"/>
              <w:left w:val="nil"/>
              <w:bottom w:val="single" w:sz="4" w:space="0" w:color="auto"/>
              <w:right w:val="single" w:sz="4" w:space="0" w:color="auto"/>
            </w:tcBorders>
            <w:shd w:val="clear" w:color="auto" w:fill="auto"/>
            <w:noWrap/>
            <w:hideMark/>
          </w:tcPr>
          <w:p w14:paraId="5219AA34"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3DA36C0D"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4174FC6C"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20" w:type="dxa"/>
            <w:tcBorders>
              <w:top w:val="nil"/>
              <w:left w:val="nil"/>
              <w:bottom w:val="single" w:sz="4" w:space="0" w:color="auto"/>
              <w:right w:val="single" w:sz="8" w:space="0" w:color="auto"/>
            </w:tcBorders>
            <w:shd w:val="clear" w:color="auto" w:fill="auto"/>
            <w:noWrap/>
            <w:hideMark/>
          </w:tcPr>
          <w:p w14:paraId="4004A2EF"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0" w:type="dxa"/>
            <w:tcBorders>
              <w:top w:val="nil"/>
              <w:left w:val="nil"/>
              <w:bottom w:val="nil"/>
              <w:right w:val="single" w:sz="8" w:space="0" w:color="auto"/>
            </w:tcBorders>
            <w:shd w:val="clear" w:color="auto" w:fill="auto"/>
            <w:noWrap/>
            <w:hideMark/>
          </w:tcPr>
          <w:p w14:paraId="0CEB93A7"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r>
      <w:tr w:rsidR="005C6FC4" w:rsidRPr="005C6FC4" w14:paraId="1F12059C" w14:textId="77777777" w:rsidTr="005C6FC4">
        <w:trPr>
          <w:trHeight w:val="255"/>
        </w:trPr>
        <w:tc>
          <w:tcPr>
            <w:tcW w:w="160" w:type="dxa"/>
            <w:tcBorders>
              <w:top w:val="nil"/>
              <w:left w:val="single" w:sz="8" w:space="0" w:color="auto"/>
              <w:bottom w:val="nil"/>
              <w:right w:val="nil"/>
            </w:tcBorders>
            <w:shd w:val="clear" w:color="auto" w:fill="auto"/>
            <w:noWrap/>
            <w:hideMark/>
          </w:tcPr>
          <w:p w14:paraId="4F89F27B"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300" w:type="dxa"/>
            <w:tcBorders>
              <w:top w:val="nil"/>
              <w:left w:val="single" w:sz="8" w:space="0" w:color="auto"/>
              <w:bottom w:val="single" w:sz="4" w:space="0" w:color="auto"/>
              <w:right w:val="single" w:sz="4" w:space="0" w:color="auto"/>
            </w:tcBorders>
            <w:shd w:val="clear" w:color="auto" w:fill="auto"/>
            <w:noWrap/>
            <w:hideMark/>
          </w:tcPr>
          <w:p w14:paraId="7A284B78" w14:textId="77777777" w:rsidR="005C6FC4" w:rsidRPr="005C6FC4" w:rsidRDefault="005C6FC4" w:rsidP="005C6FC4">
            <w:pPr>
              <w:spacing w:after="0" w:line="240" w:lineRule="auto"/>
              <w:jc w:val="right"/>
              <w:rPr>
                <w:rFonts w:eastAsia="Times New Roman" w:cs="Times New Roman"/>
                <w:color w:val="000000"/>
                <w:sz w:val="20"/>
                <w:szCs w:val="20"/>
                <w:lang w:eastAsia="sk-SK"/>
              </w:rPr>
            </w:pPr>
            <w:r w:rsidRPr="005C6FC4">
              <w:rPr>
                <w:rFonts w:eastAsia="Times New Roman" w:cs="Times New Roman"/>
                <w:color w:val="000000"/>
                <w:sz w:val="20"/>
                <w:szCs w:val="20"/>
                <w:lang w:eastAsia="sk-SK"/>
              </w:rPr>
              <w:t>11</w:t>
            </w:r>
          </w:p>
        </w:tc>
        <w:tc>
          <w:tcPr>
            <w:tcW w:w="1100" w:type="dxa"/>
            <w:tcBorders>
              <w:top w:val="nil"/>
              <w:left w:val="nil"/>
              <w:bottom w:val="single" w:sz="4" w:space="0" w:color="auto"/>
              <w:right w:val="single" w:sz="4" w:space="0" w:color="auto"/>
            </w:tcBorders>
            <w:shd w:val="clear" w:color="auto" w:fill="auto"/>
            <w:noWrap/>
            <w:hideMark/>
          </w:tcPr>
          <w:p w14:paraId="76E44548"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00" w:type="dxa"/>
            <w:tcBorders>
              <w:top w:val="nil"/>
              <w:left w:val="nil"/>
              <w:bottom w:val="single" w:sz="4" w:space="0" w:color="auto"/>
              <w:right w:val="single" w:sz="4" w:space="0" w:color="auto"/>
            </w:tcBorders>
            <w:shd w:val="clear" w:color="auto" w:fill="auto"/>
            <w:noWrap/>
            <w:hideMark/>
          </w:tcPr>
          <w:p w14:paraId="2E42E3C0"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520" w:type="dxa"/>
            <w:tcBorders>
              <w:top w:val="nil"/>
              <w:left w:val="nil"/>
              <w:bottom w:val="single" w:sz="4" w:space="0" w:color="auto"/>
              <w:right w:val="single" w:sz="4" w:space="0" w:color="auto"/>
            </w:tcBorders>
            <w:shd w:val="clear" w:color="auto" w:fill="auto"/>
            <w:noWrap/>
            <w:hideMark/>
          </w:tcPr>
          <w:p w14:paraId="57281BAF"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2060" w:type="dxa"/>
            <w:tcBorders>
              <w:top w:val="nil"/>
              <w:left w:val="nil"/>
              <w:bottom w:val="single" w:sz="4" w:space="0" w:color="auto"/>
              <w:right w:val="single" w:sz="4" w:space="0" w:color="auto"/>
            </w:tcBorders>
            <w:shd w:val="clear" w:color="auto" w:fill="auto"/>
            <w:noWrap/>
            <w:hideMark/>
          </w:tcPr>
          <w:p w14:paraId="38BAE7BC"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40" w:type="dxa"/>
            <w:tcBorders>
              <w:top w:val="nil"/>
              <w:left w:val="nil"/>
              <w:bottom w:val="single" w:sz="4" w:space="0" w:color="auto"/>
              <w:right w:val="single" w:sz="4" w:space="0" w:color="auto"/>
            </w:tcBorders>
            <w:shd w:val="clear" w:color="auto" w:fill="auto"/>
            <w:noWrap/>
            <w:hideMark/>
          </w:tcPr>
          <w:p w14:paraId="7558E4FF"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120" w:type="dxa"/>
            <w:tcBorders>
              <w:top w:val="nil"/>
              <w:left w:val="nil"/>
              <w:bottom w:val="single" w:sz="4" w:space="0" w:color="auto"/>
              <w:right w:val="single" w:sz="4" w:space="0" w:color="auto"/>
            </w:tcBorders>
            <w:shd w:val="clear" w:color="auto" w:fill="auto"/>
            <w:noWrap/>
            <w:hideMark/>
          </w:tcPr>
          <w:p w14:paraId="6E55F256"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723EB610"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6ADB8882"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20" w:type="dxa"/>
            <w:tcBorders>
              <w:top w:val="nil"/>
              <w:left w:val="nil"/>
              <w:bottom w:val="single" w:sz="4" w:space="0" w:color="auto"/>
              <w:right w:val="single" w:sz="8" w:space="0" w:color="auto"/>
            </w:tcBorders>
            <w:shd w:val="clear" w:color="auto" w:fill="auto"/>
            <w:noWrap/>
            <w:hideMark/>
          </w:tcPr>
          <w:p w14:paraId="0310D772"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0" w:type="dxa"/>
            <w:tcBorders>
              <w:top w:val="nil"/>
              <w:left w:val="nil"/>
              <w:bottom w:val="nil"/>
              <w:right w:val="single" w:sz="8" w:space="0" w:color="auto"/>
            </w:tcBorders>
            <w:shd w:val="clear" w:color="auto" w:fill="auto"/>
            <w:noWrap/>
            <w:hideMark/>
          </w:tcPr>
          <w:p w14:paraId="3825D967"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r>
      <w:tr w:rsidR="005C6FC4" w:rsidRPr="005C6FC4" w14:paraId="35C0870F" w14:textId="77777777" w:rsidTr="005C6FC4">
        <w:trPr>
          <w:trHeight w:val="255"/>
        </w:trPr>
        <w:tc>
          <w:tcPr>
            <w:tcW w:w="160" w:type="dxa"/>
            <w:tcBorders>
              <w:top w:val="nil"/>
              <w:left w:val="single" w:sz="8" w:space="0" w:color="auto"/>
              <w:bottom w:val="nil"/>
              <w:right w:val="nil"/>
            </w:tcBorders>
            <w:shd w:val="clear" w:color="auto" w:fill="auto"/>
            <w:noWrap/>
            <w:hideMark/>
          </w:tcPr>
          <w:p w14:paraId="116DFD34"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300" w:type="dxa"/>
            <w:tcBorders>
              <w:top w:val="nil"/>
              <w:left w:val="single" w:sz="8" w:space="0" w:color="auto"/>
              <w:bottom w:val="single" w:sz="4" w:space="0" w:color="auto"/>
              <w:right w:val="single" w:sz="4" w:space="0" w:color="auto"/>
            </w:tcBorders>
            <w:shd w:val="clear" w:color="auto" w:fill="auto"/>
            <w:noWrap/>
            <w:hideMark/>
          </w:tcPr>
          <w:p w14:paraId="43976AF7" w14:textId="77777777" w:rsidR="005C6FC4" w:rsidRPr="005C6FC4" w:rsidRDefault="005C6FC4" w:rsidP="005C6FC4">
            <w:pPr>
              <w:spacing w:after="0" w:line="240" w:lineRule="auto"/>
              <w:jc w:val="right"/>
              <w:rPr>
                <w:rFonts w:eastAsia="Times New Roman" w:cs="Times New Roman"/>
                <w:color w:val="000000"/>
                <w:sz w:val="20"/>
                <w:szCs w:val="20"/>
                <w:lang w:eastAsia="sk-SK"/>
              </w:rPr>
            </w:pPr>
            <w:r w:rsidRPr="005C6FC4">
              <w:rPr>
                <w:rFonts w:eastAsia="Times New Roman" w:cs="Times New Roman"/>
                <w:color w:val="000000"/>
                <w:sz w:val="20"/>
                <w:szCs w:val="20"/>
                <w:lang w:eastAsia="sk-SK"/>
              </w:rPr>
              <w:t>12</w:t>
            </w:r>
          </w:p>
        </w:tc>
        <w:tc>
          <w:tcPr>
            <w:tcW w:w="1100" w:type="dxa"/>
            <w:tcBorders>
              <w:top w:val="nil"/>
              <w:left w:val="nil"/>
              <w:bottom w:val="single" w:sz="4" w:space="0" w:color="auto"/>
              <w:right w:val="single" w:sz="4" w:space="0" w:color="auto"/>
            </w:tcBorders>
            <w:shd w:val="clear" w:color="auto" w:fill="auto"/>
            <w:noWrap/>
            <w:hideMark/>
          </w:tcPr>
          <w:p w14:paraId="22EF4C9D"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00" w:type="dxa"/>
            <w:tcBorders>
              <w:top w:val="nil"/>
              <w:left w:val="nil"/>
              <w:bottom w:val="single" w:sz="4" w:space="0" w:color="auto"/>
              <w:right w:val="single" w:sz="4" w:space="0" w:color="auto"/>
            </w:tcBorders>
            <w:shd w:val="clear" w:color="auto" w:fill="auto"/>
            <w:noWrap/>
            <w:hideMark/>
          </w:tcPr>
          <w:p w14:paraId="515AF66E"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520" w:type="dxa"/>
            <w:tcBorders>
              <w:top w:val="nil"/>
              <w:left w:val="nil"/>
              <w:bottom w:val="single" w:sz="4" w:space="0" w:color="auto"/>
              <w:right w:val="single" w:sz="4" w:space="0" w:color="auto"/>
            </w:tcBorders>
            <w:shd w:val="clear" w:color="auto" w:fill="auto"/>
            <w:noWrap/>
            <w:hideMark/>
          </w:tcPr>
          <w:p w14:paraId="29ACBA2C"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2060" w:type="dxa"/>
            <w:tcBorders>
              <w:top w:val="nil"/>
              <w:left w:val="nil"/>
              <w:bottom w:val="single" w:sz="4" w:space="0" w:color="auto"/>
              <w:right w:val="single" w:sz="4" w:space="0" w:color="auto"/>
            </w:tcBorders>
            <w:shd w:val="clear" w:color="auto" w:fill="auto"/>
            <w:noWrap/>
            <w:hideMark/>
          </w:tcPr>
          <w:p w14:paraId="626EE626"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40" w:type="dxa"/>
            <w:tcBorders>
              <w:top w:val="nil"/>
              <w:left w:val="nil"/>
              <w:bottom w:val="single" w:sz="4" w:space="0" w:color="auto"/>
              <w:right w:val="single" w:sz="4" w:space="0" w:color="auto"/>
            </w:tcBorders>
            <w:shd w:val="clear" w:color="auto" w:fill="auto"/>
            <w:noWrap/>
            <w:hideMark/>
          </w:tcPr>
          <w:p w14:paraId="53803A89"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120" w:type="dxa"/>
            <w:tcBorders>
              <w:top w:val="nil"/>
              <w:left w:val="nil"/>
              <w:bottom w:val="single" w:sz="4" w:space="0" w:color="auto"/>
              <w:right w:val="single" w:sz="4" w:space="0" w:color="auto"/>
            </w:tcBorders>
            <w:shd w:val="clear" w:color="auto" w:fill="auto"/>
            <w:noWrap/>
            <w:hideMark/>
          </w:tcPr>
          <w:p w14:paraId="795287D6"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6E32166C"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12932CD7"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20" w:type="dxa"/>
            <w:tcBorders>
              <w:top w:val="nil"/>
              <w:left w:val="nil"/>
              <w:bottom w:val="single" w:sz="4" w:space="0" w:color="auto"/>
              <w:right w:val="single" w:sz="8" w:space="0" w:color="auto"/>
            </w:tcBorders>
            <w:shd w:val="clear" w:color="auto" w:fill="auto"/>
            <w:noWrap/>
            <w:hideMark/>
          </w:tcPr>
          <w:p w14:paraId="332BF478"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0" w:type="dxa"/>
            <w:tcBorders>
              <w:top w:val="nil"/>
              <w:left w:val="nil"/>
              <w:bottom w:val="nil"/>
              <w:right w:val="single" w:sz="8" w:space="0" w:color="auto"/>
            </w:tcBorders>
            <w:shd w:val="clear" w:color="auto" w:fill="auto"/>
            <w:noWrap/>
            <w:hideMark/>
          </w:tcPr>
          <w:p w14:paraId="384E7A8F"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r>
      <w:tr w:rsidR="005C6FC4" w:rsidRPr="005C6FC4" w14:paraId="579088BE" w14:textId="77777777" w:rsidTr="005C6FC4">
        <w:trPr>
          <w:trHeight w:val="255"/>
        </w:trPr>
        <w:tc>
          <w:tcPr>
            <w:tcW w:w="160" w:type="dxa"/>
            <w:tcBorders>
              <w:top w:val="nil"/>
              <w:left w:val="single" w:sz="8" w:space="0" w:color="auto"/>
              <w:bottom w:val="nil"/>
              <w:right w:val="nil"/>
            </w:tcBorders>
            <w:shd w:val="clear" w:color="auto" w:fill="auto"/>
            <w:noWrap/>
            <w:hideMark/>
          </w:tcPr>
          <w:p w14:paraId="360A0C63"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300" w:type="dxa"/>
            <w:tcBorders>
              <w:top w:val="nil"/>
              <w:left w:val="single" w:sz="8" w:space="0" w:color="auto"/>
              <w:bottom w:val="single" w:sz="4" w:space="0" w:color="auto"/>
              <w:right w:val="single" w:sz="4" w:space="0" w:color="auto"/>
            </w:tcBorders>
            <w:shd w:val="clear" w:color="auto" w:fill="auto"/>
            <w:noWrap/>
            <w:hideMark/>
          </w:tcPr>
          <w:p w14:paraId="3A8A05CF" w14:textId="77777777" w:rsidR="005C6FC4" w:rsidRPr="005C6FC4" w:rsidRDefault="005C6FC4" w:rsidP="005C6FC4">
            <w:pPr>
              <w:spacing w:after="0" w:line="240" w:lineRule="auto"/>
              <w:jc w:val="right"/>
              <w:rPr>
                <w:rFonts w:eastAsia="Times New Roman" w:cs="Times New Roman"/>
                <w:color w:val="000000"/>
                <w:sz w:val="20"/>
                <w:szCs w:val="20"/>
                <w:lang w:eastAsia="sk-SK"/>
              </w:rPr>
            </w:pPr>
            <w:r w:rsidRPr="005C6FC4">
              <w:rPr>
                <w:rFonts w:eastAsia="Times New Roman" w:cs="Times New Roman"/>
                <w:color w:val="000000"/>
                <w:sz w:val="20"/>
                <w:szCs w:val="20"/>
                <w:lang w:eastAsia="sk-SK"/>
              </w:rPr>
              <w:t>13</w:t>
            </w:r>
          </w:p>
        </w:tc>
        <w:tc>
          <w:tcPr>
            <w:tcW w:w="1100" w:type="dxa"/>
            <w:tcBorders>
              <w:top w:val="nil"/>
              <w:left w:val="nil"/>
              <w:bottom w:val="single" w:sz="4" w:space="0" w:color="auto"/>
              <w:right w:val="single" w:sz="4" w:space="0" w:color="auto"/>
            </w:tcBorders>
            <w:shd w:val="clear" w:color="auto" w:fill="auto"/>
            <w:noWrap/>
            <w:hideMark/>
          </w:tcPr>
          <w:p w14:paraId="5C0DB9DA"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00" w:type="dxa"/>
            <w:tcBorders>
              <w:top w:val="nil"/>
              <w:left w:val="nil"/>
              <w:bottom w:val="single" w:sz="4" w:space="0" w:color="auto"/>
              <w:right w:val="single" w:sz="4" w:space="0" w:color="auto"/>
            </w:tcBorders>
            <w:shd w:val="clear" w:color="auto" w:fill="auto"/>
            <w:noWrap/>
            <w:hideMark/>
          </w:tcPr>
          <w:p w14:paraId="159FD05E"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520" w:type="dxa"/>
            <w:tcBorders>
              <w:top w:val="nil"/>
              <w:left w:val="nil"/>
              <w:bottom w:val="single" w:sz="4" w:space="0" w:color="auto"/>
              <w:right w:val="single" w:sz="4" w:space="0" w:color="auto"/>
            </w:tcBorders>
            <w:shd w:val="clear" w:color="auto" w:fill="auto"/>
            <w:noWrap/>
            <w:hideMark/>
          </w:tcPr>
          <w:p w14:paraId="2F095667"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2060" w:type="dxa"/>
            <w:tcBorders>
              <w:top w:val="nil"/>
              <w:left w:val="nil"/>
              <w:bottom w:val="single" w:sz="4" w:space="0" w:color="auto"/>
              <w:right w:val="single" w:sz="4" w:space="0" w:color="auto"/>
            </w:tcBorders>
            <w:shd w:val="clear" w:color="auto" w:fill="auto"/>
            <w:noWrap/>
            <w:hideMark/>
          </w:tcPr>
          <w:p w14:paraId="1444865C"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40" w:type="dxa"/>
            <w:tcBorders>
              <w:top w:val="nil"/>
              <w:left w:val="nil"/>
              <w:bottom w:val="single" w:sz="4" w:space="0" w:color="auto"/>
              <w:right w:val="single" w:sz="4" w:space="0" w:color="auto"/>
            </w:tcBorders>
            <w:shd w:val="clear" w:color="auto" w:fill="auto"/>
            <w:noWrap/>
            <w:hideMark/>
          </w:tcPr>
          <w:p w14:paraId="23E34234"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120" w:type="dxa"/>
            <w:tcBorders>
              <w:top w:val="nil"/>
              <w:left w:val="nil"/>
              <w:bottom w:val="single" w:sz="4" w:space="0" w:color="auto"/>
              <w:right w:val="single" w:sz="4" w:space="0" w:color="auto"/>
            </w:tcBorders>
            <w:shd w:val="clear" w:color="auto" w:fill="auto"/>
            <w:noWrap/>
            <w:hideMark/>
          </w:tcPr>
          <w:p w14:paraId="606F8301"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3101AD75"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28683128"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20" w:type="dxa"/>
            <w:tcBorders>
              <w:top w:val="nil"/>
              <w:left w:val="nil"/>
              <w:bottom w:val="single" w:sz="4" w:space="0" w:color="auto"/>
              <w:right w:val="single" w:sz="8" w:space="0" w:color="auto"/>
            </w:tcBorders>
            <w:shd w:val="clear" w:color="auto" w:fill="auto"/>
            <w:noWrap/>
            <w:hideMark/>
          </w:tcPr>
          <w:p w14:paraId="4032823B"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0" w:type="dxa"/>
            <w:tcBorders>
              <w:top w:val="nil"/>
              <w:left w:val="nil"/>
              <w:bottom w:val="nil"/>
              <w:right w:val="single" w:sz="8" w:space="0" w:color="auto"/>
            </w:tcBorders>
            <w:shd w:val="clear" w:color="auto" w:fill="auto"/>
            <w:noWrap/>
            <w:hideMark/>
          </w:tcPr>
          <w:p w14:paraId="6CBADBD6"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r>
      <w:tr w:rsidR="005C6FC4" w:rsidRPr="005C6FC4" w14:paraId="32E81FF5" w14:textId="77777777" w:rsidTr="005C6FC4">
        <w:trPr>
          <w:trHeight w:val="255"/>
        </w:trPr>
        <w:tc>
          <w:tcPr>
            <w:tcW w:w="160" w:type="dxa"/>
            <w:tcBorders>
              <w:top w:val="nil"/>
              <w:left w:val="single" w:sz="8" w:space="0" w:color="auto"/>
              <w:bottom w:val="nil"/>
              <w:right w:val="nil"/>
            </w:tcBorders>
            <w:shd w:val="clear" w:color="auto" w:fill="auto"/>
            <w:noWrap/>
            <w:hideMark/>
          </w:tcPr>
          <w:p w14:paraId="5EDABF5B"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300" w:type="dxa"/>
            <w:tcBorders>
              <w:top w:val="nil"/>
              <w:left w:val="single" w:sz="8" w:space="0" w:color="auto"/>
              <w:bottom w:val="single" w:sz="4" w:space="0" w:color="auto"/>
              <w:right w:val="single" w:sz="4" w:space="0" w:color="auto"/>
            </w:tcBorders>
            <w:shd w:val="clear" w:color="auto" w:fill="auto"/>
            <w:noWrap/>
            <w:hideMark/>
          </w:tcPr>
          <w:p w14:paraId="08EBFA33" w14:textId="77777777" w:rsidR="005C6FC4" w:rsidRPr="005C6FC4" w:rsidRDefault="005C6FC4" w:rsidP="005C6FC4">
            <w:pPr>
              <w:spacing w:after="0" w:line="240" w:lineRule="auto"/>
              <w:jc w:val="right"/>
              <w:rPr>
                <w:rFonts w:eastAsia="Times New Roman" w:cs="Times New Roman"/>
                <w:color w:val="000000"/>
                <w:sz w:val="20"/>
                <w:szCs w:val="20"/>
                <w:lang w:eastAsia="sk-SK"/>
              </w:rPr>
            </w:pPr>
            <w:r w:rsidRPr="005C6FC4">
              <w:rPr>
                <w:rFonts w:eastAsia="Times New Roman" w:cs="Times New Roman"/>
                <w:color w:val="000000"/>
                <w:sz w:val="20"/>
                <w:szCs w:val="20"/>
                <w:lang w:eastAsia="sk-SK"/>
              </w:rPr>
              <w:t>14</w:t>
            </w:r>
          </w:p>
        </w:tc>
        <w:tc>
          <w:tcPr>
            <w:tcW w:w="1100" w:type="dxa"/>
            <w:tcBorders>
              <w:top w:val="nil"/>
              <w:left w:val="nil"/>
              <w:bottom w:val="single" w:sz="4" w:space="0" w:color="auto"/>
              <w:right w:val="single" w:sz="4" w:space="0" w:color="auto"/>
            </w:tcBorders>
            <w:shd w:val="clear" w:color="auto" w:fill="auto"/>
            <w:noWrap/>
            <w:hideMark/>
          </w:tcPr>
          <w:p w14:paraId="5FEA3ED5"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00" w:type="dxa"/>
            <w:tcBorders>
              <w:top w:val="nil"/>
              <w:left w:val="nil"/>
              <w:bottom w:val="single" w:sz="4" w:space="0" w:color="auto"/>
              <w:right w:val="single" w:sz="4" w:space="0" w:color="auto"/>
            </w:tcBorders>
            <w:shd w:val="clear" w:color="auto" w:fill="auto"/>
            <w:noWrap/>
            <w:hideMark/>
          </w:tcPr>
          <w:p w14:paraId="38795615"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520" w:type="dxa"/>
            <w:tcBorders>
              <w:top w:val="nil"/>
              <w:left w:val="nil"/>
              <w:bottom w:val="single" w:sz="4" w:space="0" w:color="auto"/>
              <w:right w:val="single" w:sz="4" w:space="0" w:color="auto"/>
            </w:tcBorders>
            <w:shd w:val="clear" w:color="auto" w:fill="auto"/>
            <w:noWrap/>
            <w:hideMark/>
          </w:tcPr>
          <w:p w14:paraId="21E84244"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2060" w:type="dxa"/>
            <w:tcBorders>
              <w:top w:val="nil"/>
              <w:left w:val="nil"/>
              <w:bottom w:val="single" w:sz="4" w:space="0" w:color="auto"/>
              <w:right w:val="single" w:sz="4" w:space="0" w:color="auto"/>
            </w:tcBorders>
            <w:shd w:val="clear" w:color="auto" w:fill="auto"/>
            <w:noWrap/>
            <w:hideMark/>
          </w:tcPr>
          <w:p w14:paraId="6642EDFD"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40" w:type="dxa"/>
            <w:tcBorders>
              <w:top w:val="nil"/>
              <w:left w:val="nil"/>
              <w:bottom w:val="single" w:sz="4" w:space="0" w:color="auto"/>
              <w:right w:val="single" w:sz="4" w:space="0" w:color="auto"/>
            </w:tcBorders>
            <w:shd w:val="clear" w:color="auto" w:fill="auto"/>
            <w:noWrap/>
            <w:hideMark/>
          </w:tcPr>
          <w:p w14:paraId="30B0E119"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120" w:type="dxa"/>
            <w:tcBorders>
              <w:top w:val="nil"/>
              <w:left w:val="nil"/>
              <w:bottom w:val="single" w:sz="4" w:space="0" w:color="auto"/>
              <w:right w:val="single" w:sz="4" w:space="0" w:color="auto"/>
            </w:tcBorders>
            <w:shd w:val="clear" w:color="auto" w:fill="auto"/>
            <w:noWrap/>
            <w:hideMark/>
          </w:tcPr>
          <w:p w14:paraId="0CB83BED"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12DF9D49"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27A1B71D"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20" w:type="dxa"/>
            <w:tcBorders>
              <w:top w:val="nil"/>
              <w:left w:val="nil"/>
              <w:bottom w:val="single" w:sz="4" w:space="0" w:color="auto"/>
              <w:right w:val="single" w:sz="8" w:space="0" w:color="auto"/>
            </w:tcBorders>
            <w:shd w:val="clear" w:color="auto" w:fill="auto"/>
            <w:noWrap/>
            <w:hideMark/>
          </w:tcPr>
          <w:p w14:paraId="01FA92DB"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0" w:type="dxa"/>
            <w:tcBorders>
              <w:top w:val="nil"/>
              <w:left w:val="nil"/>
              <w:bottom w:val="nil"/>
              <w:right w:val="single" w:sz="8" w:space="0" w:color="auto"/>
            </w:tcBorders>
            <w:shd w:val="clear" w:color="auto" w:fill="auto"/>
            <w:noWrap/>
            <w:hideMark/>
          </w:tcPr>
          <w:p w14:paraId="04E07B55"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r>
      <w:tr w:rsidR="005C6FC4" w:rsidRPr="005C6FC4" w14:paraId="3C3F2D8A" w14:textId="77777777" w:rsidTr="005C6FC4">
        <w:trPr>
          <w:trHeight w:val="255"/>
        </w:trPr>
        <w:tc>
          <w:tcPr>
            <w:tcW w:w="160" w:type="dxa"/>
            <w:tcBorders>
              <w:top w:val="nil"/>
              <w:left w:val="single" w:sz="8" w:space="0" w:color="auto"/>
              <w:bottom w:val="nil"/>
              <w:right w:val="nil"/>
            </w:tcBorders>
            <w:shd w:val="clear" w:color="auto" w:fill="auto"/>
            <w:noWrap/>
            <w:hideMark/>
          </w:tcPr>
          <w:p w14:paraId="0E1ECDB1"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300" w:type="dxa"/>
            <w:tcBorders>
              <w:top w:val="nil"/>
              <w:left w:val="single" w:sz="8" w:space="0" w:color="auto"/>
              <w:bottom w:val="single" w:sz="4" w:space="0" w:color="auto"/>
              <w:right w:val="single" w:sz="4" w:space="0" w:color="auto"/>
            </w:tcBorders>
            <w:shd w:val="clear" w:color="auto" w:fill="auto"/>
            <w:noWrap/>
            <w:hideMark/>
          </w:tcPr>
          <w:p w14:paraId="4EC5C5C5" w14:textId="77777777" w:rsidR="005C6FC4" w:rsidRPr="005C6FC4" w:rsidRDefault="005C6FC4" w:rsidP="005C6FC4">
            <w:pPr>
              <w:spacing w:after="0" w:line="240" w:lineRule="auto"/>
              <w:jc w:val="right"/>
              <w:rPr>
                <w:rFonts w:eastAsia="Times New Roman" w:cs="Times New Roman"/>
                <w:color w:val="000000"/>
                <w:sz w:val="20"/>
                <w:szCs w:val="20"/>
                <w:lang w:eastAsia="sk-SK"/>
              </w:rPr>
            </w:pPr>
            <w:r w:rsidRPr="005C6FC4">
              <w:rPr>
                <w:rFonts w:eastAsia="Times New Roman" w:cs="Times New Roman"/>
                <w:color w:val="000000"/>
                <w:sz w:val="20"/>
                <w:szCs w:val="20"/>
                <w:lang w:eastAsia="sk-SK"/>
              </w:rPr>
              <w:t>15</w:t>
            </w:r>
          </w:p>
        </w:tc>
        <w:tc>
          <w:tcPr>
            <w:tcW w:w="1100" w:type="dxa"/>
            <w:tcBorders>
              <w:top w:val="nil"/>
              <w:left w:val="nil"/>
              <w:bottom w:val="single" w:sz="4" w:space="0" w:color="auto"/>
              <w:right w:val="single" w:sz="4" w:space="0" w:color="auto"/>
            </w:tcBorders>
            <w:shd w:val="clear" w:color="auto" w:fill="auto"/>
            <w:noWrap/>
            <w:hideMark/>
          </w:tcPr>
          <w:p w14:paraId="1440FD2F"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00" w:type="dxa"/>
            <w:tcBorders>
              <w:top w:val="nil"/>
              <w:left w:val="nil"/>
              <w:bottom w:val="single" w:sz="4" w:space="0" w:color="auto"/>
              <w:right w:val="single" w:sz="4" w:space="0" w:color="auto"/>
            </w:tcBorders>
            <w:shd w:val="clear" w:color="auto" w:fill="auto"/>
            <w:noWrap/>
            <w:hideMark/>
          </w:tcPr>
          <w:p w14:paraId="1C3DB15E"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520" w:type="dxa"/>
            <w:tcBorders>
              <w:top w:val="nil"/>
              <w:left w:val="nil"/>
              <w:bottom w:val="single" w:sz="4" w:space="0" w:color="auto"/>
              <w:right w:val="single" w:sz="4" w:space="0" w:color="auto"/>
            </w:tcBorders>
            <w:shd w:val="clear" w:color="auto" w:fill="auto"/>
            <w:noWrap/>
            <w:hideMark/>
          </w:tcPr>
          <w:p w14:paraId="05CA2CF5"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2060" w:type="dxa"/>
            <w:tcBorders>
              <w:top w:val="nil"/>
              <w:left w:val="nil"/>
              <w:bottom w:val="single" w:sz="4" w:space="0" w:color="auto"/>
              <w:right w:val="single" w:sz="4" w:space="0" w:color="auto"/>
            </w:tcBorders>
            <w:shd w:val="clear" w:color="auto" w:fill="auto"/>
            <w:noWrap/>
            <w:hideMark/>
          </w:tcPr>
          <w:p w14:paraId="382B6342"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40" w:type="dxa"/>
            <w:tcBorders>
              <w:top w:val="nil"/>
              <w:left w:val="nil"/>
              <w:bottom w:val="single" w:sz="4" w:space="0" w:color="auto"/>
              <w:right w:val="single" w:sz="4" w:space="0" w:color="auto"/>
            </w:tcBorders>
            <w:shd w:val="clear" w:color="auto" w:fill="auto"/>
            <w:noWrap/>
            <w:hideMark/>
          </w:tcPr>
          <w:p w14:paraId="738BB3EA"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120" w:type="dxa"/>
            <w:tcBorders>
              <w:top w:val="nil"/>
              <w:left w:val="nil"/>
              <w:bottom w:val="single" w:sz="4" w:space="0" w:color="auto"/>
              <w:right w:val="single" w:sz="4" w:space="0" w:color="auto"/>
            </w:tcBorders>
            <w:shd w:val="clear" w:color="auto" w:fill="auto"/>
            <w:noWrap/>
            <w:hideMark/>
          </w:tcPr>
          <w:p w14:paraId="51820926"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04A5DB70"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69E008FD"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20" w:type="dxa"/>
            <w:tcBorders>
              <w:top w:val="nil"/>
              <w:left w:val="nil"/>
              <w:bottom w:val="single" w:sz="4" w:space="0" w:color="auto"/>
              <w:right w:val="single" w:sz="8" w:space="0" w:color="auto"/>
            </w:tcBorders>
            <w:shd w:val="clear" w:color="auto" w:fill="auto"/>
            <w:noWrap/>
            <w:hideMark/>
          </w:tcPr>
          <w:p w14:paraId="52C5BFAE"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0" w:type="dxa"/>
            <w:tcBorders>
              <w:top w:val="nil"/>
              <w:left w:val="nil"/>
              <w:bottom w:val="nil"/>
              <w:right w:val="single" w:sz="8" w:space="0" w:color="auto"/>
            </w:tcBorders>
            <w:shd w:val="clear" w:color="auto" w:fill="auto"/>
            <w:noWrap/>
            <w:hideMark/>
          </w:tcPr>
          <w:p w14:paraId="07575406"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r>
      <w:tr w:rsidR="005C6FC4" w:rsidRPr="005C6FC4" w14:paraId="0FF81D79" w14:textId="77777777" w:rsidTr="005C6FC4">
        <w:trPr>
          <w:trHeight w:val="255"/>
        </w:trPr>
        <w:tc>
          <w:tcPr>
            <w:tcW w:w="160" w:type="dxa"/>
            <w:tcBorders>
              <w:top w:val="nil"/>
              <w:left w:val="single" w:sz="8" w:space="0" w:color="auto"/>
              <w:bottom w:val="nil"/>
              <w:right w:val="nil"/>
            </w:tcBorders>
            <w:shd w:val="clear" w:color="auto" w:fill="auto"/>
            <w:noWrap/>
            <w:hideMark/>
          </w:tcPr>
          <w:p w14:paraId="5EC2EC49"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300" w:type="dxa"/>
            <w:tcBorders>
              <w:top w:val="nil"/>
              <w:left w:val="single" w:sz="8" w:space="0" w:color="auto"/>
              <w:bottom w:val="single" w:sz="4" w:space="0" w:color="auto"/>
              <w:right w:val="single" w:sz="4" w:space="0" w:color="auto"/>
            </w:tcBorders>
            <w:shd w:val="clear" w:color="auto" w:fill="auto"/>
            <w:noWrap/>
            <w:hideMark/>
          </w:tcPr>
          <w:p w14:paraId="76EF8E99" w14:textId="77777777" w:rsidR="005C6FC4" w:rsidRPr="005C6FC4" w:rsidRDefault="005C6FC4" w:rsidP="005C6FC4">
            <w:pPr>
              <w:spacing w:after="0" w:line="240" w:lineRule="auto"/>
              <w:jc w:val="right"/>
              <w:rPr>
                <w:rFonts w:eastAsia="Times New Roman" w:cs="Times New Roman"/>
                <w:color w:val="000000"/>
                <w:sz w:val="20"/>
                <w:szCs w:val="20"/>
                <w:lang w:eastAsia="sk-SK"/>
              </w:rPr>
            </w:pPr>
            <w:r w:rsidRPr="005C6FC4">
              <w:rPr>
                <w:rFonts w:eastAsia="Times New Roman" w:cs="Times New Roman"/>
                <w:color w:val="000000"/>
                <w:sz w:val="20"/>
                <w:szCs w:val="20"/>
                <w:lang w:eastAsia="sk-SK"/>
              </w:rPr>
              <w:t>16</w:t>
            </w:r>
          </w:p>
        </w:tc>
        <w:tc>
          <w:tcPr>
            <w:tcW w:w="1100" w:type="dxa"/>
            <w:tcBorders>
              <w:top w:val="nil"/>
              <w:left w:val="nil"/>
              <w:bottom w:val="single" w:sz="4" w:space="0" w:color="auto"/>
              <w:right w:val="single" w:sz="4" w:space="0" w:color="auto"/>
            </w:tcBorders>
            <w:shd w:val="clear" w:color="auto" w:fill="auto"/>
            <w:noWrap/>
            <w:hideMark/>
          </w:tcPr>
          <w:p w14:paraId="5F3E7ADE"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00" w:type="dxa"/>
            <w:tcBorders>
              <w:top w:val="nil"/>
              <w:left w:val="nil"/>
              <w:bottom w:val="single" w:sz="4" w:space="0" w:color="auto"/>
              <w:right w:val="single" w:sz="4" w:space="0" w:color="auto"/>
            </w:tcBorders>
            <w:shd w:val="clear" w:color="auto" w:fill="auto"/>
            <w:noWrap/>
            <w:hideMark/>
          </w:tcPr>
          <w:p w14:paraId="7AFC7714"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520" w:type="dxa"/>
            <w:tcBorders>
              <w:top w:val="nil"/>
              <w:left w:val="nil"/>
              <w:bottom w:val="single" w:sz="4" w:space="0" w:color="auto"/>
              <w:right w:val="single" w:sz="4" w:space="0" w:color="auto"/>
            </w:tcBorders>
            <w:shd w:val="clear" w:color="auto" w:fill="auto"/>
            <w:noWrap/>
            <w:hideMark/>
          </w:tcPr>
          <w:p w14:paraId="427131B4"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2060" w:type="dxa"/>
            <w:tcBorders>
              <w:top w:val="nil"/>
              <w:left w:val="nil"/>
              <w:bottom w:val="single" w:sz="4" w:space="0" w:color="auto"/>
              <w:right w:val="single" w:sz="4" w:space="0" w:color="auto"/>
            </w:tcBorders>
            <w:shd w:val="clear" w:color="auto" w:fill="auto"/>
            <w:noWrap/>
            <w:hideMark/>
          </w:tcPr>
          <w:p w14:paraId="0B8C8E8D"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40" w:type="dxa"/>
            <w:tcBorders>
              <w:top w:val="nil"/>
              <w:left w:val="nil"/>
              <w:bottom w:val="single" w:sz="4" w:space="0" w:color="auto"/>
              <w:right w:val="single" w:sz="4" w:space="0" w:color="auto"/>
            </w:tcBorders>
            <w:shd w:val="clear" w:color="auto" w:fill="auto"/>
            <w:noWrap/>
            <w:hideMark/>
          </w:tcPr>
          <w:p w14:paraId="2A4567A1"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120" w:type="dxa"/>
            <w:tcBorders>
              <w:top w:val="nil"/>
              <w:left w:val="nil"/>
              <w:bottom w:val="single" w:sz="4" w:space="0" w:color="auto"/>
              <w:right w:val="single" w:sz="4" w:space="0" w:color="auto"/>
            </w:tcBorders>
            <w:shd w:val="clear" w:color="auto" w:fill="auto"/>
            <w:noWrap/>
            <w:hideMark/>
          </w:tcPr>
          <w:p w14:paraId="43A54C00"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376184E7"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333450C9"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20" w:type="dxa"/>
            <w:tcBorders>
              <w:top w:val="nil"/>
              <w:left w:val="nil"/>
              <w:bottom w:val="single" w:sz="4" w:space="0" w:color="auto"/>
              <w:right w:val="single" w:sz="8" w:space="0" w:color="auto"/>
            </w:tcBorders>
            <w:shd w:val="clear" w:color="auto" w:fill="auto"/>
            <w:noWrap/>
            <w:hideMark/>
          </w:tcPr>
          <w:p w14:paraId="790BF1B4"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0" w:type="dxa"/>
            <w:tcBorders>
              <w:top w:val="nil"/>
              <w:left w:val="nil"/>
              <w:bottom w:val="nil"/>
              <w:right w:val="single" w:sz="8" w:space="0" w:color="auto"/>
            </w:tcBorders>
            <w:shd w:val="clear" w:color="auto" w:fill="auto"/>
            <w:noWrap/>
            <w:hideMark/>
          </w:tcPr>
          <w:p w14:paraId="5A44798E"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r>
      <w:tr w:rsidR="005C6FC4" w:rsidRPr="005C6FC4" w14:paraId="365DF46F" w14:textId="77777777" w:rsidTr="005C6FC4">
        <w:trPr>
          <w:trHeight w:val="255"/>
        </w:trPr>
        <w:tc>
          <w:tcPr>
            <w:tcW w:w="160" w:type="dxa"/>
            <w:tcBorders>
              <w:top w:val="nil"/>
              <w:left w:val="single" w:sz="8" w:space="0" w:color="auto"/>
              <w:bottom w:val="nil"/>
              <w:right w:val="nil"/>
            </w:tcBorders>
            <w:shd w:val="clear" w:color="auto" w:fill="auto"/>
            <w:noWrap/>
            <w:hideMark/>
          </w:tcPr>
          <w:p w14:paraId="3C8F591D"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300" w:type="dxa"/>
            <w:tcBorders>
              <w:top w:val="nil"/>
              <w:left w:val="single" w:sz="8" w:space="0" w:color="auto"/>
              <w:bottom w:val="single" w:sz="4" w:space="0" w:color="auto"/>
              <w:right w:val="single" w:sz="4" w:space="0" w:color="auto"/>
            </w:tcBorders>
            <w:shd w:val="clear" w:color="auto" w:fill="auto"/>
            <w:noWrap/>
            <w:hideMark/>
          </w:tcPr>
          <w:p w14:paraId="625A832D" w14:textId="77777777" w:rsidR="005C6FC4" w:rsidRPr="005C6FC4" w:rsidRDefault="005C6FC4" w:rsidP="005C6FC4">
            <w:pPr>
              <w:spacing w:after="0" w:line="240" w:lineRule="auto"/>
              <w:jc w:val="right"/>
              <w:rPr>
                <w:rFonts w:eastAsia="Times New Roman" w:cs="Times New Roman"/>
                <w:color w:val="000000"/>
                <w:sz w:val="20"/>
                <w:szCs w:val="20"/>
                <w:lang w:eastAsia="sk-SK"/>
              </w:rPr>
            </w:pPr>
            <w:r w:rsidRPr="005C6FC4">
              <w:rPr>
                <w:rFonts w:eastAsia="Times New Roman" w:cs="Times New Roman"/>
                <w:color w:val="000000"/>
                <w:sz w:val="20"/>
                <w:szCs w:val="20"/>
                <w:lang w:eastAsia="sk-SK"/>
              </w:rPr>
              <w:t>17</w:t>
            </w:r>
          </w:p>
        </w:tc>
        <w:tc>
          <w:tcPr>
            <w:tcW w:w="1100" w:type="dxa"/>
            <w:tcBorders>
              <w:top w:val="nil"/>
              <w:left w:val="nil"/>
              <w:bottom w:val="single" w:sz="4" w:space="0" w:color="auto"/>
              <w:right w:val="single" w:sz="4" w:space="0" w:color="auto"/>
            </w:tcBorders>
            <w:shd w:val="clear" w:color="auto" w:fill="auto"/>
            <w:noWrap/>
            <w:hideMark/>
          </w:tcPr>
          <w:p w14:paraId="456746CA"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00" w:type="dxa"/>
            <w:tcBorders>
              <w:top w:val="nil"/>
              <w:left w:val="nil"/>
              <w:bottom w:val="single" w:sz="4" w:space="0" w:color="auto"/>
              <w:right w:val="single" w:sz="4" w:space="0" w:color="auto"/>
            </w:tcBorders>
            <w:shd w:val="clear" w:color="auto" w:fill="auto"/>
            <w:noWrap/>
            <w:hideMark/>
          </w:tcPr>
          <w:p w14:paraId="26138D60"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520" w:type="dxa"/>
            <w:tcBorders>
              <w:top w:val="nil"/>
              <w:left w:val="nil"/>
              <w:bottom w:val="single" w:sz="4" w:space="0" w:color="auto"/>
              <w:right w:val="single" w:sz="4" w:space="0" w:color="auto"/>
            </w:tcBorders>
            <w:shd w:val="clear" w:color="auto" w:fill="auto"/>
            <w:noWrap/>
            <w:hideMark/>
          </w:tcPr>
          <w:p w14:paraId="5723551E"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2060" w:type="dxa"/>
            <w:tcBorders>
              <w:top w:val="nil"/>
              <w:left w:val="nil"/>
              <w:bottom w:val="single" w:sz="4" w:space="0" w:color="auto"/>
              <w:right w:val="single" w:sz="4" w:space="0" w:color="auto"/>
            </w:tcBorders>
            <w:shd w:val="clear" w:color="auto" w:fill="auto"/>
            <w:noWrap/>
            <w:hideMark/>
          </w:tcPr>
          <w:p w14:paraId="0185576A"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40" w:type="dxa"/>
            <w:tcBorders>
              <w:top w:val="nil"/>
              <w:left w:val="nil"/>
              <w:bottom w:val="single" w:sz="4" w:space="0" w:color="auto"/>
              <w:right w:val="single" w:sz="4" w:space="0" w:color="auto"/>
            </w:tcBorders>
            <w:shd w:val="clear" w:color="auto" w:fill="auto"/>
            <w:noWrap/>
            <w:hideMark/>
          </w:tcPr>
          <w:p w14:paraId="7377261E"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120" w:type="dxa"/>
            <w:tcBorders>
              <w:top w:val="nil"/>
              <w:left w:val="nil"/>
              <w:bottom w:val="single" w:sz="4" w:space="0" w:color="auto"/>
              <w:right w:val="single" w:sz="4" w:space="0" w:color="auto"/>
            </w:tcBorders>
            <w:shd w:val="clear" w:color="auto" w:fill="auto"/>
            <w:noWrap/>
            <w:hideMark/>
          </w:tcPr>
          <w:p w14:paraId="3CFE37F9"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7FB62033"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08FE2F14"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20" w:type="dxa"/>
            <w:tcBorders>
              <w:top w:val="nil"/>
              <w:left w:val="nil"/>
              <w:bottom w:val="single" w:sz="4" w:space="0" w:color="auto"/>
              <w:right w:val="single" w:sz="8" w:space="0" w:color="auto"/>
            </w:tcBorders>
            <w:shd w:val="clear" w:color="auto" w:fill="auto"/>
            <w:noWrap/>
            <w:hideMark/>
          </w:tcPr>
          <w:p w14:paraId="1A60D122"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0" w:type="dxa"/>
            <w:tcBorders>
              <w:top w:val="nil"/>
              <w:left w:val="nil"/>
              <w:bottom w:val="nil"/>
              <w:right w:val="single" w:sz="8" w:space="0" w:color="auto"/>
            </w:tcBorders>
            <w:shd w:val="clear" w:color="auto" w:fill="auto"/>
            <w:noWrap/>
            <w:hideMark/>
          </w:tcPr>
          <w:p w14:paraId="0F43C80B"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r>
      <w:tr w:rsidR="005C6FC4" w:rsidRPr="005C6FC4" w14:paraId="33650527" w14:textId="77777777" w:rsidTr="005C6FC4">
        <w:trPr>
          <w:trHeight w:val="255"/>
        </w:trPr>
        <w:tc>
          <w:tcPr>
            <w:tcW w:w="160" w:type="dxa"/>
            <w:tcBorders>
              <w:top w:val="nil"/>
              <w:left w:val="single" w:sz="8" w:space="0" w:color="auto"/>
              <w:bottom w:val="nil"/>
              <w:right w:val="nil"/>
            </w:tcBorders>
            <w:shd w:val="clear" w:color="auto" w:fill="auto"/>
            <w:noWrap/>
            <w:hideMark/>
          </w:tcPr>
          <w:p w14:paraId="4D772722"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300" w:type="dxa"/>
            <w:tcBorders>
              <w:top w:val="nil"/>
              <w:left w:val="single" w:sz="8" w:space="0" w:color="auto"/>
              <w:bottom w:val="single" w:sz="4" w:space="0" w:color="auto"/>
              <w:right w:val="single" w:sz="4" w:space="0" w:color="auto"/>
            </w:tcBorders>
            <w:shd w:val="clear" w:color="auto" w:fill="auto"/>
            <w:noWrap/>
            <w:hideMark/>
          </w:tcPr>
          <w:p w14:paraId="6F2510E6" w14:textId="77777777" w:rsidR="005C6FC4" w:rsidRPr="005C6FC4" w:rsidRDefault="005C6FC4" w:rsidP="005C6FC4">
            <w:pPr>
              <w:spacing w:after="0" w:line="240" w:lineRule="auto"/>
              <w:jc w:val="right"/>
              <w:rPr>
                <w:rFonts w:eastAsia="Times New Roman" w:cs="Times New Roman"/>
                <w:color w:val="000000"/>
                <w:sz w:val="20"/>
                <w:szCs w:val="20"/>
                <w:lang w:eastAsia="sk-SK"/>
              </w:rPr>
            </w:pPr>
            <w:r w:rsidRPr="005C6FC4">
              <w:rPr>
                <w:rFonts w:eastAsia="Times New Roman" w:cs="Times New Roman"/>
                <w:color w:val="000000"/>
                <w:sz w:val="20"/>
                <w:szCs w:val="20"/>
                <w:lang w:eastAsia="sk-SK"/>
              </w:rPr>
              <w:t>18</w:t>
            </w:r>
          </w:p>
        </w:tc>
        <w:tc>
          <w:tcPr>
            <w:tcW w:w="1100" w:type="dxa"/>
            <w:tcBorders>
              <w:top w:val="nil"/>
              <w:left w:val="nil"/>
              <w:bottom w:val="single" w:sz="4" w:space="0" w:color="auto"/>
              <w:right w:val="single" w:sz="4" w:space="0" w:color="auto"/>
            </w:tcBorders>
            <w:shd w:val="clear" w:color="auto" w:fill="auto"/>
            <w:noWrap/>
            <w:hideMark/>
          </w:tcPr>
          <w:p w14:paraId="7C0647AE"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00" w:type="dxa"/>
            <w:tcBorders>
              <w:top w:val="nil"/>
              <w:left w:val="nil"/>
              <w:bottom w:val="single" w:sz="4" w:space="0" w:color="auto"/>
              <w:right w:val="single" w:sz="4" w:space="0" w:color="auto"/>
            </w:tcBorders>
            <w:shd w:val="clear" w:color="auto" w:fill="auto"/>
            <w:noWrap/>
            <w:hideMark/>
          </w:tcPr>
          <w:p w14:paraId="17F8CF6E"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520" w:type="dxa"/>
            <w:tcBorders>
              <w:top w:val="nil"/>
              <w:left w:val="nil"/>
              <w:bottom w:val="single" w:sz="4" w:space="0" w:color="auto"/>
              <w:right w:val="single" w:sz="4" w:space="0" w:color="auto"/>
            </w:tcBorders>
            <w:shd w:val="clear" w:color="auto" w:fill="auto"/>
            <w:noWrap/>
            <w:hideMark/>
          </w:tcPr>
          <w:p w14:paraId="3F3A741F"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2060" w:type="dxa"/>
            <w:tcBorders>
              <w:top w:val="nil"/>
              <w:left w:val="nil"/>
              <w:bottom w:val="single" w:sz="4" w:space="0" w:color="auto"/>
              <w:right w:val="single" w:sz="4" w:space="0" w:color="auto"/>
            </w:tcBorders>
            <w:shd w:val="clear" w:color="auto" w:fill="auto"/>
            <w:noWrap/>
            <w:hideMark/>
          </w:tcPr>
          <w:p w14:paraId="408595D7"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40" w:type="dxa"/>
            <w:tcBorders>
              <w:top w:val="nil"/>
              <w:left w:val="nil"/>
              <w:bottom w:val="single" w:sz="4" w:space="0" w:color="auto"/>
              <w:right w:val="single" w:sz="4" w:space="0" w:color="auto"/>
            </w:tcBorders>
            <w:shd w:val="clear" w:color="auto" w:fill="auto"/>
            <w:noWrap/>
            <w:hideMark/>
          </w:tcPr>
          <w:p w14:paraId="5FD22502"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120" w:type="dxa"/>
            <w:tcBorders>
              <w:top w:val="nil"/>
              <w:left w:val="nil"/>
              <w:bottom w:val="single" w:sz="4" w:space="0" w:color="auto"/>
              <w:right w:val="single" w:sz="4" w:space="0" w:color="auto"/>
            </w:tcBorders>
            <w:shd w:val="clear" w:color="auto" w:fill="auto"/>
            <w:noWrap/>
            <w:hideMark/>
          </w:tcPr>
          <w:p w14:paraId="1BE297A5"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5EE04737"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5D19049C"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20" w:type="dxa"/>
            <w:tcBorders>
              <w:top w:val="nil"/>
              <w:left w:val="nil"/>
              <w:bottom w:val="single" w:sz="4" w:space="0" w:color="auto"/>
              <w:right w:val="single" w:sz="8" w:space="0" w:color="auto"/>
            </w:tcBorders>
            <w:shd w:val="clear" w:color="auto" w:fill="auto"/>
            <w:noWrap/>
            <w:hideMark/>
          </w:tcPr>
          <w:p w14:paraId="23D2C9A3"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0" w:type="dxa"/>
            <w:tcBorders>
              <w:top w:val="nil"/>
              <w:left w:val="nil"/>
              <w:bottom w:val="nil"/>
              <w:right w:val="single" w:sz="8" w:space="0" w:color="auto"/>
            </w:tcBorders>
            <w:shd w:val="clear" w:color="auto" w:fill="auto"/>
            <w:noWrap/>
            <w:hideMark/>
          </w:tcPr>
          <w:p w14:paraId="688E3A72"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r>
      <w:tr w:rsidR="005C6FC4" w:rsidRPr="005C6FC4" w14:paraId="7292B14E" w14:textId="77777777" w:rsidTr="005C6FC4">
        <w:trPr>
          <w:trHeight w:val="255"/>
        </w:trPr>
        <w:tc>
          <w:tcPr>
            <w:tcW w:w="160" w:type="dxa"/>
            <w:tcBorders>
              <w:top w:val="nil"/>
              <w:left w:val="single" w:sz="8" w:space="0" w:color="auto"/>
              <w:bottom w:val="nil"/>
              <w:right w:val="nil"/>
            </w:tcBorders>
            <w:shd w:val="clear" w:color="auto" w:fill="auto"/>
            <w:noWrap/>
            <w:hideMark/>
          </w:tcPr>
          <w:p w14:paraId="4583658F"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300" w:type="dxa"/>
            <w:tcBorders>
              <w:top w:val="nil"/>
              <w:left w:val="single" w:sz="8" w:space="0" w:color="auto"/>
              <w:bottom w:val="single" w:sz="4" w:space="0" w:color="auto"/>
              <w:right w:val="single" w:sz="4" w:space="0" w:color="auto"/>
            </w:tcBorders>
            <w:shd w:val="clear" w:color="auto" w:fill="auto"/>
            <w:noWrap/>
            <w:hideMark/>
          </w:tcPr>
          <w:p w14:paraId="5CDC0839" w14:textId="77777777" w:rsidR="005C6FC4" w:rsidRPr="005C6FC4" w:rsidRDefault="005C6FC4" w:rsidP="005C6FC4">
            <w:pPr>
              <w:spacing w:after="0" w:line="240" w:lineRule="auto"/>
              <w:jc w:val="right"/>
              <w:rPr>
                <w:rFonts w:eastAsia="Times New Roman" w:cs="Times New Roman"/>
                <w:color w:val="000000"/>
                <w:sz w:val="20"/>
                <w:szCs w:val="20"/>
                <w:lang w:eastAsia="sk-SK"/>
              </w:rPr>
            </w:pPr>
            <w:r w:rsidRPr="005C6FC4">
              <w:rPr>
                <w:rFonts w:eastAsia="Times New Roman" w:cs="Times New Roman"/>
                <w:color w:val="000000"/>
                <w:sz w:val="20"/>
                <w:szCs w:val="20"/>
                <w:lang w:eastAsia="sk-SK"/>
              </w:rPr>
              <w:t>19</w:t>
            </w:r>
          </w:p>
        </w:tc>
        <w:tc>
          <w:tcPr>
            <w:tcW w:w="1100" w:type="dxa"/>
            <w:tcBorders>
              <w:top w:val="nil"/>
              <w:left w:val="nil"/>
              <w:bottom w:val="single" w:sz="4" w:space="0" w:color="auto"/>
              <w:right w:val="single" w:sz="4" w:space="0" w:color="auto"/>
            </w:tcBorders>
            <w:shd w:val="clear" w:color="auto" w:fill="auto"/>
            <w:noWrap/>
            <w:hideMark/>
          </w:tcPr>
          <w:p w14:paraId="0034546B"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00" w:type="dxa"/>
            <w:tcBorders>
              <w:top w:val="nil"/>
              <w:left w:val="nil"/>
              <w:bottom w:val="single" w:sz="4" w:space="0" w:color="auto"/>
              <w:right w:val="single" w:sz="4" w:space="0" w:color="auto"/>
            </w:tcBorders>
            <w:shd w:val="clear" w:color="auto" w:fill="auto"/>
            <w:noWrap/>
            <w:hideMark/>
          </w:tcPr>
          <w:p w14:paraId="72973AF3"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520" w:type="dxa"/>
            <w:tcBorders>
              <w:top w:val="nil"/>
              <w:left w:val="nil"/>
              <w:bottom w:val="single" w:sz="4" w:space="0" w:color="auto"/>
              <w:right w:val="single" w:sz="4" w:space="0" w:color="auto"/>
            </w:tcBorders>
            <w:shd w:val="clear" w:color="auto" w:fill="auto"/>
            <w:noWrap/>
            <w:hideMark/>
          </w:tcPr>
          <w:p w14:paraId="2EBD7151"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2060" w:type="dxa"/>
            <w:tcBorders>
              <w:top w:val="nil"/>
              <w:left w:val="nil"/>
              <w:bottom w:val="single" w:sz="4" w:space="0" w:color="auto"/>
              <w:right w:val="single" w:sz="4" w:space="0" w:color="auto"/>
            </w:tcBorders>
            <w:shd w:val="clear" w:color="auto" w:fill="auto"/>
            <w:noWrap/>
            <w:hideMark/>
          </w:tcPr>
          <w:p w14:paraId="34B10E03"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40" w:type="dxa"/>
            <w:tcBorders>
              <w:top w:val="nil"/>
              <w:left w:val="nil"/>
              <w:bottom w:val="single" w:sz="4" w:space="0" w:color="auto"/>
              <w:right w:val="single" w:sz="4" w:space="0" w:color="auto"/>
            </w:tcBorders>
            <w:shd w:val="clear" w:color="auto" w:fill="auto"/>
            <w:noWrap/>
            <w:hideMark/>
          </w:tcPr>
          <w:p w14:paraId="07735DEA"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120" w:type="dxa"/>
            <w:tcBorders>
              <w:top w:val="nil"/>
              <w:left w:val="nil"/>
              <w:bottom w:val="single" w:sz="4" w:space="0" w:color="auto"/>
              <w:right w:val="single" w:sz="4" w:space="0" w:color="auto"/>
            </w:tcBorders>
            <w:shd w:val="clear" w:color="auto" w:fill="auto"/>
            <w:noWrap/>
            <w:hideMark/>
          </w:tcPr>
          <w:p w14:paraId="6FE67ECC"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789B3910"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75E91CCF"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20" w:type="dxa"/>
            <w:tcBorders>
              <w:top w:val="nil"/>
              <w:left w:val="nil"/>
              <w:bottom w:val="single" w:sz="4" w:space="0" w:color="auto"/>
              <w:right w:val="single" w:sz="8" w:space="0" w:color="auto"/>
            </w:tcBorders>
            <w:shd w:val="clear" w:color="auto" w:fill="auto"/>
            <w:noWrap/>
            <w:hideMark/>
          </w:tcPr>
          <w:p w14:paraId="0B03371A"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0" w:type="dxa"/>
            <w:tcBorders>
              <w:top w:val="nil"/>
              <w:left w:val="nil"/>
              <w:bottom w:val="nil"/>
              <w:right w:val="single" w:sz="8" w:space="0" w:color="auto"/>
            </w:tcBorders>
            <w:shd w:val="clear" w:color="auto" w:fill="auto"/>
            <w:noWrap/>
            <w:hideMark/>
          </w:tcPr>
          <w:p w14:paraId="15658457"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r>
      <w:tr w:rsidR="005C6FC4" w:rsidRPr="005C6FC4" w14:paraId="51773784" w14:textId="77777777" w:rsidTr="005C6FC4">
        <w:trPr>
          <w:trHeight w:val="255"/>
        </w:trPr>
        <w:tc>
          <w:tcPr>
            <w:tcW w:w="160" w:type="dxa"/>
            <w:tcBorders>
              <w:top w:val="nil"/>
              <w:left w:val="single" w:sz="8" w:space="0" w:color="auto"/>
              <w:bottom w:val="nil"/>
              <w:right w:val="nil"/>
            </w:tcBorders>
            <w:shd w:val="clear" w:color="auto" w:fill="auto"/>
            <w:noWrap/>
            <w:hideMark/>
          </w:tcPr>
          <w:p w14:paraId="00A8E3EB"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300" w:type="dxa"/>
            <w:tcBorders>
              <w:top w:val="nil"/>
              <w:left w:val="single" w:sz="8" w:space="0" w:color="auto"/>
              <w:bottom w:val="single" w:sz="4" w:space="0" w:color="auto"/>
              <w:right w:val="single" w:sz="4" w:space="0" w:color="auto"/>
            </w:tcBorders>
            <w:shd w:val="clear" w:color="auto" w:fill="auto"/>
            <w:noWrap/>
            <w:hideMark/>
          </w:tcPr>
          <w:p w14:paraId="6A3C551B" w14:textId="77777777" w:rsidR="005C6FC4" w:rsidRPr="005C6FC4" w:rsidRDefault="005C6FC4" w:rsidP="005C6FC4">
            <w:pPr>
              <w:spacing w:after="0" w:line="240" w:lineRule="auto"/>
              <w:jc w:val="right"/>
              <w:rPr>
                <w:rFonts w:eastAsia="Times New Roman" w:cs="Times New Roman"/>
                <w:color w:val="000000"/>
                <w:sz w:val="20"/>
                <w:szCs w:val="20"/>
                <w:lang w:eastAsia="sk-SK"/>
              </w:rPr>
            </w:pPr>
            <w:r w:rsidRPr="005C6FC4">
              <w:rPr>
                <w:rFonts w:eastAsia="Times New Roman" w:cs="Times New Roman"/>
                <w:color w:val="000000"/>
                <w:sz w:val="20"/>
                <w:szCs w:val="20"/>
                <w:lang w:eastAsia="sk-SK"/>
              </w:rPr>
              <w:t>20</w:t>
            </w:r>
          </w:p>
        </w:tc>
        <w:tc>
          <w:tcPr>
            <w:tcW w:w="1100" w:type="dxa"/>
            <w:tcBorders>
              <w:top w:val="nil"/>
              <w:left w:val="nil"/>
              <w:bottom w:val="single" w:sz="4" w:space="0" w:color="auto"/>
              <w:right w:val="single" w:sz="4" w:space="0" w:color="auto"/>
            </w:tcBorders>
            <w:shd w:val="clear" w:color="auto" w:fill="auto"/>
            <w:noWrap/>
            <w:hideMark/>
          </w:tcPr>
          <w:p w14:paraId="2799E97E"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00" w:type="dxa"/>
            <w:tcBorders>
              <w:top w:val="nil"/>
              <w:left w:val="nil"/>
              <w:bottom w:val="single" w:sz="4" w:space="0" w:color="auto"/>
              <w:right w:val="single" w:sz="4" w:space="0" w:color="auto"/>
            </w:tcBorders>
            <w:shd w:val="clear" w:color="auto" w:fill="auto"/>
            <w:noWrap/>
            <w:hideMark/>
          </w:tcPr>
          <w:p w14:paraId="569F4F4E"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520" w:type="dxa"/>
            <w:tcBorders>
              <w:top w:val="nil"/>
              <w:left w:val="nil"/>
              <w:bottom w:val="single" w:sz="4" w:space="0" w:color="auto"/>
              <w:right w:val="single" w:sz="4" w:space="0" w:color="auto"/>
            </w:tcBorders>
            <w:shd w:val="clear" w:color="auto" w:fill="auto"/>
            <w:noWrap/>
            <w:hideMark/>
          </w:tcPr>
          <w:p w14:paraId="38B23695"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2060" w:type="dxa"/>
            <w:tcBorders>
              <w:top w:val="nil"/>
              <w:left w:val="nil"/>
              <w:bottom w:val="single" w:sz="4" w:space="0" w:color="auto"/>
              <w:right w:val="single" w:sz="4" w:space="0" w:color="auto"/>
            </w:tcBorders>
            <w:shd w:val="clear" w:color="auto" w:fill="auto"/>
            <w:noWrap/>
            <w:hideMark/>
          </w:tcPr>
          <w:p w14:paraId="27E4C467"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40" w:type="dxa"/>
            <w:tcBorders>
              <w:top w:val="nil"/>
              <w:left w:val="nil"/>
              <w:bottom w:val="single" w:sz="4" w:space="0" w:color="auto"/>
              <w:right w:val="single" w:sz="4" w:space="0" w:color="auto"/>
            </w:tcBorders>
            <w:shd w:val="clear" w:color="auto" w:fill="auto"/>
            <w:noWrap/>
            <w:hideMark/>
          </w:tcPr>
          <w:p w14:paraId="0E4F67D5"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120" w:type="dxa"/>
            <w:tcBorders>
              <w:top w:val="nil"/>
              <w:left w:val="nil"/>
              <w:bottom w:val="single" w:sz="4" w:space="0" w:color="auto"/>
              <w:right w:val="single" w:sz="4" w:space="0" w:color="auto"/>
            </w:tcBorders>
            <w:shd w:val="clear" w:color="auto" w:fill="auto"/>
            <w:noWrap/>
            <w:hideMark/>
          </w:tcPr>
          <w:p w14:paraId="174F03A3"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4D4B52F7"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hideMark/>
          </w:tcPr>
          <w:p w14:paraId="5DBAA3E6"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20" w:type="dxa"/>
            <w:tcBorders>
              <w:top w:val="nil"/>
              <w:left w:val="nil"/>
              <w:bottom w:val="single" w:sz="4" w:space="0" w:color="auto"/>
              <w:right w:val="single" w:sz="8" w:space="0" w:color="auto"/>
            </w:tcBorders>
            <w:shd w:val="clear" w:color="auto" w:fill="auto"/>
            <w:noWrap/>
            <w:hideMark/>
          </w:tcPr>
          <w:p w14:paraId="5C2E840C"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0" w:type="dxa"/>
            <w:tcBorders>
              <w:top w:val="nil"/>
              <w:left w:val="nil"/>
              <w:bottom w:val="nil"/>
              <w:right w:val="single" w:sz="8" w:space="0" w:color="auto"/>
            </w:tcBorders>
            <w:shd w:val="clear" w:color="auto" w:fill="auto"/>
            <w:noWrap/>
            <w:hideMark/>
          </w:tcPr>
          <w:p w14:paraId="7F8CA3DC"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r>
      <w:tr w:rsidR="005C6FC4" w:rsidRPr="005C6FC4" w14:paraId="1F4CEA13" w14:textId="77777777" w:rsidTr="005C6FC4">
        <w:trPr>
          <w:trHeight w:val="150"/>
        </w:trPr>
        <w:tc>
          <w:tcPr>
            <w:tcW w:w="160" w:type="dxa"/>
            <w:tcBorders>
              <w:top w:val="nil"/>
              <w:left w:val="single" w:sz="8" w:space="0" w:color="auto"/>
              <w:bottom w:val="single" w:sz="8" w:space="0" w:color="auto"/>
              <w:right w:val="nil"/>
            </w:tcBorders>
            <w:shd w:val="clear" w:color="auto" w:fill="auto"/>
            <w:noWrap/>
            <w:hideMark/>
          </w:tcPr>
          <w:p w14:paraId="6599A1E3"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300" w:type="dxa"/>
            <w:tcBorders>
              <w:top w:val="nil"/>
              <w:left w:val="nil"/>
              <w:bottom w:val="single" w:sz="8" w:space="0" w:color="auto"/>
              <w:right w:val="nil"/>
            </w:tcBorders>
            <w:shd w:val="clear" w:color="auto" w:fill="auto"/>
            <w:noWrap/>
            <w:hideMark/>
          </w:tcPr>
          <w:p w14:paraId="51E4609F"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100" w:type="dxa"/>
            <w:tcBorders>
              <w:top w:val="nil"/>
              <w:left w:val="nil"/>
              <w:bottom w:val="single" w:sz="8" w:space="0" w:color="auto"/>
              <w:right w:val="nil"/>
            </w:tcBorders>
            <w:shd w:val="clear" w:color="auto" w:fill="auto"/>
            <w:noWrap/>
            <w:hideMark/>
          </w:tcPr>
          <w:p w14:paraId="415BA7D3"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00" w:type="dxa"/>
            <w:tcBorders>
              <w:top w:val="nil"/>
              <w:left w:val="nil"/>
              <w:bottom w:val="single" w:sz="8" w:space="0" w:color="auto"/>
              <w:right w:val="nil"/>
            </w:tcBorders>
            <w:shd w:val="clear" w:color="auto" w:fill="auto"/>
            <w:noWrap/>
            <w:hideMark/>
          </w:tcPr>
          <w:p w14:paraId="7442315A"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520" w:type="dxa"/>
            <w:tcBorders>
              <w:top w:val="nil"/>
              <w:left w:val="nil"/>
              <w:bottom w:val="single" w:sz="8" w:space="0" w:color="auto"/>
              <w:right w:val="nil"/>
            </w:tcBorders>
            <w:shd w:val="clear" w:color="auto" w:fill="auto"/>
            <w:noWrap/>
            <w:hideMark/>
          </w:tcPr>
          <w:p w14:paraId="2A6C3286"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2060" w:type="dxa"/>
            <w:tcBorders>
              <w:top w:val="nil"/>
              <w:left w:val="nil"/>
              <w:bottom w:val="single" w:sz="8" w:space="0" w:color="auto"/>
              <w:right w:val="nil"/>
            </w:tcBorders>
            <w:shd w:val="clear" w:color="auto" w:fill="auto"/>
            <w:noWrap/>
            <w:hideMark/>
          </w:tcPr>
          <w:p w14:paraId="13DAF6A7"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40" w:type="dxa"/>
            <w:tcBorders>
              <w:top w:val="nil"/>
              <w:left w:val="nil"/>
              <w:bottom w:val="single" w:sz="8" w:space="0" w:color="auto"/>
              <w:right w:val="nil"/>
            </w:tcBorders>
            <w:shd w:val="clear" w:color="auto" w:fill="auto"/>
            <w:noWrap/>
            <w:hideMark/>
          </w:tcPr>
          <w:p w14:paraId="52353271"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120" w:type="dxa"/>
            <w:tcBorders>
              <w:top w:val="nil"/>
              <w:left w:val="nil"/>
              <w:bottom w:val="single" w:sz="8" w:space="0" w:color="auto"/>
              <w:right w:val="nil"/>
            </w:tcBorders>
            <w:shd w:val="clear" w:color="auto" w:fill="auto"/>
            <w:noWrap/>
            <w:hideMark/>
          </w:tcPr>
          <w:p w14:paraId="5DDD07B8"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8" w:space="0" w:color="auto"/>
              <w:right w:val="nil"/>
            </w:tcBorders>
            <w:shd w:val="clear" w:color="auto" w:fill="auto"/>
            <w:noWrap/>
            <w:hideMark/>
          </w:tcPr>
          <w:p w14:paraId="037E028D"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240" w:type="dxa"/>
            <w:tcBorders>
              <w:top w:val="nil"/>
              <w:left w:val="nil"/>
              <w:bottom w:val="single" w:sz="8" w:space="0" w:color="auto"/>
              <w:right w:val="nil"/>
            </w:tcBorders>
            <w:shd w:val="clear" w:color="auto" w:fill="auto"/>
            <w:noWrap/>
            <w:hideMark/>
          </w:tcPr>
          <w:p w14:paraId="1434937F"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420" w:type="dxa"/>
            <w:tcBorders>
              <w:top w:val="nil"/>
              <w:left w:val="nil"/>
              <w:bottom w:val="single" w:sz="8" w:space="0" w:color="auto"/>
              <w:right w:val="nil"/>
            </w:tcBorders>
            <w:shd w:val="clear" w:color="auto" w:fill="auto"/>
            <w:noWrap/>
            <w:hideMark/>
          </w:tcPr>
          <w:p w14:paraId="400B326C"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c>
          <w:tcPr>
            <w:tcW w:w="160" w:type="dxa"/>
            <w:tcBorders>
              <w:top w:val="nil"/>
              <w:left w:val="nil"/>
              <w:bottom w:val="single" w:sz="8" w:space="0" w:color="auto"/>
              <w:right w:val="single" w:sz="8" w:space="0" w:color="auto"/>
            </w:tcBorders>
            <w:shd w:val="clear" w:color="auto" w:fill="auto"/>
            <w:noWrap/>
            <w:hideMark/>
          </w:tcPr>
          <w:p w14:paraId="089A376C" w14:textId="77777777" w:rsidR="005C6FC4" w:rsidRPr="005C6FC4" w:rsidRDefault="005C6FC4" w:rsidP="005C6FC4">
            <w:pPr>
              <w:spacing w:after="0" w:line="240" w:lineRule="auto"/>
              <w:jc w:val="left"/>
              <w:rPr>
                <w:rFonts w:eastAsia="Times New Roman" w:cs="Times New Roman"/>
                <w:color w:val="000000"/>
                <w:sz w:val="20"/>
                <w:szCs w:val="20"/>
                <w:lang w:eastAsia="sk-SK"/>
              </w:rPr>
            </w:pPr>
            <w:r w:rsidRPr="005C6FC4">
              <w:rPr>
                <w:rFonts w:eastAsia="Times New Roman" w:cs="Times New Roman"/>
                <w:color w:val="000000"/>
                <w:sz w:val="20"/>
                <w:szCs w:val="20"/>
                <w:lang w:eastAsia="sk-SK"/>
              </w:rPr>
              <w:t> </w:t>
            </w:r>
          </w:p>
        </w:tc>
      </w:tr>
    </w:tbl>
    <w:p w14:paraId="1F090263" w14:textId="77777777" w:rsidR="00453A12" w:rsidRDefault="00453A12">
      <w:pPr>
        <w:keepNext/>
        <w:spacing w:line="240" w:lineRule="auto"/>
        <w:sectPr w:rsidR="00453A12" w:rsidSect="002C4AE0">
          <w:footerReference w:type="default" r:id="rId71"/>
          <w:pgSz w:w="16838" w:h="11906" w:orient="landscape"/>
          <w:pgMar w:top="1417" w:right="1417" w:bottom="1417" w:left="1417" w:header="708" w:footer="708" w:gutter="0"/>
          <w:cols w:space="708"/>
          <w:docGrid w:linePitch="360"/>
        </w:sectPr>
      </w:pPr>
    </w:p>
    <w:p w14:paraId="095A09DB" w14:textId="017C5235" w:rsidR="002C4AE0" w:rsidRPr="000B0B3F" w:rsidRDefault="00453A12" w:rsidP="009573AC">
      <w:pPr>
        <w:pStyle w:val="Popis"/>
        <w:keepNext w:val="0"/>
        <w:spacing w:after="160" w:line="259" w:lineRule="auto"/>
        <w:jc w:val="left"/>
      </w:pPr>
      <w:r w:rsidRPr="009573AC">
        <w:rPr>
          <w:sz w:val="22"/>
        </w:rPr>
        <w:lastRenderedPageBreak/>
        <w:t xml:space="preserve">Príloha 6 Formulár </w:t>
      </w:r>
      <w:r w:rsidR="00393650">
        <w:rPr>
          <w:sz w:val="22"/>
        </w:rPr>
        <w:t xml:space="preserve">na </w:t>
      </w:r>
      <w:r w:rsidR="00393650" w:rsidRPr="00393650">
        <w:rPr>
          <w:sz w:val="22"/>
        </w:rPr>
        <w:t>aktualizáciu</w:t>
      </w:r>
      <w:r w:rsidRPr="009573AC">
        <w:rPr>
          <w:sz w:val="22"/>
        </w:rPr>
        <w:t xml:space="preserve"> štúdie </w:t>
      </w:r>
      <w:r w:rsidR="00393650">
        <w:rPr>
          <w:sz w:val="22"/>
        </w:rPr>
        <w:t xml:space="preserve">uskutočniteľnosti </w:t>
      </w:r>
      <w:r w:rsidRPr="009573AC">
        <w:rPr>
          <w:sz w:val="22"/>
        </w:rPr>
        <w:t>pred vyhlásením verejného obstarávania</w:t>
      </w:r>
    </w:p>
    <w:tbl>
      <w:tblPr>
        <w:tblStyle w:val="Mriekatabuky"/>
        <w:tblW w:w="0" w:type="auto"/>
        <w:tblLook w:val="04A0" w:firstRow="1" w:lastRow="0" w:firstColumn="1" w:lastColumn="0" w:noHBand="0" w:noVBand="1"/>
      </w:tblPr>
      <w:tblGrid>
        <w:gridCol w:w="5185"/>
        <w:gridCol w:w="1317"/>
        <w:gridCol w:w="1280"/>
        <w:gridCol w:w="1280"/>
      </w:tblGrid>
      <w:tr w:rsidR="00453A12" w:rsidRPr="00415A0B" w14:paraId="22A47D30" w14:textId="77777777" w:rsidTr="00453A12">
        <w:trPr>
          <w:trHeight w:val="330"/>
        </w:trPr>
        <w:tc>
          <w:tcPr>
            <w:tcW w:w="9062" w:type="dxa"/>
            <w:gridSpan w:val="4"/>
            <w:hideMark/>
          </w:tcPr>
          <w:p w14:paraId="1BB5A5C0" w14:textId="77777777" w:rsidR="00453A12" w:rsidRPr="00415A0B" w:rsidRDefault="00453A12" w:rsidP="00453A12">
            <w:pPr>
              <w:rPr>
                <w:b/>
                <w:bCs/>
              </w:rPr>
            </w:pPr>
            <w:r w:rsidRPr="00415A0B">
              <w:rPr>
                <w:b/>
                <w:bCs/>
              </w:rPr>
              <w:t>Názov projektu</w:t>
            </w:r>
          </w:p>
        </w:tc>
      </w:tr>
      <w:tr w:rsidR="00453A12" w:rsidRPr="00415A0B" w14:paraId="4DA7E50C" w14:textId="77777777" w:rsidTr="00453A12">
        <w:trPr>
          <w:trHeight w:val="555"/>
        </w:trPr>
        <w:tc>
          <w:tcPr>
            <w:tcW w:w="9062" w:type="dxa"/>
            <w:gridSpan w:val="4"/>
            <w:hideMark/>
          </w:tcPr>
          <w:p w14:paraId="1B635B07" w14:textId="77777777" w:rsidR="00453A12" w:rsidRPr="00415A0B" w:rsidRDefault="00453A12" w:rsidP="00453A12">
            <w:pPr>
              <w:rPr>
                <w:i/>
                <w:iCs/>
              </w:rPr>
            </w:pPr>
            <w:r w:rsidRPr="00415A0B">
              <w:rPr>
                <w:i/>
                <w:iCs/>
                <w:color w:val="808080" w:themeColor="background1" w:themeShade="80"/>
                <w:sz w:val="18"/>
                <w:szCs w:val="18"/>
              </w:rPr>
              <w:t>Investor uvedie názov projektu podľa zverenej štúdie uskutočniteľnosti. Ak do VO investor predkladá iba časť projektu z pôvodnej ŠU uvedie názov pôvodnej ŠU a do</w:t>
            </w:r>
            <w:r>
              <w:rPr>
                <w:i/>
                <w:iCs/>
                <w:color w:val="808080" w:themeColor="background1" w:themeShade="80"/>
                <w:sz w:val="18"/>
                <w:szCs w:val="18"/>
              </w:rPr>
              <w:t>p</w:t>
            </w:r>
            <w:r w:rsidRPr="00415A0B">
              <w:rPr>
                <w:i/>
                <w:iCs/>
                <w:color w:val="808080" w:themeColor="background1" w:themeShade="80"/>
                <w:sz w:val="18"/>
                <w:szCs w:val="18"/>
              </w:rPr>
              <w:t xml:space="preserve">lní názov </w:t>
            </w:r>
            <w:r>
              <w:rPr>
                <w:i/>
                <w:iCs/>
                <w:color w:val="808080" w:themeColor="background1" w:themeShade="80"/>
                <w:sz w:val="18"/>
                <w:szCs w:val="18"/>
              </w:rPr>
              <w:t xml:space="preserve">predmetnej </w:t>
            </w:r>
            <w:r w:rsidRPr="00415A0B">
              <w:rPr>
                <w:i/>
                <w:iCs/>
                <w:color w:val="808080" w:themeColor="background1" w:themeShade="80"/>
                <w:sz w:val="18"/>
                <w:szCs w:val="18"/>
              </w:rPr>
              <w:t xml:space="preserve">časti, ktorú plánuje </w:t>
            </w:r>
            <w:r>
              <w:rPr>
                <w:i/>
                <w:iCs/>
                <w:color w:val="808080" w:themeColor="background1" w:themeShade="80"/>
                <w:sz w:val="18"/>
                <w:szCs w:val="18"/>
              </w:rPr>
              <w:t>predložiť do VO</w:t>
            </w:r>
          </w:p>
        </w:tc>
      </w:tr>
      <w:tr w:rsidR="00453A12" w:rsidRPr="00415A0B" w14:paraId="650564A7" w14:textId="77777777" w:rsidTr="00453A12">
        <w:trPr>
          <w:trHeight w:val="330"/>
        </w:trPr>
        <w:tc>
          <w:tcPr>
            <w:tcW w:w="9062" w:type="dxa"/>
            <w:gridSpan w:val="4"/>
            <w:hideMark/>
          </w:tcPr>
          <w:p w14:paraId="3D0ADE78" w14:textId="77777777" w:rsidR="00453A12" w:rsidRPr="00415A0B" w:rsidRDefault="00453A12" w:rsidP="00453A12">
            <w:pPr>
              <w:rPr>
                <w:b/>
                <w:bCs/>
              </w:rPr>
            </w:pPr>
            <w:r w:rsidRPr="00415A0B">
              <w:rPr>
                <w:b/>
                <w:bCs/>
              </w:rPr>
              <w:t>Stručný opis projektu</w:t>
            </w:r>
          </w:p>
        </w:tc>
      </w:tr>
      <w:tr w:rsidR="00453A12" w:rsidRPr="00415A0B" w14:paraId="0276AB45" w14:textId="77777777" w:rsidTr="00453A12">
        <w:trPr>
          <w:trHeight w:val="300"/>
        </w:trPr>
        <w:tc>
          <w:tcPr>
            <w:tcW w:w="9062" w:type="dxa"/>
            <w:gridSpan w:val="4"/>
            <w:hideMark/>
          </w:tcPr>
          <w:p w14:paraId="1AF34A50" w14:textId="77777777" w:rsidR="00453A12" w:rsidRPr="00415A0B" w:rsidRDefault="00453A12" w:rsidP="00453A12">
            <w:pPr>
              <w:rPr>
                <w:i/>
                <w:iCs/>
              </w:rPr>
            </w:pPr>
            <w:r w:rsidRPr="00415A0B">
              <w:rPr>
                <w:i/>
                <w:iCs/>
                <w:color w:val="808080" w:themeColor="background1" w:themeShade="80"/>
                <w:sz w:val="18"/>
                <w:szCs w:val="18"/>
              </w:rPr>
              <w:t>Investor uvedie stručný opis predkladaného projektu</w:t>
            </w:r>
            <w:r w:rsidRPr="00415A0B">
              <w:rPr>
                <w:i/>
                <w:iCs/>
              </w:rPr>
              <w:t xml:space="preserve"> </w:t>
            </w:r>
          </w:p>
        </w:tc>
      </w:tr>
      <w:tr w:rsidR="00453A12" w:rsidRPr="00415A0B" w14:paraId="65B3C2D5" w14:textId="77777777" w:rsidTr="00453A12">
        <w:trPr>
          <w:trHeight w:val="330"/>
        </w:trPr>
        <w:tc>
          <w:tcPr>
            <w:tcW w:w="5185" w:type="dxa"/>
            <w:hideMark/>
          </w:tcPr>
          <w:p w14:paraId="1D951F21" w14:textId="77777777" w:rsidR="00453A12" w:rsidRPr="00415A0B" w:rsidRDefault="00453A12" w:rsidP="00453A12">
            <w:pPr>
              <w:rPr>
                <w:b/>
                <w:bCs/>
              </w:rPr>
            </w:pPr>
            <w:r>
              <w:rPr>
                <w:b/>
                <w:bCs/>
              </w:rPr>
              <w:t>Investičné náklady projektu / TCO*</w:t>
            </w:r>
          </w:p>
        </w:tc>
        <w:tc>
          <w:tcPr>
            <w:tcW w:w="1317" w:type="dxa"/>
            <w:noWrap/>
            <w:vAlign w:val="center"/>
            <w:hideMark/>
          </w:tcPr>
          <w:p w14:paraId="7CD7FD25" w14:textId="77777777" w:rsidR="00453A12" w:rsidRPr="00415A0B" w:rsidRDefault="00453A12" w:rsidP="00453A12">
            <w:pPr>
              <w:rPr>
                <w:b/>
                <w:bCs/>
              </w:rPr>
            </w:pPr>
            <w:r w:rsidRPr="003A23EC">
              <w:rPr>
                <w:b/>
                <w:bCs/>
                <w:sz w:val="16"/>
                <w:szCs w:val="16"/>
              </w:rPr>
              <w:t xml:space="preserve">Pôvodná </w:t>
            </w:r>
            <w:r>
              <w:rPr>
                <w:b/>
                <w:bCs/>
                <w:sz w:val="16"/>
                <w:szCs w:val="16"/>
              </w:rPr>
              <w:t>štúdia uskutočniteľnosti</w:t>
            </w:r>
          </w:p>
        </w:tc>
        <w:tc>
          <w:tcPr>
            <w:tcW w:w="1280" w:type="dxa"/>
            <w:noWrap/>
            <w:vAlign w:val="center"/>
            <w:hideMark/>
          </w:tcPr>
          <w:p w14:paraId="05176237" w14:textId="77777777" w:rsidR="00453A12" w:rsidRPr="003A23EC" w:rsidRDefault="00453A12" w:rsidP="00453A12">
            <w:pPr>
              <w:rPr>
                <w:b/>
                <w:bCs/>
                <w:sz w:val="16"/>
                <w:szCs w:val="16"/>
              </w:rPr>
            </w:pPr>
            <w:r w:rsidRPr="003A23EC">
              <w:rPr>
                <w:b/>
                <w:bCs/>
                <w:sz w:val="16"/>
                <w:szCs w:val="16"/>
              </w:rPr>
              <w:t>Aktualizácia</w:t>
            </w:r>
          </w:p>
          <w:p w14:paraId="6D1F8F80" w14:textId="77777777" w:rsidR="00453A12" w:rsidRPr="00415A0B" w:rsidRDefault="00453A12" w:rsidP="00453A12">
            <w:pPr>
              <w:rPr>
                <w:b/>
                <w:bCs/>
              </w:rPr>
            </w:pPr>
            <w:r>
              <w:rPr>
                <w:b/>
                <w:bCs/>
                <w:sz w:val="16"/>
                <w:szCs w:val="16"/>
              </w:rPr>
              <w:t>p</w:t>
            </w:r>
            <w:r w:rsidRPr="003A23EC">
              <w:rPr>
                <w:b/>
                <w:bCs/>
                <w:sz w:val="16"/>
                <w:szCs w:val="16"/>
              </w:rPr>
              <w:t>red VO</w:t>
            </w:r>
          </w:p>
        </w:tc>
        <w:tc>
          <w:tcPr>
            <w:tcW w:w="1280" w:type="dxa"/>
            <w:noWrap/>
            <w:hideMark/>
          </w:tcPr>
          <w:p w14:paraId="6ED11231" w14:textId="77777777" w:rsidR="00453A12" w:rsidRPr="00415A0B" w:rsidRDefault="00453A12" w:rsidP="00453A12">
            <w:pPr>
              <w:rPr>
                <w:b/>
                <w:bCs/>
              </w:rPr>
            </w:pPr>
            <w:r w:rsidRPr="00415A0B">
              <w:rPr>
                <w:b/>
                <w:bCs/>
              </w:rPr>
              <w:t>Rozdiel</w:t>
            </w:r>
          </w:p>
        </w:tc>
      </w:tr>
      <w:tr w:rsidR="00453A12" w:rsidRPr="00415A0B" w14:paraId="5D01EA17" w14:textId="77777777" w:rsidTr="00453A12">
        <w:trPr>
          <w:trHeight w:val="300"/>
        </w:trPr>
        <w:tc>
          <w:tcPr>
            <w:tcW w:w="5185" w:type="dxa"/>
            <w:hideMark/>
          </w:tcPr>
          <w:p w14:paraId="3C4647E9" w14:textId="77777777" w:rsidR="00453A12" w:rsidRPr="00415A0B" w:rsidRDefault="00453A12" w:rsidP="00453A12">
            <w:pPr>
              <w:rPr>
                <w:i/>
                <w:iCs/>
              </w:rPr>
            </w:pPr>
            <w:r w:rsidRPr="00415A0B">
              <w:rPr>
                <w:i/>
                <w:iCs/>
              </w:rPr>
              <w:t> </w:t>
            </w:r>
            <w:r w:rsidRPr="00415A0B">
              <w:rPr>
                <w:i/>
                <w:iCs/>
                <w:color w:val="808080" w:themeColor="background1" w:themeShade="80"/>
                <w:sz w:val="18"/>
                <w:szCs w:val="18"/>
              </w:rPr>
              <w:t xml:space="preserve">Investor uvedie </w:t>
            </w:r>
            <w:r w:rsidRPr="00646D50">
              <w:rPr>
                <w:i/>
                <w:iCs/>
                <w:color w:val="808080" w:themeColor="background1" w:themeShade="80"/>
                <w:sz w:val="18"/>
                <w:szCs w:val="18"/>
              </w:rPr>
              <w:t>investičných nákladov projektu (bez rezervy)</w:t>
            </w:r>
          </w:p>
        </w:tc>
        <w:tc>
          <w:tcPr>
            <w:tcW w:w="1317" w:type="dxa"/>
            <w:noWrap/>
            <w:hideMark/>
          </w:tcPr>
          <w:p w14:paraId="6F418A03" w14:textId="77777777" w:rsidR="00453A12" w:rsidRPr="00415A0B" w:rsidRDefault="00453A12" w:rsidP="00453A12">
            <w:r w:rsidRPr="00415A0B">
              <w:t> </w:t>
            </w:r>
          </w:p>
        </w:tc>
        <w:tc>
          <w:tcPr>
            <w:tcW w:w="1280" w:type="dxa"/>
            <w:noWrap/>
            <w:hideMark/>
          </w:tcPr>
          <w:p w14:paraId="40588329" w14:textId="77777777" w:rsidR="00453A12" w:rsidRPr="00415A0B" w:rsidRDefault="00453A12" w:rsidP="00453A12">
            <w:r w:rsidRPr="00415A0B">
              <w:t> </w:t>
            </w:r>
          </w:p>
        </w:tc>
        <w:tc>
          <w:tcPr>
            <w:tcW w:w="1280" w:type="dxa"/>
            <w:noWrap/>
            <w:hideMark/>
          </w:tcPr>
          <w:p w14:paraId="1EAC8F4B" w14:textId="77777777" w:rsidR="00453A12" w:rsidRPr="00415A0B" w:rsidRDefault="00453A12" w:rsidP="00453A12">
            <w:r w:rsidRPr="00415A0B">
              <w:t> </w:t>
            </w:r>
          </w:p>
        </w:tc>
      </w:tr>
      <w:tr w:rsidR="00453A12" w:rsidRPr="00415A0B" w14:paraId="62D816D5" w14:textId="77777777" w:rsidTr="00453A12">
        <w:trPr>
          <w:trHeight w:val="330"/>
        </w:trPr>
        <w:tc>
          <w:tcPr>
            <w:tcW w:w="9062" w:type="dxa"/>
            <w:gridSpan w:val="4"/>
            <w:hideMark/>
          </w:tcPr>
          <w:p w14:paraId="2D7E56E3" w14:textId="77777777" w:rsidR="00453A12" w:rsidRPr="00415A0B" w:rsidRDefault="00453A12" w:rsidP="00453A12">
            <w:pPr>
              <w:rPr>
                <w:b/>
                <w:bCs/>
              </w:rPr>
            </w:pPr>
            <w:r w:rsidRPr="00415A0B">
              <w:rPr>
                <w:b/>
                <w:bCs/>
              </w:rPr>
              <w:t>Odôvodnenie zmeny nákladov</w:t>
            </w:r>
          </w:p>
        </w:tc>
      </w:tr>
      <w:tr w:rsidR="00453A12" w:rsidRPr="00415A0B" w14:paraId="30862A19" w14:textId="77777777" w:rsidTr="00453A12">
        <w:trPr>
          <w:trHeight w:val="344"/>
        </w:trPr>
        <w:tc>
          <w:tcPr>
            <w:tcW w:w="9062" w:type="dxa"/>
            <w:gridSpan w:val="4"/>
            <w:hideMark/>
          </w:tcPr>
          <w:p w14:paraId="16F0D774" w14:textId="77777777" w:rsidR="00453A12" w:rsidRPr="00415A0B" w:rsidRDefault="00453A12" w:rsidP="00453A12">
            <w:pPr>
              <w:rPr>
                <w:i/>
                <w:iCs/>
                <w:color w:val="808080" w:themeColor="background1" w:themeShade="80"/>
                <w:sz w:val="18"/>
                <w:szCs w:val="18"/>
              </w:rPr>
            </w:pPr>
            <w:r w:rsidRPr="00415A0B">
              <w:rPr>
                <w:i/>
                <w:iCs/>
                <w:color w:val="808080" w:themeColor="background1" w:themeShade="80"/>
                <w:sz w:val="18"/>
                <w:szCs w:val="18"/>
              </w:rPr>
              <w:t>Investor zdôv</w:t>
            </w:r>
            <w:r>
              <w:rPr>
                <w:i/>
                <w:iCs/>
                <w:color w:val="808080" w:themeColor="background1" w:themeShade="80"/>
                <w:sz w:val="18"/>
                <w:szCs w:val="18"/>
              </w:rPr>
              <w:t>odní rozdiel vo výške nákladov (napr. zmenu technického riešenia, nárast cien komodít a pod)</w:t>
            </w:r>
          </w:p>
        </w:tc>
      </w:tr>
      <w:tr w:rsidR="00453A12" w:rsidRPr="00415A0B" w14:paraId="4676DA3D" w14:textId="77777777" w:rsidTr="00453A12">
        <w:trPr>
          <w:trHeight w:val="330"/>
        </w:trPr>
        <w:tc>
          <w:tcPr>
            <w:tcW w:w="5185" w:type="dxa"/>
            <w:hideMark/>
          </w:tcPr>
          <w:p w14:paraId="2609DA53" w14:textId="77777777" w:rsidR="00453A12" w:rsidRPr="00415A0B" w:rsidRDefault="00453A12" w:rsidP="00453A12">
            <w:pPr>
              <w:rPr>
                <w:b/>
                <w:bCs/>
              </w:rPr>
            </w:pPr>
            <w:r w:rsidRPr="00415A0B">
              <w:rPr>
                <w:b/>
                <w:bCs/>
              </w:rPr>
              <w:t xml:space="preserve">Ekonomické prínosy projektu </w:t>
            </w:r>
          </w:p>
        </w:tc>
        <w:tc>
          <w:tcPr>
            <w:tcW w:w="1317" w:type="dxa"/>
            <w:noWrap/>
            <w:vAlign w:val="center"/>
            <w:hideMark/>
          </w:tcPr>
          <w:p w14:paraId="63096270" w14:textId="77777777" w:rsidR="00453A12" w:rsidRPr="00415A0B" w:rsidRDefault="00453A12" w:rsidP="00453A12">
            <w:pPr>
              <w:rPr>
                <w:b/>
                <w:bCs/>
              </w:rPr>
            </w:pPr>
            <w:r w:rsidRPr="003A23EC">
              <w:rPr>
                <w:b/>
                <w:bCs/>
                <w:sz w:val="16"/>
                <w:szCs w:val="16"/>
              </w:rPr>
              <w:t xml:space="preserve">Pôvodná </w:t>
            </w:r>
            <w:r>
              <w:rPr>
                <w:b/>
                <w:bCs/>
                <w:sz w:val="16"/>
                <w:szCs w:val="16"/>
              </w:rPr>
              <w:t>štúdia uskutočniteľnosti</w:t>
            </w:r>
          </w:p>
        </w:tc>
        <w:tc>
          <w:tcPr>
            <w:tcW w:w="1280" w:type="dxa"/>
            <w:noWrap/>
            <w:vAlign w:val="center"/>
            <w:hideMark/>
          </w:tcPr>
          <w:p w14:paraId="7A125D0B" w14:textId="77777777" w:rsidR="00453A12" w:rsidRPr="003A23EC" w:rsidRDefault="00453A12" w:rsidP="00453A12">
            <w:pPr>
              <w:rPr>
                <w:b/>
                <w:bCs/>
                <w:sz w:val="16"/>
                <w:szCs w:val="16"/>
              </w:rPr>
            </w:pPr>
            <w:r w:rsidRPr="003A23EC">
              <w:rPr>
                <w:b/>
                <w:bCs/>
                <w:sz w:val="16"/>
                <w:szCs w:val="16"/>
              </w:rPr>
              <w:t>Aktualizácia</w:t>
            </w:r>
          </w:p>
          <w:p w14:paraId="2D886097" w14:textId="77777777" w:rsidR="00453A12" w:rsidRPr="00415A0B" w:rsidRDefault="00453A12" w:rsidP="00453A12">
            <w:pPr>
              <w:rPr>
                <w:b/>
                <w:bCs/>
              </w:rPr>
            </w:pPr>
            <w:r>
              <w:rPr>
                <w:b/>
                <w:bCs/>
                <w:sz w:val="16"/>
                <w:szCs w:val="16"/>
              </w:rPr>
              <w:t>p</w:t>
            </w:r>
            <w:r w:rsidRPr="003A23EC">
              <w:rPr>
                <w:b/>
                <w:bCs/>
                <w:sz w:val="16"/>
                <w:szCs w:val="16"/>
              </w:rPr>
              <w:t>red VO</w:t>
            </w:r>
          </w:p>
        </w:tc>
        <w:tc>
          <w:tcPr>
            <w:tcW w:w="1280" w:type="dxa"/>
            <w:noWrap/>
            <w:hideMark/>
          </w:tcPr>
          <w:p w14:paraId="63EE426A" w14:textId="77777777" w:rsidR="00453A12" w:rsidRPr="00415A0B" w:rsidRDefault="00453A12" w:rsidP="00453A12">
            <w:pPr>
              <w:rPr>
                <w:b/>
                <w:bCs/>
              </w:rPr>
            </w:pPr>
            <w:r w:rsidRPr="00415A0B">
              <w:rPr>
                <w:b/>
                <w:bCs/>
              </w:rPr>
              <w:t>Rozdiel</w:t>
            </w:r>
          </w:p>
        </w:tc>
      </w:tr>
      <w:tr w:rsidR="00453A12" w:rsidRPr="00415A0B" w14:paraId="48043174" w14:textId="77777777" w:rsidTr="00453A12">
        <w:trPr>
          <w:trHeight w:val="300"/>
        </w:trPr>
        <w:tc>
          <w:tcPr>
            <w:tcW w:w="5185" w:type="dxa"/>
            <w:hideMark/>
          </w:tcPr>
          <w:p w14:paraId="589F280E" w14:textId="77777777" w:rsidR="00453A12" w:rsidRPr="00646D50" w:rsidRDefault="00453A12" w:rsidP="00453A12">
            <w:pPr>
              <w:rPr>
                <w:i/>
                <w:iCs/>
                <w:sz w:val="18"/>
                <w:szCs w:val="18"/>
              </w:rPr>
            </w:pPr>
            <w:r w:rsidRPr="00646D50">
              <w:rPr>
                <w:i/>
                <w:iCs/>
                <w:color w:val="808080" w:themeColor="background1" w:themeShade="80"/>
                <w:sz w:val="18"/>
                <w:szCs w:val="18"/>
              </w:rPr>
              <w:t xml:space="preserve">Investor uvedie </w:t>
            </w:r>
            <w:r>
              <w:rPr>
                <w:i/>
                <w:iCs/>
                <w:color w:val="808080" w:themeColor="background1" w:themeShade="80"/>
                <w:sz w:val="18"/>
                <w:szCs w:val="18"/>
              </w:rPr>
              <w:t>ekonomické prínosy</w:t>
            </w:r>
            <w:r w:rsidRPr="00646D50">
              <w:rPr>
                <w:i/>
                <w:iCs/>
                <w:color w:val="808080" w:themeColor="background1" w:themeShade="80"/>
                <w:sz w:val="18"/>
                <w:szCs w:val="18"/>
              </w:rPr>
              <w:t xml:space="preserve"> projektu (</w:t>
            </w:r>
            <w:r>
              <w:rPr>
                <w:i/>
                <w:iCs/>
                <w:color w:val="808080" w:themeColor="background1" w:themeShade="80"/>
                <w:sz w:val="18"/>
                <w:szCs w:val="18"/>
              </w:rPr>
              <w:t>diskontované</w:t>
            </w:r>
            <w:r w:rsidRPr="00646D50">
              <w:rPr>
                <w:i/>
                <w:iCs/>
                <w:color w:val="808080" w:themeColor="background1" w:themeShade="80"/>
                <w:sz w:val="18"/>
                <w:szCs w:val="18"/>
              </w:rPr>
              <w:t>)</w:t>
            </w:r>
          </w:p>
        </w:tc>
        <w:tc>
          <w:tcPr>
            <w:tcW w:w="1317" w:type="dxa"/>
            <w:noWrap/>
            <w:hideMark/>
          </w:tcPr>
          <w:p w14:paraId="6CD08F61" w14:textId="77777777" w:rsidR="00453A12" w:rsidRPr="00415A0B" w:rsidRDefault="00453A12" w:rsidP="00453A12">
            <w:r w:rsidRPr="00415A0B">
              <w:t> </w:t>
            </w:r>
          </w:p>
        </w:tc>
        <w:tc>
          <w:tcPr>
            <w:tcW w:w="1280" w:type="dxa"/>
            <w:noWrap/>
            <w:hideMark/>
          </w:tcPr>
          <w:p w14:paraId="18196477" w14:textId="77777777" w:rsidR="00453A12" w:rsidRPr="00415A0B" w:rsidRDefault="00453A12" w:rsidP="00453A12">
            <w:r w:rsidRPr="00415A0B">
              <w:t> </w:t>
            </w:r>
          </w:p>
        </w:tc>
        <w:tc>
          <w:tcPr>
            <w:tcW w:w="1280" w:type="dxa"/>
            <w:noWrap/>
            <w:hideMark/>
          </w:tcPr>
          <w:p w14:paraId="212FF62F" w14:textId="77777777" w:rsidR="00453A12" w:rsidRPr="00415A0B" w:rsidRDefault="00453A12" w:rsidP="00453A12">
            <w:r w:rsidRPr="00415A0B">
              <w:t> </w:t>
            </w:r>
          </w:p>
        </w:tc>
      </w:tr>
      <w:tr w:rsidR="00453A12" w:rsidRPr="00415A0B" w14:paraId="27137814" w14:textId="77777777" w:rsidTr="00453A12">
        <w:trPr>
          <w:trHeight w:val="330"/>
        </w:trPr>
        <w:tc>
          <w:tcPr>
            <w:tcW w:w="9062" w:type="dxa"/>
            <w:gridSpan w:val="4"/>
            <w:hideMark/>
          </w:tcPr>
          <w:p w14:paraId="63EA1AD0" w14:textId="77777777" w:rsidR="00453A12" w:rsidRPr="00646D50" w:rsidRDefault="00453A12" w:rsidP="00453A12">
            <w:pPr>
              <w:rPr>
                <w:b/>
                <w:bCs/>
              </w:rPr>
            </w:pPr>
            <w:r w:rsidRPr="00646D50">
              <w:rPr>
                <w:b/>
                <w:bCs/>
              </w:rPr>
              <w:t>Odôvodnenie zmeny prínosov</w:t>
            </w:r>
          </w:p>
        </w:tc>
      </w:tr>
      <w:tr w:rsidR="00453A12" w:rsidRPr="00415A0B" w14:paraId="5C9710C2" w14:textId="77777777" w:rsidTr="00453A12">
        <w:trPr>
          <w:trHeight w:val="831"/>
        </w:trPr>
        <w:tc>
          <w:tcPr>
            <w:tcW w:w="9062" w:type="dxa"/>
            <w:gridSpan w:val="4"/>
            <w:hideMark/>
          </w:tcPr>
          <w:p w14:paraId="30F25AED" w14:textId="77777777" w:rsidR="00453A12" w:rsidRPr="00415A0B" w:rsidRDefault="00453A12" w:rsidP="00453A12">
            <w:pPr>
              <w:rPr>
                <w:i/>
                <w:iCs/>
              </w:rPr>
            </w:pPr>
            <w:r w:rsidRPr="00646D50">
              <w:rPr>
                <w:i/>
                <w:iCs/>
                <w:color w:val="808080" w:themeColor="background1" w:themeShade="80"/>
                <w:sz w:val="18"/>
                <w:szCs w:val="18"/>
              </w:rPr>
              <w:t>Investor uvedie odhad ekonomických prínosov projektu, ak sa líšia od pôvodnej štúdie uskutočniteľnosti vzhľadom na zmeny počas ďalšieho procesu (napr. počas posudzovania vplyvov na životné prostredie, vypracovanie dokumentácie pre územné rozhodnutie alebo vypracovanie dokumentácie pre stavebné povolenie) a doloží nový odhad prínosov.</w:t>
            </w:r>
          </w:p>
        </w:tc>
      </w:tr>
      <w:tr w:rsidR="00453A12" w:rsidRPr="00415A0B" w14:paraId="451AD862" w14:textId="77777777" w:rsidTr="00453A12">
        <w:trPr>
          <w:trHeight w:val="390"/>
        </w:trPr>
        <w:tc>
          <w:tcPr>
            <w:tcW w:w="5185" w:type="dxa"/>
            <w:hideMark/>
          </w:tcPr>
          <w:p w14:paraId="2A6ADA70" w14:textId="77777777" w:rsidR="00453A12" w:rsidRPr="00646D50" w:rsidRDefault="00453A12" w:rsidP="00453A12">
            <w:pPr>
              <w:rPr>
                <w:b/>
                <w:bCs/>
              </w:rPr>
            </w:pPr>
            <w:r w:rsidRPr="00646D50">
              <w:rPr>
                <w:b/>
                <w:bCs/>
              </w:rPr>
              <w:t>Pomer prínosov a nákladov (BCR)</w:t>
            </w:r>
          </w:p>
        </w:tc>
        <w:tc>
          <w:tcPr>
            <w:tcW w:w="1317" w:type="dxa"/>
            <w:noWrap/>
            <w:vAlign w:val="center"/>
            <w:hideMark/>
          </w:tcPr>
          <w:p w14:paraId="604ACD1B" w14:textId="77777777" w:rsidR="00453A12" w:rsidRPr="00646D50" w:rsidRDefault="00453A12" w:rsidP="00453A12">
            <w:pPr>
              <w:rPr>
                <w:b/>
                <w:bCs/>
              </w:rPr>
            </w:pPr>
            <w:r w:rsidRPr="003A23EC">
              <w:rPr>
                <w:b/>
                <w:bCs/>
                <w:sz w:val="16"/>
                <w:szCs w:val="16"/>
              </w:rPr>
              <w:t xml:space="preserve">Pôvodná </w:t>
            </w:r>
            <w:r>
              <w:rPr>
                <w:b/>
                <w:bCs/>
                <w:sz w:val="16"/>
                <w:szCs w:val="16"/>
              </w:rPr>
              <w:t>štúdia uskutočniteľnosti</w:t>
            </w:r>
          </w:p>
        </w:tc>
        <w:tc>
          <w:tcPr>
            <w:tcW w:w="1280" w:type="dxa"/>
            <w:noWrap/>
            <w:vAlign w:val="center"/>
            <w:hideMark/>
          </w:tcPr>
          <w:p w14:paraId="30AB7D85" w14:textId="77777777" w:rsidR="00453A12" w:rsidRPr="003A23EC" w:rsidRDefault="00453A12" w:rsidP="00453A12">
            <w:pPr>
              <w:rPr>
                <w:b/>
                <w:bCs/>
                <w:sz w:val="16"/>
                <w:szCs w:val="16"/>
              </w:rPr>
            </w:pPr>
            <w:r w:rsidRPr="003A23EC">
              <w:rPr>
                <w:b/>
                <w:bCs/>
                <w:sz w:val="16"/>
                <w:szCs w:val="16"/>
              </w:rPr>
              <w:t>Aktualizácia</w:t>
            </w:r>
          </w:p>
          <w:p w14:paraId="3DFB22B2" w14:textId="77777777" w:rsidR="00453A12" w:rsidRPr="00646D50" w:rsidRDefault="00453A12" w:rsidP="00453A12">
            <w:pPr>
              <w:rPr>
                <w:b/>
                <w:bCs/>
              </w:rPr>
            </w:pPr>
            <w:r>
              <w:rPr>
                <w:b/>
                <w:bCs/>
                <w:sz w:val="16"/>
                <w:szCs w:val="16"/>
              </w:rPr>
              <w:t>p</w:t>
            </w:r>
            <w:r w:rsidRPr="003A23EC">
              <w:rPr>
                <w:b/>
                <w:bCs/>
                <w:sz w:val="16"/>
                <w:szCs w:val="16"/>
              </w:rPr>
              <w:t>red VO</w:t>
            </w:r>
          </w:p>
        </w:tc>
        <w:tc>
          <w:tcPr>
            <w:tcW w:w="1280" w:type="dxa"/>
            <w:noWrap/>
            <w:hideMark/>
          </w:tcPr>
          <w:p w14:paraId="666ED629" w14:textId="77777777" w:rsidR="00453A12" w:rsidRPr="00646D50" w:rsidRDefault="00453A12" w:rsidP="00453A12">
            <w:pPr>
              <w:rPr>
                <w:b/>
                <w:bCs/>
              </w:rPr>
            </w:pPr>
            <w:r w:rsidRPr="00646D50">
              <w:rPr>
                <w:b/>
                <w:bCs/>
              </w:rPr>
              <w:t>Rozdiel</w:t>
            </w:r>
          </w:p>
        </w:tc>
      </w:tr>
      <w:tr w:rsidR="00453A12" w:rsidRPr="00415A0B" w14:paraId="58E52F87" w14:textId="77777777" w:rsidTr="00453A12">
        <w:trPr>
          <w:trHeight w:val="375"/>
        </w:trPr>
        <w:tc>
          <w:tcPr>
            <w:tcW w:w="5185" w:type="dxa"/>
            <w:hideMark/>
          </w:tcPr>
          <w:p w14:paraId="31EBFA40" w14:textId="77777777" w:rsidR="00453A12" w:rsidRPr="00415A0B" w:rsidRDefault="00453A12" w:rsidP="00453A12">
            <w:pPr>
              <w:rPr>
                <w:i/>
                <w:iCs/>
              </w:rPr>
            </w:pPr>
            <w:r w:rsidRPr="00415A0B">
              <w:rPr>
                <w:i/>
                <w:iCs/>
              </w:rPr>
              <w:t> </w:t>
            </w:r>
            <w:r w:rsidRPr="00646D50">
              <w:rPr>
                <w:i/>
                <w:iCs/>
                <w:color w:val="808080" w:themeColor="background1" w:themeShade="80"/>
                <w:sz w:val="18"/>
                <w:szCs w:val="18"/>
              </w:rPr>
              <w:t xml:space="preserve">Investor uvedie </w:t>
            </w:r>
            <w:r>
              <w:rPr>
                <w:i/>
                <w:iCs/>
                <w:color w:val="808080" w:themeColor="background1" w:themeShade="80"/>
                <w:sz w:val="18"/>
                <w:szCs w:val="18"/>
              </w:rPr>
              <w:t>BCR</w:t>
            </w:r>
            <w:r w:rsidRPr="00646D50">
              <w:rPr>
                <w:i/>
                <w:iCs/>
                <w:color w:val="808080" w:themeColor="background1" w:themeShade="80"/>
                <w:sz w:val="18"/>
                <w:szCs w:val="18"/>
              </w:rPr>
              <w:t xml:space="preserve"> projektu</w:t>
            </w:r>
          </w:p>
        </w:tc>
        <w:tc>
          <w:tcPr>
            <w:tcW w:w="1317" w:type="dxa"/>
            <w:hideMark/>
          </w:tcPr>
          <w:p w14:paraId="44EC2A23" w14:textId="77777777" w:rsidR="00453A12" w:rsidRPr="00415A0B" w:rsidRDefault="00453A12" w:rsidP="00453A12">
            <w:pPr>
              <w:rPr>
                <w:i/>
                <w:iCs/>
              </w:rPr>
            </w:pPr>
            <w:r w:rsidRPr="00415A0B">
              <w:rPr>
                <w:i/>
                <w:iCs/>
              </w:rPr>
              <w:t> </w:t>
            </w:r>
          </w:p>
        </w:tc>
        <w:tc>
          <w:tcPr>
            <w:tcW w:w="1280" w:type="dxa"/>
            <w:hideMark/>
          </w:tcPr>
          <w:p w14:paraId="33196618" w14:textId="77777777" w:rsidR="00453A12" w:rsidRPr="00415A0B" w:rsidRDefault="00453A12" w:rsidP="00453A12">
            <w:pPr>
              <w:rPr>
                <w:i/>
                <w:iCs/>
              </w:rPr>
            </w:pPr>
            <w:r w:rsidRPr="00415A0B">
              <w:rPr>
                <w:i/>
                <w:iCs/>
              </w:rPr>
              <w:t> </w:t>
            </w:r>
          </w:p>
        </w:tc>
        <w:tc>
          <w:tcPr>
            <w:tcW w:w="1280" w:type="dxa"/>
            <w:hideMark/>
          </w:tcPr>
          <w:p w14:paraId="706E7757" w14:textId="77777777" w:rsidR="00453A12" w:rsidRPr="00415A0B" w:rsidRDefault="00453A12" w:rsidP="00453A12">
            <w:pPr>
              <w:rPr>
                <w:i/>
                <w:iCs/>
              </w:rPr>
            </w:pPr>
            <w:r w:rsidRPr="00415A0B">
              <w:rPr>
                <w:i/>
                <w:iCs/>
              </w:rPr>
              <w:t> </w:t>
            </w:r>
          </w:p>
        </w:tc>
      </w:tr>
      <w:tr w:rsidR="00453A12" w:rsidRPr="00415A0B" w14:paraId="70FACD52" w14:textId="77777777" w:rsidTr="00453A12">
        <w:trPr>
          <w:trHeight w:val="330"/>
        </w:trPr>
        <w:tc>
          <w:tcPr>
            <w:tcW w:w="9062" w:type="dxa"/>
            <w:gridSpan w:val="4"/>
            <w:hideMark/>
          </w:tcPr>
          <w:p w14:paraId="6B5D2FAC" w14:textId="77777777" w:rsidR="00453A12" w:rsidRPr="00646D50" w:rsidRDefault="00453A12" w:rsidP="00453A12">
            <w:pPr>
              <w:rPr>
                <w:b/>
                <w:bCs/>
              </w:rPr>
            </w:pPr>
            <w:r w:rsidRPr="00646D50">
              <w:rPr>
                <w:b/>
                <w:bCs/>
              </w:rPr>
              <w:t xml:space="preserve">Odpočet zapracovania odporúčaní MF SR </w:t>
            </w:r>
          </w:p>
        </w:tc>
      </w:tr>
      <w:tr w:rsidR="00453A12" w:rsidRPr="00415A0B" w14:paraId="0473E7EC" w14:textId="77777777" w:rsidTr="00453A12">
        <w:trPr>
          <w:trHeight w:val="510"/>
        </w:trPr>
        <w:tc>
          <w:tcPr>
            <w:tcW w:w="9062" w:type="dxa"/>
            <w:gridSpan w:val="4"/>
            <w:hideMark/>
          </w:tcPr>
          <w:p w14:paraId="60A3BC19" w14:textId="77777777" w:rsidR="00453A12" w:rsidRPr="00415A0B" w:rsidRDefault="00453A12" w:rsidP="00453A12">
            <w:pPr>
              <w:rPr>
                <w:i/>
                <w:iCs/>
              </w:rPr>
            </w:pPr>
            <w:r w:rsidRPr="00646D50">
              <w:rPr>
                <w:i/>
                <w:iCs/>
                <w:color w:val="808080" w:themeColor="background1" w:themeShade="80"/>
                <w:sz w:val="18"/>
                <w:szCs w:val="18"/>
              </w:rPr>
              <w:t>Investor uvedie odpočet zapracovania odporúčaní MF SR vyplývajúcich z predošlého ekonomického hodnotenia projektu na základe pôvodnej štúdie uskutočniteľnosti</w:t>
            </w:r>
          </w:p>
        </w:tc>
      </w:tr>
      <w:tr w:rsidR="00453A12" w:rsidRPr="00415A0B" w14:paraId="07EA11CD" w14:textId="77777777" w:rsidTr="00453A12">
        <w:trPr>
          <w:trHeight w:val="330"/>
        </w:trPr>
        <w:tc>
          <w:tcPr>
            <w:tcW w:w="9062" w:type="dxa"/>
            <w:gridSpan w:val="4"/>
            <w:hideMark/>
          </w:tcPr>
          <w:p w14:paraId="6D94FE3B" w14:textId="77777777" w:rsidR="00453A12" w:rsidRPr="00646D50" w:rsidRDefault="00453A12" w:rsidP="00453A12">
            <w:pPr>
              <w:rPr>
                <w:b/>
                <w:bCs/>
              </w:rPr>
            </w:pPr>
            <w:r w:rsidRPr="00646D50">
              <w:rPr>
                <w:b/>
                <w:bCs/>
              </w:rPr>
              <w:t>Ďalšie relevantné zmeny projektu oproti pôvodnej štúdií uskutočniteľnosti</w:t>
            </w:r>
          </w:p>
        </w:tc>
      </w:tr>
      <w:tr w:rsidR="00453A12" w:rsidRPr="00415A0B" w14:paraId="20B1AE01" w14:textId="77777777" w:rsidTr="00453A12">
        <w:trPr>
          <w:trHeight w:val="300"/>
        </w:trPr>
        <w:tc>
          <w:tcPr>
            <w:tcW w:w="9062" w:type="dxa"/>
            <w:gridSpan w:val="4"/>
            <w:hideMark/>
          </w:tcPr>
          <w:p w14:paraId="39B99C65" w14:textId="77777777" w:rsidR="00453A12" w:rsidRPr="00415A0B" w:rsidRDefault="00453A12" w:rsidP="00453A12">
            <w:pPr>
              <w:rPr>
                <w:i/>
                <w:iCs/>
              </w:rPr>
            </w:pPr>
            <w:r w:rsidRPr="00646D50">
              <w:rPr>
                <w:i/>
                <w:iCs/>
                <w:color w:val="808080" w:themeColor="background1" w:themeShade="80"/>
                <w:sz w:val="18"/>
                <w:szCs w:val="18"/>
              </w:rPr>
              <w:t>Investor uvedie ďalšie relevantné zmeny projektu oproti predpokladom pôvodnej štúdií uskutočniteľnosti</w:t>
            </w:r>
          </w:p>
        </w:tc>
      </w:tr>
      <w:tr w:rsidR="00453A12" w:rsidRPr="00415A0B" w14:paraId="024A79AD" w14:textId="77777777" w:rsidTr="00453A12">
        <w:trPr>
          <w:trHeight w:val="330"/>
        </w:trPr>
        <w:tc>
          <w:tcPr>
            <w:tcW w:w="9062" w:type="dxa"/>
            <w:gridSpan w:val="4"/>
            <w:hideMark/>
          </w:tcPr>
          <w:p w14:paraId="5B6D11A3" w14:textId="77777777" w:rsidR="00453A12" w:rsidRPr="00646D50" w:rsidRDefault="00453A12" w:rsidP="00453A12">
            <w:pPr>
              <w:rPr>
                <w:b/>
                <w:bCs/>
              </w:rPr>
            </w:pPr>
            <w:r w:rsidRPr="00646D50">
              <w:rPr>
                <w:b/>
                <w:bCs/>
              </w:rPr>
              <w:t>Zoznam príloh a podkladov na ekonomické hodnotenie (neverejné)</w:t>
            </w:r>
          </w:p>
        </w:tc>
      </w:tr>
      <w:tr w:rsidR="00453A12" w:rsidRPr="00415A0B" w14:paraId="412320F8" w14:textId="77777777" w:rsidTr="00453A12">
        <w:trPr>
          <w:trHeight w:val="960"/>
        </w:trPr>
        <w:tc>
          <w:tcPr>
            <w:tcW w:w="9062" w:type="dxa"/>
            <w:gridSpan w:val="4"/>
            <w:hideMark/>
          </w:tcPr>
          <w:p w14:paraId="7E2AA50E" w14:textId="77777777" w:rsidR="00453A12" w:rsidRDefault="00453A12" w:rsidP="00453A12">
            <w:pPr>
              <w:rPr>
                <w:i/>
                <w:iCs/>
                <w:color w:val="808080" w:themeColor="background1" w:themeShade="80"/>
                <w:sz w:val="18"/>
                <w:szCs w:val="18"/>
              </w:rPr>
            </w:pPr>
            <w:r w:rsidRPr="00646D50">
              <w:rPr>
                <w:i/>
                <w:iCs/>
                <w:color w:val="808080" w:themeColor="background1" w:themeShade="80"/>
                <w:sz w:val="18"/>
                <w:szCs w:val="18"/>
              </w:rPr>
              <w:t>Investor uvedie, ktoré podklady zasiela na MF SR pre účely ekonomického hodnotenia. Materiály os</w:t>
            </w:r>
            <w:r>
              <w:rPr>
                <w:i/>
                <w:iCs/>
                <w:color w:val="808080" w:themeColor="background1" w:themeShade="80"/>
                <w:sz w:val="18"/>
                <w:szCs w:val="18"/>
              </w:rPr>
              <w:t>távanú neverejné. Z pravidla:</w:t>
            </w:r>
          </w:p>
          <w:p w14:paraId="450B07AB" w14:textId="77777777" w:rsidR="00453A12" w:rsidRDefault="00453A12" w:rsidP="00453A12">
            <w:pPr>
              <w:pStyle w:val="Odsekzoznamu"/>
              <w:numPr>
                <w:ilvl w:val="0"/>
                <w:numId w:val="62"/>
              </w:numPr>
              <w:spacing w:after="0" w:line="240" w:lineRule="auto"/>
              <w:ind w:left="454"/>
              <w:jc w:val="left"/>
              <w:rPr>
                <w:i/>
                <w:iCs/>
                <w:color w:val="808080" w:themeColor="background1" w:themeShade="80"/>
                <w:sz w:val="18"/>
                <w:szCs w:val="18"/>
              </w:rPr>
            </w:pPr>
            <w:r w:rsidRPr="00646D50">
              <w:rPr>
                <w:i/>
                <w:iCs/>
                <w:color w:val="808080" w:themeColor="background1" w:themeShade="80"/>
                <w:sz w:val="18"/>
                <w:szCs w:val="18"/>
              </w:rPr>
              <w:t>detailný rozpočet vrátane všetkých podkladových informácií použitých pri jeho tvorbe (najmä zdrojové údaje pre stanovenie jednotkových</w:t>
            </w:r>
            <w:r>
              <w:rPr>
                <w:i/>
                <w:iCs/>
                <w:color w:val="808080" w:themeColor="background1" w:themeShade="80"/>
                <w:sz w:val="18"/>
                <w:szCs w:val="18"/>
              </w:rPr>
              <w:t xml:space="preserve"> c</w:t>
            </w:r>
            <w:r w:rsidRPr="00646D50">
              <w:rPr>
                <w:i/>
                <w:iCs/>
                <w:color w:val="808080" w:themeColor="background1" w:themeShade="80"/>
                <w:sz w:val="18"/>
                <w:szCs w:val="18"/>
              </w:rPr>
              <w:t>ien),</w:t>
            </w:r>
          </w:p>
          <w:p w14:paraId="53320628" w14:textId="77777777" w:rsidR="00453A12" w:rsidRPr="00646D50" w:rsidRDefault="00453A12" w:rsidP="00453A12">
            <w:pPr>
              <w:pStyle w:val="Odsekzoznamu"/>
              <w:numPr>
                <w:ilvl w:val="0"/>
                <w:numId w:val="62"/>
              </w:numPr>
              <w:spacing w:after="0" w:line="240" w:lineRule="auto"/>
              <w:ind w:left="454"/>
              <w:jc w:val="left"/>
              <w:rPr>
                <w:i/>
                <w:iCs/>
                <w:color w:val="808080" w:themeColor="background1" w:themeShade="80"/>
                <w:sz w:val="18"/>
                <w:szCs w:val="18"/>
              </w:rPr>
            </w:pPr>
            <w:r w:rsidRPr="00646D50">
              <w:rPr>
                <w:i/>
                <w:iCs/>
                <w:color w:val="808080" w:themeColor="background1" w:themeShade="80"/>
                <w:sz w:val="18"/>
                <w:szCs w:val="18"/>
              </w:rPr>
              <w:t>podklady do verejného obstarávania (opis predmetu zákazky, súťažné podmienky a prípadne dialógu informatívny dokument</w:t>
            </w:r>
          </w:p>
        </w:tc>
      </w:tr>
    </w:tbl>
    <w:p w14:paraId="28F5D4A0" w14:textId="43A81F12" w:rsidR="00393650" w:rsidRDefault="00453A12">
      <w:pPr>
        <w:keepNext/>
        <w:spacing w:line="240" w:lineRule="auto"/>
        <w:rPr>
          <w:sz w:val="20"/>
          <w:szCs w:val="20"/>
        </w:rPr>
      </w:pPr>
      <w:r w:rsidRPr="00FF3468">
        <w:rPr>
          <w:sz w:val="20"/>
          <w:szCs w:val="20"/>
        </w:rPr>
        <w:t xml:space="preserve">*v prípade, že </w:t>
      </w:r>
      <w:r>
        <w:rPr>
          <w:sz w:val="20"/>
          <w:szCs w:val="20"/>
        </w:rPr>
        <w:t xml:space="preserve">je predmetom obstarávania aj prevádzka projektu (napr. pri IT projektoch) </w:t>
      </w:r>
      <w:r w:rsidR="00393650">
        <w:rPr>
          <w:sz w:val="20"/>
          <w:szCs w:val="20"/>
        </w:rPr>
        <w:t>I</w:t>
      </w:r>
      <w:r>
        <w:rPr>
          <w:sz w:val="20"/>
          <w:szCs w:val="20"/>
        </w:rPr>
        <w:t>nvestor uvádza celkové ná</w:t>
      </w:r>
      <w:r w:rsidR="00393650">
        <w:rPr>
          <w:sz w:val="20"/>
          <w:szCs w:val="20"/>
        </w:rPr>
        <w:t>klady vlastníctva</w:t>
      </w:r>
      <w:r>
        <w:rPr>
          <w:sz w:val="20"/>
          <w:szCs w:val="20"/>
        </w:rPr>
        <w:t xml:space="preserve"> (z angl.: TCO – </w:t>
      </w:r>
      <w:r w:rsidRPr="00067537">
        <w:rPr>
          <w:sz w:val="20"/>
          <w:szCs w:val="20"/>
        </w:rPr>
        <w:t>total cost of ownership</w:t>
      </w:r>
      <w:r>
        <w:rPr>
          <w:sz w:val="20"/>
          <w:szCs w:val="20"/>
        </w:rPr>
        <w:t>)</w:t>
      </w:r>
    </w:p>
    <w:p w14:paraId="6B8CF94F" w14:textId="77777777" w:rsidR="00393650" w:rsidRDefault="00393650">
      <w:pPr>
        <w:spacing w:after="160" w:line="259" w:lineRule="auto"/>
        <w:jc w:val="left"/>
        <w:rPr>
          <w:sz w:val="20"/>
          <w:szCs w:val="20"/>
        </w:rPr>
      </w:pPr>
      <w:r>
        <w:rPr>
          <w:sz w:val="20"/>
          <w:szCs w:val="20"/>
        </w:rPr>
        <w:br w:type="page"/>
      </w:r>
    </w:p>
    <w:p w14:paraId="317BD9FD" w14:textId="77441146" w:rsidR="00393650" w:rsidRDefault="00393650" w:rsidP="009573AC">
      <w:pPr>
        <w:pStyle w:val="Popis"/>
        <w:keepNext w:val="0"/>
        <w:spacing w:after="160" w:line="259" w:lineRule="auto"/>
        <w:jc w:val="left"/>
      </w:pPr>
      <w:r w:rsidRPr="009573AC">
        <w:rPr>
          <w:sz w:val="22"/>
        </w:rPr>
        <w:lastRenderedPageBreak/>
        <w:t xml:space="preserve">Príloha 7 Formulár </w:t>
      </w:r>
      <w:r>
        <w:rPr>
          <w:sz w:val="22"/>
        </w:rPr>
        <w:t xml:space="preserve">na </w:t>
      </w:r>
      <w:r w:rsidRPr="00393650">
        <w:rPr>
          <w:sz w:val="22"/>
        </w:rPr>
        <w:t>aktualizáciu</w:t>
      </w:r>
      <w:r w:rsidRPr="009573AC">
        <w:rPr>
          <w:sz w:val="22"/>
        </w:rPr>
        <w:t xml:space="preserve"> štúdie </w:t>
      </w:r>
      <w:r>
        <w:rPr>
          <w:sz w:val="22"/>
        </w:rPr>
        <w:t xml:space="preserve">uskutočniteľnosti </w:t>
      </w:r>
      <w:r w:rsidRPr="009573AC">
        <w:rPr>
          <w:sz w:val="22"/>
        </w:rPr>
        <w:t>pred vytvorením záväzku (podpisom zmluvy)</w:t>
      </w:r>
    </w:p>
    <w:tbl>
      <w:tblPr>
        <w:tblStyle w:val="Mriekatabuky"/>
        <w:tblW w:w="0" w:type="auto"/>
        <w:tblLook w:val="04A0" w:firstRow="1" w:lastRow="0" w:firstColumn="1" w:lastColumn="0" w:noHBand="0" w:noVBand="1"/>
      </w:tblPr>
      <w:tblGrid>
        <w:gridCol w:w="5185"/>
        <w:gridCol w:w="1317"/>
        <w:gridCol w:w="1280"/>
        <w:gridCol w:w="1280"/>
      </w:tblGrid>
      <w:tr w:rsidR="00393650" w:rsidRPr="00415A0B" w14:paraId="2E448344" w14:textId="77777777" w:rsidTr="00595661">
        <w:trPr>
          <w:trHeight w:val="330"/>
        </w:trPr>
        <w:tc>
          <w:tcPr>
            <w:tcW w:w="9062" w:type="dxa"/>
            <w:gridSpan w:val="4"/>
            <w:hideMark/>
          </w:tcPr>
          <w:p w14:paraId="73521034" w14:textId="77777777" w:rsidR="00393650" w:rsidRPr="00415A0B" w:rsidRDefault="00393650" w:rsidP="00595661">
            <w:pPr>
              <w:rPr>
                <w:b/>
                <w:bCs/>
              </w:rPr>
            </w:pPr>
            <w:r w:rsidRPr="00415A0B">
              <w:rPr>
                <w:b/>
                <w:bCs/>
              </w:rPr>
              <w:t>Názov projektu</w:t>
            </w:r>
          </w:p>
        </w:tc>
      </w:tr>
      <w:tr w:rsidR="00393650" w:rsidRPr="00415A0B" w14:paraId="03A6615D" w14:textId="77777777" w:rsidTr="00595661">
        <w:trPr>
          <w:trHeight w:val="555"/>
        </w:trPr>
        <w:tc>
          <w:tcPr>
            <w:tcW w:w="9062" w:type="dxa"/>
            <w:gridSpan w:val="4"/>
            <w:hideMark/>
          </w:tcPr>
          <w:p w14:paraId="156CA298" w14:textId="77777777" w:rsidR="00393650" w:rsidRPr="00415A0B" w:rsidRDefault="00393650" w:rsidP="00595661">
            <w:pPr>
              <w:rPr>
                <w:i/>
                <w:iCs/>
              </w:rPr>
            </w:pPr>
            <w:r w:rsidRPr="00415A0B">
              <w:rPr>
                <w:i/>
                <w:iCs/>
                <w:color w:val="808080" w:themeColor="background1" w:themeShade="80"/>
                <w:sz w:val="18"/>
                <w:szCs w:val="18"/>
              </w:rPr>
              <w:t xml:space="preserve">Investor uvedie názov projektu podľa zverenej štúdie uskutočniteľnosti. Ak investor </w:t>
            </w:r>
            <w:r>
              <w:rPr>
                <w:i/>
                <w:iCs/>
                <w:color w:val="808080" w:themeColor="background1" w:themeShade="80"/>
                <w:sz w:val="18"/>
                <w:szCs w:val="18"/>
              </w:rPr>
              <w:t>podpisuje zmluvu</w:t>
            </w:r>
            <w:r w:rsidRPr="00415A0B">
              <w:rPr>
                <w:i/>
                <w:iCs/>
                <w:color w:val="808080" w:themeColor="background1" w:themeShade="80"/>
                <w:sz w:val="18"/>
                <w:szCs w:val="18"/>
              </w:rPr>
              <w:t xml:space="preserve"> iba </w:t>
            </w:r>
            <w:r>
              <w:rPr>
                <w:i/>
                <w:iCs/>
                <w:color w:val="808080" w:themeColor="background1" w:themeShade="80"/>
                <w:sz w:val="18"/>
                <w:szCs w:val="18"/>
              </w:rPr>
              <w:t xml:space="preserve">na </w:t>
            </w:r>
            <w:r w:rsidRPr="00415A0B">
              <w:rPr>
                <w:i/>
                <w:iCs/>
                <w:color w:val="808080" w:themeColor="background1" w:themeShade="80"/>
                <w:sz w:val="18"/>
                <w:szCs w:val="18"/>
              </w:rPr>
              <w:t xml:space="preserve">časť projektu z pôvodnej </w:t>
            </w:r>
            <w:r>
              <w:rPr>
                <w:i/>
                <w:iCs/>
                <w:color w:val="808080" w:themeColor="background1" w:themeShade="80"/>
                <w:sz w:val="18"/>
                <w:szCs w:val="18"/>
              </w:rPr>
              <w:t>štúdie,</w:t>
            </w:r>
            <w:r w:rsidRPr="00415A0B">
              <w:rPr>
                <w:i/>
                <w:iCs/>
                <w:color w:val="808080" w:themeColor="background1" w:themeShade="80"/>
                <w:sz w:val="18"/>
                <w:szCs w:val="18"/>
              </w:rPr>
              <w:t xml:space="preserve"> uvedie názov pôvodnej ŠU a do</w:t>
            </w:r>
            <w:r>
              <w:rPr>
                <w:i/>
                <w:iCs/>
                <w:color w:val="808080" w:themeColor="background1" w:themeShade="80"/>
                <w:sz w:val="18"/>
                <w:szCs w:val="18"/>
              </w:rPr>
              <w:t>p</w:t>
            </w:r>
            <w:r w:rsidRPr="00415A0B">
              <w:rPr>
                <w:i/>
                <w:iCs/>
                <w:color w:val="808080" w:themeColor="background1" w:themeShade="80"/>
                <w:sz w:val="18"/>
                <w:szCs w:val="18"/>
              </w:rPr>
              <w:t xml:space="preserve">lní názov </w:t>
            </w:r>
            <w:r>
              <w:rPr>
                <w:i/>
                <w:iCs/>
                <w:color w:val="808080" w:themeColor="background1" w:themeShade="80"/>
                <w:sz w:val="18"/>
                <w:szCs w:val="18"/>
              </w:rPr>
              <w:t xml:space="preserve">predmetnej </w:t>
            </w:r>
            <w:r w:rsidRPr="00415A0B">
              <w:rPr>
                <w:i/>
                <w:iCs/>
                <w:color w:val="808080" w:themeColor="background1" w:themeShade="80"/>
                <w:sz w:val="18"/>
                <w:szCs w:val="18"/>
              </w:rPr>
              <w:t xml:space="preserve">časti, ktorú plánuje </w:t>
            </w:r>
            <w:r>
              <w:rPr>
                <w:i/>
                <w:iCs/>
                <w:color w:val="808080" w:themeColor="background1" w:themeShade="80"/>
                <w:sz w:val="18"/>
                <w:szCs w:val="18"/>
              </w:rPr>
              <w:t>predložiť do VO</w:t>
            </w:r>
          </w:p>
        </w:tc>
      </w:tr>
      <w:tr w:rsidR="00393650" w:rsidRPr="00415A0B" w14:paraId="773E5E27" w14:textId="77777777" w:rsidTr="00595661">
        <w:trPr>
          <w:trHeight w:val="330"/>
        </w:trPr>
        <w:tc>
          <w:tcPr>
            <w:tcW w:w="9062" w:type="dxa"/>
            <w:gridSpan w:val="4"/>
            <w:hideMark/>
          </w:tcPr>
          <w:p w14:paraId="20F1CC7B" w14:textId="77777777" w:rsidR="00393650" w:rsidRPr="00415A0B" w:rsidRDefault="00393650" w:rsidP="00595661">
            <w:pPr>
              <w:rPr>
                <w:b/>
                <w:bCs/>
              </w:rPr>
            </w:pPr>
            <w:r w:rsidRPr="00415A0B">
              <w:rPr>
                <w:b/>
                <w:bCs/>
              </w:rPr>
              <w:t>Stručný opis projektu</w:t>
            </w:r>
          </w:p>
        </w:tc>
      </w:tr>
      <w:tr w:rsidR="00393650" w:rsidRPr="00415A0B" w14:paraId="06A13F75" w14:textId="77777777" w:rsidTr="00595661">
        <w:trPr>
          <w:trHeight w:val="300"/>
        </w:trPr>
        <w:tc>
          <w:tcPr>
            <w:tcW w:w="9062" w:type="dxa"/>
            <w:gridSpan w:val="4"/>
            <w:hideMark/>
          </w:tcPr>
          <w:p w14:paraId="2EAEE558" w14:textId="77777777" w:rsidR="00393650" w:rsidRPr="00415A0B" w:rsidRDefault="00393650" w:rsidP="00595661">
            <w:pPr>
              <w:rPr>
                <w:i/>
                <w:iCs/>
              </w:rPr>
            </w:pPr>
            <w:r w:rsidRPr="00415A0B">
              <w:rPr>
                <w:i/>
                <w:iCs/>
                <w:color w:val="808080" w:themeColor="background1" w:themeShade="80"/>
                <w:sz w:val="18"/>
                <w:szCs w:val="18"/>
              </w:rPr>
              <w:t>Investor uvedie stručný opis predkladaného projektu</w:t>
            </w:r>
            <w:r w:rsidRPr="00415A0B">
              <w:rPr>
                <w:i/>
                <w:iCs/>
              </w:rPr>
              <w:t xml:space="preserve"> </w:t>
            </w:r>
          </w:p>
        </w:tc>
      </w:tr>
      <w:tr w:rsidR="00393650" w:rsidRPr="00415A0B" w14:paraId="693C99FC" w14:textId="77777777" w:rsidTr="00595661">
        <w:trPr>
          <w:trHeight w:val="330"/>
        </w:trPr>
        <w:tc>
          <w:tcPr>
            <w:tcW w:w="5185" w:type="dxa"/>
            <w:hideMark/>
          </w:tcPr>
          <w:p w14:paraId="730C20DA" w14:textId="77777777" w:rsidR="00393650" w:rsidRPr="00415A0B" w:rsidRDefault="00393650" w:rsidP="00595661">
            <w:pPr>
              <w:rPr>
                <w:b/>
                <w:bCs/>
              </w:rPr>
            </w:pPr>
            <w:r w:rsidRPr="00415A0B">
              <w:rPr>
                <w:b/>
                <w:bCs/>
              </w:rPr>
              <w:t xml:space="preserve">Investičné náklady projektu </w:t>
            </w:r>
            <w:r>
              <w:rPr>
                <w:b/>
                <w:bCs/>
              </w:rPr>
              <w:t>/ TCO*</w:t>
            </w:r>
          </w:p>
        </w:tc>
        <w:tc>
          <w:tcPr>
            <w:tcW w:w="1317" w:type="dxa"/>
            <w:noWrap/>
            <w:vAlign w:val="center"/>
            <w:hideMark/>
          </w:tcPr>
          <w:p w14:paraId="335531A0" w14:textId="77777777" w:rsidR="00393650" w:rsidRPr="003A23EC" w:rsidRDefault="00393650" w:rsidP="00595661">
            <w:pPr>
              <w:rPr>
                <w:b/>
                <w:bCs/>
                <w:sz w:val="16"/>
                <w:szCs w:val="16"/>
              </w:rPr>
            </w:pPr>
            <w:r w:rsidRPr="003A23EC">
              <w:rPr>
                <w:b/>
                <w:bCs/>
                <w:sz w:val="16"/>
                <w:szCs w:val="16"/>
              </w:rPr>
              <w:t xml:space="preserve">Pôvodná </w:t>
            </w:r>
            <w:r>
              <w:rPr>
                <w:b/>
                <w:bCs/>
                <w:sz w:val="16"/>
                <w:szCs w:val="16"/>
              </w:rPr>
              <w:t>štúdia uskutočniteľnosti</w:t>
            </w:r>
          </w:p>
        </w:tc>
        <w:tc>
          <w:tcPr>
            <w:tcW w:w="1280" w:type="dxa"/>
            <w:noWrap/>
            <w:vAlign w:val="center"/>
            <w:hideMark/>
          </w:tcPr>
          <w:p w14:paraId="665D864A" w14:textId="77777777" w:rsidR="00393650" w:rsidRPr="003A23EC" w:rsidRDefault="00393650" w:rsidP="00595661">
            <w:pPr>
              <w:rPr>
                <w:b/>
                <w:bCs/>
                <w:sz w:val="16"/>
                <w:szCs w:val="16"/>
              </w:rPr>
            </w:pPr>
            <w:r w:rsidRPr="003A23EC">
              <w:rPr>
                <w:b/>
                <w:bCs/>
                <w:sz w:val="16"/>
                <w:szCs w:val="16"/>
              </w:rPr>
              <w:t>Aktualizácia</w:t>
            </w:r>
          </w:p>
          <w:p w14:paraId="2CF5A372" w14:textId="77777777" w:rsidR="00393650" w:rsidRPr="003A23EC" w:rsidRDefault="00393650" w:rsidP="00595661">
            <w:pPr>
              <w:rPr>
                <w:b/>
                <w:bCs/>
                <w:sz w:val="16"/>
                <w:szCs w:val="16"/>
              </w:rPr>
            </w:pPr>
            <w:r>
              <w:rPr>
                <w:b/>
                <w:bCs/>
                <w:sz w:val="16"/>
                <w:szCs w:val="16"/>
              </w:rPr>
              <w:t>p</w:t>
            </w:r>
            <w:r w:rsidRPr="003A23EC">
              <w:rPr>
                <w:b/>
                <w:bCs/>
                <w:sz w:val="16"/>
                <w:szCs w:val="16"/>
              </w:rPr>
              <w:t>red VO</w:t>
            </w:r>
          </w:p>
        </w:tc>
        <w:tc>
          <w:tcPr>
            <w:tcW w:w="1280" w:type="dxa"/>
            <w:noWrap/>
            <w:vAlign w:val="center"/>
            <w:hideMark/>
          </w:tcPr>
          <w:p w14:paraId="668C08BB" w14:textId="77777777" w:rsidR="00393650" w:rsidRPr="003A23EC" w:rsidRDefault="00393650" w:rsidP="00595661">
            <w:pPr>
              <w:rPr>
                <w:b/>
                <w:bCs/>
                <w:sz w:val="16"/>
                <w:szCs w:val="16"/>
              </w:rPr>
            </w:pPr>
            <w:r w:rsidRPr="003A23EC">
              <w:rPr>
                <w:b/>
                <w:bCs/>
                <w:sz w:val="16"/>
                <w:szCs w:val="16"/>
              </w:rPr>
              <w:t>Aktualizácia</w:t>
            </w:r>
          </w:p>
          <w:p w14:paraId="2537D03E" w14:textId="77777777" w:rsidR="00393650" w:rsidRPr="003A23EC" w:rsidRDefault="00393650" w:rsidP="00595661">
            <w:pPr>
              <w:rPr>
                <w:b/>
                <w:bCs/>
                <w:sz w:val="16"/>
                <w:szCs w:val="16"/>
              </w:rPr>
            </w:pPr>
            <w:r>
              <w:rPr>
                <w:b/>
                <w:bCs/>
                <w:sz w:val="16"/>
                <w:szCs w:val="16"/>
              </w:rPr>
              <w:t>p</w:t>
            </w:r>
            <w:r w:rsidRPr="003A23EC">
              <w:rPr>
                <w:b/>
                <w:bCs/>
                <w:sz w:val="16"/>
                <w:szCs w:val="16"/>
              </w:rPr>
              <w:t>red záväzkom</w:t>
            </w:r>
          </w:p>
        </w:tc>
      </w:tr>
      <w:tr w:rsidR="00393650" w:rsidRPr="00415A0B" w14:paraId="069D3C0A" w14:textId="77777777" w:rsidTr="00595661">
        <w:trPr>
          <w:trHeight w:val="300"/>
        </w:trPr>
        <w:tc>
          <w:tcPr>
            <w:tcW w:w="5185" w:type="dxa"/>
            <w:hideMark/>
          </w:tcPr>
          <w:p w14:paraId="54EC52FB" w14:textId="77777777" w:rsidR="00393650" w:rsidRPr="00415A0B" w:rsidRDefault="00393650" w:rsidP="00595661">
            <w:pPr>
              <w:rPr>
                <w:i/>
                <w:iCs/>
              </w:rPr>
            </w:pPr>
            <w:r w:rsidRPr="00415A0B">
              <w:rPr>
                <w:i/>
                <w:iCs/>
              </w:rPr>
              <w:t> </w:t>
            </w:r>
            <w:r w:rsidRPr="00415A0B">
              <w:rPr>
                <w:i/>
                <w:iCs/>
                <w:color w:val="808080" w:themeColor="background1" w:themeShade="80"/>
                <w:sz w:val="18"/>
                <w:szCs w:val="18"/>
              </w:rPr>
              <w:t xml:space="preserve">Investor uvedie </w:t>
            </w:r>
            <w:r w:rsidRPr="00646D50">
              <w:rPr>
                <w:i/>
                <w:iCs/>
                <w:color w:val="808080" w:themeColor="background1" w:themeShade="80"/>
                <w:sz w:val="18"/>
                <w:szCs w:val="18"/>
              </w:rPr>
              <w:t>investičných nákladov projektu (bez rezervy)</w:t>
            </w:r>
          </w:p>
        </w:tc>
        <w:tc>
          <w:tcPr>
            <w:tcW w:w="1317" w:type="dxa"/>
            <w:noWrap/>
            <w:hideMark/>
          </w:tcPr>
          <w:p w14:paraId="09383962" w14:textId="77777777" w:rsidR="00393650" w:rsidRPr="00415A0B" w:rsidRDefault="00393650" w:rsidP="00595661">
            <w:r w:rsidRPr="00415A0B">
              <w:t> </w:t>
            </w:r>
          </w:p>
        </w:tc>
        <w:tc>
          <w:tcPr>
            <w:tcW w:w="1280" w:type="dxa"/>
            <w:noWrap/>
            <w:hideMark/>
          </w:tcPr>
          <w:p w14:paraId="4CFE220B" w14:textId="77777777" w:rsidR="00393650" w:rsidRPr="00415A0B" w:rsidRDefault="00393650" w:rsidP="00595661">
            <w:r w:rsidRPr="00415A0B">
              <w:t> </w:t>
            </w:r>
          </w:p>
        </w:tc>
        <w:tc>
          <w:tcPr>
            <w:tcW w:w="1280" w:type="dxa"/>
            <w:noWrap/>
            <w:hideMark/>
          </w:tcPr>
          <w:p w14:paraId="4C6CD7BD" w14:textId="77777777" w:rsidR="00393650" w:rsidRPr="00415A0B" w:rsidRDefault="00393650" w:rsidP="00595661">
            <w:r w:rsidRPr="00415A0B">
              <w:t> </w:t>
            </w:r>
          </w:p>
        </w:tc>
      </w:tr>
      <w:tr w:rsidR="00393650" w:rsidRPr="00415A0B" w14:paraId="1585E71B" w14:textId="77777777" w:rsidTr="00595661">
        <w:trPr>
          <w:trHeight w:val="330"/>
        </w:trPr>
        <w:tc>
          <w:tcPr>
            <w:tcW w:w="9062" w:type="dxa"/>
            <w:gridSpan w:val="4"/>
            <w:hideMark/>
          </w:tcPr>
          <w:p w14:paraId="5914FEF5" w14:textId="77777777" w:rsidR="00393650" w:rsidRPr="00415A0B" w:rsidRDefault="00393650" w:rsidP="00595661">
            <w:pPr>
              <w:rPr>
                <w:b/>
                <w:bCs/>
              </w:rPr>
            </w:pPr>
            <w:r w:rsidRPr="00415A0B">
              <w:rPr>
                <w:b/>
                <w:bCs/>
              </w:rPr>
              <w:t>Odôvodnenie zmeny nákladov</w:t>
            </w:r>
          </w:p>
        </w:tc>
      </w:tr>
      <w:tr w:rsidR="00393650" w:rsidRPr="00415A0B" w14:paraId="085F76BF" w14:textId="77777777" w:rsidTr="00595661">
        <w:trPr>
          <w:trHeight w:val="344"/>
        </w:trPr>
        <w:tc>
          <w:tcPr>
            <w:tcW w:w="9062" w:type="dxa"/>
            <w:gridSpan w:val="4"/>
            <w:hideMark/>
          </w:tcPr>
          <w:p w14:paraId="4CFFB214" w14:textId="77777777" w:rsidR="00393650" w:rsidRPr="00415A0B" w:rsidRDefault="00393650" w:rsidP="00595661">
            <w:pPr>
              <w:rPr>
                <w:i/>
                <w:iCs/>
                <w:color w:val="808080" w:themeColor="background1" w:themeShade="80"/>
                <w:sz w:val="18"/>
                <w:szCs w:val="18"/>
              </w:rPr>
            </w:pPr>
            <w:r w:rsidRPr="00415A0B">
              <w:rPr>
                <w:i/>
                <w:iCs/>
                <w:color w:val="808080" w:themeColor="background1" w:themeShade="80"/>
                <w:sz w:val="18"/>
                <w:szCs w:val="18"/>
              </w:rPr>
              <w:t>Investor zdôv</w:t>
            </w:r>
            <w:r>
              <w:rPr>
                <w:i/>
                <w:iCs/>
                <w:color w:val="808080" w:themeColor="background1" w:themeShade="80"/>
                <w:sz w:val="18"/>
                <w:szCs w:val="18"/>
              </w:rPr>
              <w:t>odní rozdiel vo výške nákladov (napr. zmenu technického riešenia, nárast cien komodít a pod)</w:t>
            </w:r>
          </w:p>
        </w:tc>
      </w:tr>
      <w:tr w:rsidR="00393650" w:rsidRPr="00415A0B" w14:paraId="02A0CF50" w14:textId="77777777" w:rsidTr="00595661">
        <w:trPr>
          <w:trHeight w:val="330"/>
        </w:trPr>
        <w:tc>
          <w:tcPr>
            <w:tcW w:w="5185" w:type="dxa"/>
            <w:hideMark/>
          </w:tcPr>
          <w:p w14:paraId="515B29D2" w14:textId="77777777" w:rsidR="00393650" w:rsidRPr="00415A0B" w:rsidRDefault="00393650" w:rsidP="00595661">
            <w:pPr>
              <w:rPr>
                <w:b/>
                <w:bCs/>
              </w:rPr>
            </w:pPr>
            <w:r w:rsidRPr="00415A0B">
              <w:rPr>
                <w:b/>
                <w:bCs/>
              </w:rPr>
              <w:t xml:space="preserve">Ekonomické prínosy projektu </w:t>
            </w:r>
          </w:p>
        </w:tc>
        <w:tc>
          <w:tcPr>
            <w:tcW w:w="1317" w:type="dxa"/>
            <w:noWrap/>
            <w:vAlign w:val="center"/>
            <w:hideMark/>
          </w:tcPr>
          <w:p w14:paraId="31602C1D" w14:textId="77777777" w:rsidR="00393650" w:rsidRPr="00415A0B" w:rsidRDefault="00393650" w:rsidP="00595661">
            <w:pPr>
              <w:rPr>
                <w:b/>
                <w:bCs/>
              </w:rPr>
            </w:pPr>
            <w:r w:rsidRPr="003A23EC">
              <w:rPr>
                <w:b/>
                <w:bCs/>
                <w:sz w:val="16"/>
                <w:szCs w:val="16"/>
              </w:rPr>
              <w:t xml:space="preserve">Pôvodná </w:t>
            </w:r>
            <w:r>
              <w:rPr>
                <w:b/>
                <w:bCs/>
                <w:sz w:val="16"/>
                <w:szCs w:val="16"/>
              </w:rPr>
              <w:t>štúdia uskutočniteľnosti</w:t>
            </w:r>
          </w:p>
        </w:tc>
        <w:tc>
          <w:tcPr>
            <w:tcW w:w="1280" w:type="dxa"/>
            <w:noWrap/>
            <w:vAlign w:val="center"/>
            <w:hideMark/>
          </w:tcPr>
          <w:p w14:paraId="518931AC" w14:textId="77777777" w:rsidR="00393650" w:rsidRPr="003A23EC" w:rsidRDefault="00393650" w:rsidP="00595661">
            <w:pPr>
              <w:rPr>
                <w:b/>
                <w:bCs/>
                <w:sz w:val="16"/>
                <w:szCs w:val="16"/>
              </w:rPr>
            </w:pPr>
            <w:r w:rsidRPr="003A23EC">
              <w:rPr>
                <w:b/>
                <w:bCs/>
                <w:sz w:val="16"/>
                <w:szCs w:val="16"/>
              </w:rPr>
              <w:t>Aktualizácia</w:t>
            </w:r>
          </w:p>
          <w:p w14:paraId="174364DC" w14:textId="77777777" w:rsidR="00393650" w:rsidRPr="00415A0B" w:rsidRDefault="00393650" w:rsidP="00595661">
            <w:pPr>
              <w:rPr>
                <w:b/>
                <w:bCs/>
              </w:rPr>
            </w:pPr>
            <w:r>
              <w:rPr>
                <w:b/>
                <w:bCs/>
                <w:sz w:val="16"/>
                <w:szCs w:val="16"/>
              </w:rPr>
              <w:t>p</w:t>
            </w:r>
            <w:r w:rsidRPr="003A23EC">
              <w:rPr>
                <w:b/>
                <w:bCs/>
                <w:sz w:val="16"/>
                <w:szCs w:val="16"/>
              </w:rPr>
              <w:t>red VO</w:t>
            </w:r>
          </w:p>
        </w:tc>
        <w:tc>
          <w:tcPr>
            <w:tcW w:w="1280" w:type="dxa"/>
            <w:noWrap/>
            <w:vAlign w:val="center"/>
            <w:hideMark/>
          </w:tcPr>
          <w:p w14:paraId="0F810971" w14:textId="77777777" w:rsidR="00393650" w:rsidRPr="003A23EC" w:rsidRDefault="00393650" w:rsidP="00595661">
            <w:pPr>
              <w:rPr>
                <w:b/>
                <w:bCs/>
                <w:sz w:val="16"/>
                <w:szCs w:val="16"/>
              </w:rPr>
            </w:pPr>
            <w:r w:rsidRPr="003A23EC">
              <w:rPr>
                <w:b/>
                <w:bCs/>
                <w:sz w:val="16"/>
                <w:szCs w:val="16"/>
              </w:rPr>
              <w:t>Aktualizácia</w:t>
            </w:r>
          </w:p>
          <w:p w14:paraId="6453EC65" w14:textId="77777777" w:rsidR="00393650" w:rsidRPr="00415A0B" w:rsidRDefault="00393650" w:rsidP="00595661">
            <w:pPr>
              <w:rPr>
                <w:b/>
                <w:bCs/>
              </w:rPr>
            </w:pPr>
            <w:r>
              <w:rPr>
                <w:b/>
                <w:bCs/>
                <w:sz w:val="16"/>
                <w:szCs w:val="16"/>
              </w:rPr>
              <w:t>p</w:t>
            </w:r>
            <w:r w:rsidRPr="003A23EC">
              <w:rPr>
                <w:b/>
                <w:bCs/>
                <w:sz w:val="16"/>
                <w:szCs w:val="16"/>
              </w:rPr>
              <w:t>red záväzkom</w:t>
            </w:r>
          </w:p>
        </w:tc>
      </w:tr>
      <w:tr w:rsidR="00393650" w:rsidRPr="00415A0B" w14:paraId="7FFB1AE6" w14:textId="77777777" w:rsidTr="00595661">
        <w:trPr>
          <w:trHeight w:val="300"/>
        </w:trPr>
        <w:tc>
          <w:tcPr>
            <w:tcW w:w="5185" w:type="dxa"/>
            <w:hideMark/>
          </w:tcPr>
          <w:p w14:paraId="6E3DE3C3" w14:textId="77777777" w:rsidR="00393650" w:rsidRPr="00646D50" w:rsidRDefault="00393650" w:rsidP="00595661">
            <w:pPr>
              <w:rPr>
                <w:i/>
                <w:iCs/>
                <w:sz w:val="18"/>
                <w:szCs w:val="18"/>
              </w:rPr>
            </w:pPr>
            <w:r w:rsidRPr="00646D50">
              <w:rPr>
                <w:i/>
                <w:iCs/>
                <w:color w:val="808080" w:themeColor="background1" w:themeShade="80"/>
                <w:sz w:val="18"/>
                <w:szCs w:val="18"/>
              </w:rPr>
              <w:t xml:space="preserve">Investor uvedie </w:t>
            </w:r>
            <w:r>
              <w:rPr>
                <w:i/>
                <w:iCs/>
                <w:color w:val="808080" w:themeColor="background1" w:themeShade="80"/>
                <w:sz w:val="18"/>
                <w:szCs w:val="18"/>
              </w:rPr>
              <w:t>ekonomické prínosy</w:t>
            </w:r>
            <w:r w:rsidRPr="00646D50">
              <w:rPr>
                <w:i/>
                <w:iCs/>
                <w:color w:val="808080" w:themeColor="background1" w:themeShade="80"/>
                <w:sz w:val="18"/>
                <w:szCs w:val="18"/>
              </w:rPr>
              <w:t xml:space="preserve"> projektu (</w:t>
            </w:r>
            <w:r>
              <w:rPr>
                <w:i/>
                <w:iCs/>
                <w:color w:val="808080" w:themeColor="background1" w:themeShade="80"/>
                <w:sz w:val="18"/>
                <w:szCs w:val="18"/>
              </w:rPr>
              <w:t>diskontované</w:t>
            </w:r>
            <w:r w:rsidRPr="00646D50">
              <w:rPr>
                <w:i/>
                <w:iCs/>
                <w:color w:val="808080" w:themeColor="background1" w:themeShade="80"/>
                <w:sz w:val="18"/>
                <w:szCs w:val="18"/>
              </w:rPr>
              <w:t>)</w:t>
            </w:r>
          </w:p>
        </w:tc>
        <w:tc>
          <w:tcPr>
            <w:tcW w:w="1317" w:type="dxa"/>
            <w:noWrap/>
            <w:hideMark/>
          </w:tcPr>
          <w:p w14:paraId="5757966B" w14:textId="77777777" w:rsidR="00393650" w:rsidRPr="00415A0B" w:rsidRDefault="00393650" w:rsidP="00595661">
            <w:r w:rsidRPr="00415A0B">
              <w:t> </w:t>
            </w:r>
          </w:p>
        </w:tc>
        <w:tc>
          <w:tcPr>
            <w:tcW w:w="1280" w:type="dxa"/>
            <w:noWrap/>
            <w:hideMark/>
          </w:tcPr>
          <w:p w14:paraId="56326AE6" w14:textId="77777777" w:rsidR="00393650" w:rsidRPr="00415A0B" w:rsidRDefault="00393650" w:rsidP="00595661">
            <w:r w:rsidRPr="00415A0B">
              <w:t> </w:t>
            </w:r>
          </w:p>
        </w:tc>
        <w:tc>
          <w:tcPr>
            <w:tcW w:w="1280" w:type="dxa"/>
            <w:noWrap/>
            <w:hideMark/>
          </w:tcPr>
          <w:p w14:paraId="673BE633" w14:textId="77777777" w:rsidR="00393650" w:rsidRPr="00415A0B" w:rsidRDefault="00393650" w:rsidP="00595661">
            <w:r w:rsidRPr="00415A0B">
              <w:t> </w:t>
            </w:r>
          </w:p>
        </w:tc>
      </w:tr>
      <w:tr w:rsidR="00393650" w:rsidRPr="00415A0B" w14:paraId="4B90E777" w14:textId="77777777" w:rsidTr="00595661">
        <w:trPr>
          <w:trHeight w:val="330"/>
        </w:trPr>
        <w:tc>
          <w:tcPr>
            <w:tcW w:w="9062" w:type="dxa"/>
            <w:gridSpan w:val="4"/>
            <w:hideMark/>
          </w:tcPr>
          <w:p w14:paraId="5F43EABB" w14:textId="77777777" w:rsidR="00393650" w:rsidRPr="00646D50" w:rsidRDefault="00393650" w:rsidP="00595661">
            <w:pPr>
              <w:rPr>
                <w:b/>
                <w:bCs/>
              </w:rPr>
            </w:pPr>
            <w:r w:rsidRPr="00646D50">
              <w:rPr>
                <w:b/>
                <w:bCs/>
              </w:rPr>
              <w:t>Odôvodnenie zmeny prínosov</w:t>
            </w:r>
          </w:p>
        </w:tc>
      </w:tr>
      <w:tr w:rsidR="00393650" w:rsidRPr="00415A0B" w14:paraId="2EE66F07" w14:textId="77777777" w:rsidTr="00595661">
        <w:trPr>
          <w:trHeight w:val="831"/>
        </w:trPr>
        <w:tc>
          <w:tcPr>
            <w:tcW w:w="9062" w:type="dxa"/>
            <w:gridSpan w:val="4"/>
            <w:hideMark/>
          </w:tcPr>
          <w:p w14:paraId="110CB0C7" w14:textId="77777777" w:rsidR="00393650" w:rsidRPr="00415A0B" w:rsidRDefault="00393650" w:rsidP="00595661">
            <w:pPr>
              <w:rPr>
                <w:i/>
                <w:iCs/>
              </w:rPr>
            </w:pPr>
            <w:r w:rsidRPr="00646D50">
              <w:rPr>
                <w:i/>
                <w:iCs/>
                <w:color w:val="808080" w:themeColor="background1" w:themeShade="80"/>
                <w:sz w:val="18"/>
                <w:szCs w:val="18"/>
              </w:rPr>
              <w:t>Investor uvedie odhad ekonomických prínosov projektu, ak sa líšia od pôvodnej štúdie uskutočniteľnosti vzhľadom na zmeny počas ďalšieho procesu (napr. počas posudzovania vplyvov na životné prostredie, vypracovanie dokumentácie pre územné rozhodnutie alebo vypracovanie dokumentácie pre stavebné povolenie) a doloží nový odhad prínosov.</w:t>
            </w:r>
          </w:p>
        </w:tc>
      </w:tr>
      <w:tr w:rsidR="00393650" w:rsidRPr="00415A0B" w14:paraId="4B734061" w14:textId="77777777" w:rsidTr="00595661">
        <w:trPr>
          <w:trHeight w:val="390"/>
        </w:trPr>
        <w:tc>
          <w:tcPr>
            <w:tcW w:w="5185" w:type="dxa"/>
            <w:hideMark/>
          </w:tcPr>
          <w:p w14:paraId="593E23E0" w14:textId="77777777" w:rsidR="00393650" w:rsidRPr="00646D50" w:rsidRDefault="00393650" w:rsidP="00595661">
            <w:pPr>
              <w:rPr>
                <w:b/>
                <w:bCs/>
              </w:rPr>
            </w:pPr>
            <w:r w:rsidRPr="00646D50">
              <w:rPr>
                <w:b/>
                <w:bCs/>
              </w:rPr>
              <w:t>Pomer prínosov a nákladov (BCR)</w:t>
            </w:r>
          </w:p>
        </w:tc>
        <w:tc>
          <w:tcPr>
            <w:tcW w:w="1317" w:type="dxa"/>
            <w:noWrap/>
            <w:vAlign w:val="center"/>
            <w:hideMark/>
          </w:tcPr>
          <w:p w14:paraId="3FF33B64" w14:textId="77777777" w:rsidR="00393650" w:rsidRPr="00646D50" w:rsidRDefault="00393650" w:rsidP="00595661">
            <w:pPr>
              <w:rPr>
                <w:b/>
                <w:bCs/>
              </w:rPr>
            </w:pPr>
            <w:r w:rsidRPr="003A23EC">
              <w:rPr>
                <w:b/>
                <w:bCs/>
                <w:sz w:val="16"/>
                <w:szCs w:val="16"/>
              </w:rPr>
              <w:t xml:space="preserve">Pôvodná </w:t>
            </w:r>
            <w:r>
              <w:rPr>
                <w:b/>
                <w:bCs/>
                <w:sz w:val="16"/>
                <w:szCs w:val="16"/>
              </w:rPr>
              <w:t>štúdia uskutočniteľnosti</w:t>
            </w:r>
          </w:p>
        </w:tc>
        <w:tc>
          <w:tcPr>
            <w:tcW w:w="1280" w:type="dxa"/>
            <w:noWrap/>
            <w:vAlign w:val="center"/>
            <w:hideMark/>
          </w:tcPr>
          <w:p w14:paraId="713A3E32" w14:textId="77777777" w:rsidR="00393650" w:rsidRPr="003A23EC" w:rsidRDefault="00393650" w:rsidP="00595661">
            <w:pPr>
              <w:rPr>
                <w:b/>
                <w:bCs/>
                <w:sz w:val="16"/>
                <w:szCs w:val="16"/>
              </w:rPr>
            </w:pPr>
            <w:r w:rsidRPr="003A23EC">
              <w:rPr>
                <w:b/>
                <w:bCs/>
                <w:sz w:val="16"/>
                <w:szCs w:val="16"/>
              </w:rPr>
              <w:t>Aktualizácia</w:t>
            </w:r>
          </w:p>
          <w:p w14:paraId="62710052" w14:textId="77777777" w:rsidR="00393650" w:rsidRPr="00646D50" w:rsidRDefault="00393650" w:rsidP="00595661">
            <w:pPr>
              <w:rPr>
                <w:b/>
                <w:bCs/>
              </w:rPr>
            </w:pPr>
            <w:r>
              <w:rPr>
                <w:b/>
                <w:bCs/>
                <w:sz w:val="16"/>
                <w:szCs w:val="16"/>
              </w:rPr>
              <w:t>p</w:t>
            </w:r>
            <w:r w:rsidRPr="003A23EC">
              <w:rPr>
                <w:b/>
                <w:bCs/>
                <w:sz w:val="16"/>
                <w:szCs w:val="16"/>
              </w:rPr>
              <w:t>red VO</w:t>
            </w:r>
          </w:p>
        </w:tc>
        <w:tc>
          <w:tcPr>
            <w:tcW w:w="1280" w:type="dxa"/>
            <w:noWrap/>
            <w:vAlign w:val="center"/>
            <w:hideMark/>
          </w:tcPr>
          <w:p w14:paraId="242622E1" w14:textId="77777777" w:rsidR="00393650" w:rsidRPr="003A23EC" w:rsidRDefault="00393650" w:rsidP="00595661">
            <w:pPr>
              <w:rPr>
                <w:b/>
                <w:bCs/>
                <w:sz w:val="16"/>
                <w:szCs w:val="16"/>
              </w:rPr>
            </w:pPr>
            <w:r w:rsidRPr="003A23EC">
              <w:rPr>
                <w:b/>
                <w:bCs/>
                <w:sz w:val="16"/>
                <w:szCs w:val="16"/>
              </w:rPr>
              <w:t>Aktualizácia</w:t>
            </w:r>
          </w:p>
          <w:p w14:paraId="6614EA74" w14:textId="77777777" w:rsidR="00393650" w:rsidRPr="00646D50" w:rsidRDefault="00393650" w:rsidP="00595661">
            <w:pPr>
              <w:rPr>
                <w:b/>
                <w:bCs/>
              </w:rPr>
            </w:pPr>
            <w:r>
              <w:rPr>
                <w:b/>
                <w:bCs/>
                <w:sz w:val="16"/>
                <w:szCs w:val="16"/>
              </w:rPr>
              <w:t>p</w:t>
            </w:r>
            <w:r w:rsidRPr="003A23EC">
              <w:rPr>
                <w:b/>
                <w:bCs/>
                <w:sz w:val="16"/>
                <w:szCs w:val="16"/>
              </w:rPr>
              <w:t>red záväzkom</w:t>
            </w:r>
          </w:p>
        </w:tc>
      </w:tr>
      <w:tr w:rsidR="00393650" w:rsidRPr="00415A0B" w14:paraId="40F30762" w14:textId="77777777" w:rsidTr="00595661">
        <w:trPr>
          <w:trHeight w:val="375"/>
        </w:trPr>
        <w:tc>
          <w:tcPr>
            <w:tcW w:w="5185" w:type="dxa"/>
            <w:hideMark/>
          </w:tcPr>
          <w:p w14:paraId="1F7993B8" w14:textId="77777777" w:rsidR="00393650" w:rsidRPr="00415A0B" w:rsidRDefault="00393650" w:rsidP="00595661">
            <w:pPr>
              <w:rPr>
                <w:i/>
                <w:iCs/>
              </w:rPr>
            </w:pPr>
            <w:r w:rsidRPr="00415A0B">
              <w:rPr>
                <w:i/>
                <w:iCs/>
              </w:rPr>
              <w:t> </w:t>
            </w:r>
            <w:r w:rsidRPr="00646D50">
              <w:rPr>
                <w:i/>
                <w:iCs/>
                <w:color w:val="808080" w:themeColor="background1" w:themeShade="80"/>
                <w:sz w:val="18"/>
                <w:szCs w:val="18"/>
              </w:rPr>
              <w:t xml:space="preserve">Investor uvedie </w:t>
            </w:r>
            <w:r>
              <w:rPr>
                <w:i/>
                <w:iCs/>
                <w:color w:val="808080" w:themeColor="background1" w:themeShade="80"/>
                <w:sz w:val="18"/>
                <w:szCs w:val="18"/>
              </w:rPr>
              <w:t>BCR</w:t>
            </w:r>
            <w:r w:rsidRPr="00646D50">
              <w:rPr>
                <w:i/>
                <w:iCs/>
                <w:color w:val="808080" w:themeColor="background1" w:themeShade="80"/>
                <w:sz w:val="18"/>
                <w:szCs w:val="18"/>
              </w:rPr>
              <w:t xml:space="preserve"> projektu</w:t>
            </w:r>
          </w:p>
        </w:tc>
        <w:tc>
          <w:tcPr>
            <w:tcW w:w="1317" w:type="dxa"/>
            <w:hideMark/>
          </w:tcPr>
          <w:p w14:paraId="1624C274" w14:textId="77777777" w:rsidR="00393650" w:rsidRPr="00415A0B" w:rsidRDefault="00393650" w:rsidP="00595661">
            <w:pPr>
              <w:rPr>
                <w:i/>
                <w:iCs/>
              </w:rPr>
            </w:pPr>
            <w:r w:rsidRPr="00415A0B">
              <w:rPr>
                <w:i/>
                <w:iCs/>
              </w:rPr>
              <w:t> </w:t>
            </w:r>
          </w:p>
        </w:tc>
        <w:tc>
          <w:tcPr>
            <w:tcW w:w="1280" w:type="dxa"/>
            <w:hideMark/>
          </w:tcPr>
          <w:p w14:paraId="1B448FFE" w14:textId="77777777" w:rsidR="00393650" w:rsidRPr="00415A0B" w:rsidRDefault="00393650" w:rsidP="00595661">
            <w:pPr>
              <w:rPr>
                <w:i/>
                <w:iCs/>
              </w:rPr>
            </w:pPr>
            <w:r w:rsidRPr="00415A0B">
              <w:rPr>
                <w:i/>
                <w:iCs/>
              </w:rPr>
              <w:t> </w:t>
            </w:r>
          </w:p>
        </w:tc>
        <w:tc>
          <w:tcPr>
            <w:tcW w:w="1280" w:type="dxa"/>
            <w:hideMark/>
          </w:tcPr>
          <w:p w14:paraId="3054D16D" w14:textId="77777777" w:rsidR="00393650" w:rsidRPr="00415A0B" w:rsidRDefault="00393650" w:rsidP="00595661">
            <w:pPr>
              <w:rPr>
                <w:i/>
                <w:iCs/>
              </w:rPr>
            </w:pPr>
            <w:r w:rsidRPr="00415A0B">
              <w:rPr>
                <w:i/>
                <w:iCs/>
              </w:rPr>
              <w:t> </w:t>
            </w:r>
          </w:p>
        </w:tc>
      </w:tr>
      <w:tr w:rsidR="00393650" w:rsidRPr="00415A0B" w14:paraId="2CFA5589" w14:textId="77777777" w:rsidTr="00595661">
        <w:trPr>
          <w:trHeight w:val="330"/>
        </w:trPr>
        <w:tc>
          <w:tcPr>
            <w:tcW w:w="9062" w:type="dxa"/>
            <w:gridSpan w:val="4"/>
            <w:hideMark/>
          </w:tcPr>
          <w:p w14:paraId="466F0AB3" w14:textId="77777777" w:rsidR="00393650" w:rsidRPr="00646D50" w:rsidRDefault="00393650" w:rsidP="00595661">
            <w:pPr>
              <w:rPr>
                <w:b/>
                <w:bCs/>
              </w:rPr>
            </w:pPr>
            <w:r w:rsidRPr="00646D50">
              <w:rPr>
                <w:b/>
                <w:bCs/>
              </w:rPr>
              <w:t xml:space="preserve">Odpočet zapracovania odporúčaní MF SR </w:t>
            </w:r>
          </w:p>
        </w:tc>
      </w:tr>
      <w:tr w:rsidR="00393650" w:rsidRPr="00415A0B" w14:paraId="76B32F72" w14:textId="77777777" w:rsidTr="00595661">
        <w:trPr>
          <w:trHeight w:val="510"/>
        </w:trPr>
        <w:tc>
          <w:tcPr>
            <w:tcW w:w="9062" w:type="dxa"/>
            <w:gridSpan w:val="4"/>
            <w:hideMark/>
          </w:tcPr>
          <w:p w14:paraId="1AB040D0" w14:textId="77777777" w:rsidR="00393650" w:rsidRPr="00415A0B" w:rsidRDefault="00393650" w:rsidP="00595661">
            <w:pPr>
              <w:rPr>
                <w:i/>
                <w:iCs/>
              </w:rPr>
            </w:pPr>
            <w:r w:rsidRPr="00646D50">
              <w:rPr>
                <w:i/>
                <w:iCs/>
                <w:color w:val="808080" w:themeColor="background1" w:themeShade="80"/>
                <w:sz w:val="18"/>
                <w:szCs w:val="18"/>
              </w:rPr>
              <w:t xml:space="preserve">Investor uvedie odpočet zapracovania odporúčaní MF SR vyplývajúcich z predošlého ekonomického hodnotenia projektu na základe </w:t>
            </w:r>
            <w:r>
              <w:rPr>
                <w:i/>
                <w:iCs/>
                <w:color w:val="808080" w:themeColor="background1" w:themeShade="80"/>
                <w:sz w:val="18"/>
                <w:szCs w:val="18"/>
              </w:rPr>
              <w:t>aktualizovanej</w:t>
            </w:r>
            <w:r w:rsidRPr="00646D50">
              <w:rPr>
                <w:i/>
                <w:iCs/>
                <w:color w:val="808080" w:themeColor="background1" w:themeShade="80"/>
                <w:sz w:val="18"/>
                <w:szCs w:val="18"/>
              </w:rPr>
              <w:t xml:space="preserve"> štúdie uskutočniteľnosti</w:t>
            </w:r>
          </w:p>
        </w:tc>
      </w:tr>
      <w:tr w:rsidR="00393650" w:rsidRPr="00415A0B" w14:paraId="7714E3DA" w14:textId="77777777" w:rsidTr="00595661">
        <w:trPr>
          <w:trHeight w:val="330"/>
        </w:trPr>
        <w:tc>
          <w:tcPr>
            <w:tcW w:w="9062" w:type="dxa"/>
            <w:gridSpan w:val="4"/>
            <w:hideMark/>
          </w:tcPr>
          <w:p w14:paraId="533017FB" w14:textId="77777777" w:rsidR="00393650" w:rsidRPr="00646D50" w:rsidRDefault="00393650" w:rsidP="00595661">
            <w:pPr>
              <w:rPr>
                <w:b/>
                <w:bCs/>
              </w:rPr>
            </w:pPr>
            <w:r w:rsidRPr="00646D50">
              <w:rPr>
                <w:b/>
                <w:bCs/>
              </w:rPr>
              <w:t>Ďalšie relevantné zmeny projektu oproti pôvodnej štúdií uskutočniteľnosti</w:t>
            </w:r>
          </w:p>
        </w:tc>
      </w:tr>
      <w:tr w:rsidR="00393650" w:rsidRPr="00415A0B" w14:paraId="0A2C5391" w14:textId="77777777" w:rsidTr="00595661">
        <w:trPr>
          <w:trHeight w:val="300"/>
        </w:trPr>
        <w:tc>
          <w:tcPr>
            <w:tcW w:w="9062" w:type="dxa"/>
            <w:gridSpan w:val="4"/>
            <w:hideMark/>
          </w:tcPr>
          <w:p w14:paraId="77762312" w14:textId="77777777" w:rsidR="00393650" w:rsidRPr="00415A0B" w:rsidRDefault="00393650" w:rsidP="00595661">
            <w:pPr>
              <w:rPr>
                <w:i/>
                <w:iCs/>
              </w:rPr>
            </w:pPr>
            <w:r w:rsidRPr="00646D50">
              <w:rPr>
                <w:i/>
                <w:iCs/>
                <w:color w:val="808080" w:themeColor="background1" w:themeShade="80"/>
                <w:sz w:val="18"/>
                <w:szCs w:val="18"/>
              </w:rPr>
              <w:t xml:space="preserve">Investor uvedie ďalšie relevantné zmeny projektu oproti predpokladom </w:t>
            </w:r>
            <w:r>
              <w:rPr>
                <w:i/>
                <w:iCs/>
                <w:color w:val="808080" w:themeColor="background1" w:themeShade="80"/>
                <w:sz w:val="18"/>
                <w:szCs w:val="18"/>
              </w:rPr>
              <w:t xml:space="preserve">aktualizovanej </w:t>
            </w:r>
            <w:r w:rsidRPr="00646D50">
              <w:rPr>
                <w:i/>
                <w:iCs/>
                <w:color w:val="808080" w:themeColor="background1" w:themeShade="80"/>
                <w:sz w:val="18"/>
                <w:szCs w:val="18"/>
              </w:rPr>
              <w:t>štúdií uskutočniteľnosti</w:t>
            </w:r>
          </w:p>
        </w:tc>
      </w:tr>
      <w:tr w:rsidR="00393650" w:rsidRPr="00415A0B" w14:paraId="361F494A" w14:textId="77777777" w:rsidTr="00595661">
        <w:trPr>
          <w:trHeight w:val="330"/>
        </w:trPr>
        <w:tc>
          <w:tcPr>
            <w:tcW w:w="9062" w:type="dxa"/>
            <w:gridSpan w:val="4"/>
            <w:hideMark/>
          </w:tcPr>
          <w:p w14:paraId="618E960D" w14:textId="77777777" w:rsidR="00393650" w:rsidRPr="00646D50" w:rsidRDefault="00393650" w:rsidP="00595661">
            <w:pPr>
              <w:rPr>
                <w:b/>
                <w:bCs/>
              </w:rPr>
            </w:pPr>
            <w:r w:rsidRPr="00646D50">
              <w:rPr>
                <w:b/>
                <w:bCs/>
              </w:rPr>
              <w:t>Zoznam príloh a podkladov na ekonomické hodnotenie (neverejné)</w:t>
            </w:r>
          </w:p>
        </w:tc>
      </w:tr>
      <w:tr w:rsidR="00393650" w:rsidRPr="00415A0B" w14:paraId="53A8DCF7" w14:textId="77777777" w:rsidTr="00595661">
        <w:trPr>
          <w:trHeight w:val="344"/>
        </w:trPr>
        <w:tc>
          <w:tcPr>
            <w:tcW w:w="9062" w:type="dxa"/>
            <w:gridSpan w:val="4"/>
            <w:hideMark/>
          </w:tcPr>
          <w:p w14:paraId="694B6A2E" w14:textId="77777777" w:rsidR="00393650" w:rsidRDefault="00393650" w:rsidP="00595661">
            <w:pPr>
              <w:rPr>
                <w:i/>
                <w:iCs/>
                <w:color w:val="808080" w:themeColor="background1" w:themeShade="80"/>
                <w:sz w:val="18"/>
                <w:szCs w:val="18"/>
              </w:rPr>
            </w:pPr>
            <w:r w:rsidRPr="00646D50">
              <w:rPr>
                <w:i/>
                <w:iCs/>
                <w:color w:val="808080" w:themeColor="background1" w:themeShade="80"/>
                <w:sz w:val="18"/>
                <w:szCs w:val="18"/>
              </w:rPr>
              <w:t>Investor uvedie, ktoré podklady zasiela na MF SR pre účely ekonomického hodnotenia. Materiály os</w:t>
            </w:r>
            <w:r>
              <w:rPr>
                <w:i/>
                <w:iCs/>
                <w:color w:val="808080" w:themeColor="background1" w:themeShade="80"/>
                <w:sz w:val="18"/>
                <w:szCs w:val="18"/>
              </w:rPr>
              <w:t>távanú neverejné.</w:t>
            </w:r>
          </w:p>
          <w:p w14:paraId="0D355FCC" w14:textId="77777777" w:rsidR="00393650" w:rsidRPr="003A23EC" w:rsidRDefault="00393650" w:rsidP="00595661">
            <w:pPr>
              <w:pStyle w:val="Odsekzoznamu"/>
              <w:ind w:left="454"/>
              <w:rPr>
                <w:i/>
                <w:iCs/>
                <w:color w:val="808080" w:themeColor="background1" w:themeShade="80"/>
                <w:sz w:val="18"/>
                <w:szCs w:val="18"/>
              </w:rPr>
            </w:pPr>
          </w:p>
        </w:tc>
      </w:tr>
    </w:tbl>
    <w:p w14:paraId="79E295BB" w14:textId="392F2C74" w:rsidR="00393650" w:rsidRPr="00FF3468" w:rsidRDefault="00393650" w:rsidP="00393650">
      <w:pPr>
        <w:spacing w:after="0"/>
        <w:rPr>
          <w:sz w:val="20"/>
          <w:szCs w:val="20"/>
        </w:rPr>
      </w:pPr>
      <w:r w:rsidRPr="00FF3468">
        <w:rPr>
          <w:sz w:val="20"/>
          <w:szCs w:val="20"/>
        </w:rPr>
        <w:t xml:space="preserve">*v prípade, že </w:t>
      </w:r>
      <w:r>
        <w:rPr>
          <w:sz w:val="20"/>
          <w:szCs w:val="20"/>
        </w:rPr>
        <w:t xml:space="preserve">je predmetom obstarávania aj prevádzka projektu (napr. pri IT projektoch) Investor uvádza celkové náklady vlastníctva (z angl.: TCO – </w:t>
      </w:r>
      <w:r w:rsidRPr="00067537">
        <w:rPr>
          <w:sz w:val="20"/>
          <w:szCs w:val="20"/>
        </w:rPr>
        <w:t>total cost of ownership</w:t>
      </w:r>
      <w:r>
        <w:rPr>
          <w:sz w:val="20"/>
          <w:szCs w:val="20"/>
        </w:rPr>
        <w:t>)</w:t>
      </w:r>
    </w:p>
    <w:p w14:paraId="05B7E327" w14:textId="77777777" w:rsidR="00393650" w:rsidRPr="00393650" w:rsidRDefault="00393650" w:rsidP="009573AC"/>
    <w:sectPr w:rsidR="00393650" w:rsidRPr="00393650" w:rsidSect="009573AC">
      <w:footerReference w:type="default" r:id="rId7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6B4D56" w14:textId="77777777" w:rsidR="009573AC" w:rsidRDefault="009573AC" w:rsidP="00C06F66">
      <w:pPr>
        <w:spacing w:after="0" w:line="240" w:lineRule="auto"/>
      </w:pPr>
      <w:r>
        <w:separator/>
      </w:r>
    </w:p>
  </w:endnote>
  <w:endnote w:type="continuationSeparator" w:id="0">
    <w:p w14:paraId="4A87F838" w14:textId="77777777" w:rsidR="009573AC" w:rsidRDefault="009573AC" w:rsidP="00C06F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A00002EF" w:usb1="4000207B" w:usb2="00000000" w:usb3="00000000" w:csb0="0000009F" w:csb1="00000000"/>
  </w:font>
  <w:font w:name="Tahoma">
    <w:panose1 w:val="020B0604030504040204"/>
    <w:charset w:val="EE"/>
    <w:family w:val="swiss"/>
    <w:pitch w:val="variable"/>
    <w:sig w:usb0="E1002EFF" w:usb1="C000605B" w:usb2="00000029" w:usb3="00000000" w:csb0="000101FF" w:csb1="00000000"/>
  </w:font>
  <w:font w:name="NeueHaasGroteskDisp W02">
    <w:altName w:val="Calibri"/>
    <w:charset w:val="EE"/>
    <w:family w:val="swiss"/>
    <w:pitch w:val="variable"/>
    <w:sig w:usb0="800000AF" w:usb1="4000204A" w:usb2="00000000" w:usb3="00000000" w:csb0="00000093" w:csb1="00000000"/>
  </w:font>
  <w:font w:name="Segoe UI">
    <w:panose1 w:val="020B0502040204020203"/>
    <w:charset w:val="EE"/>
    <w:family w:val="swiss"/>
    <w:pitch w:val="variable"/>
    <w:sig w:usb0="E4002EFF" w:usb1="C000E47F" w:usb2="00000009" w:usb3="00000000" w:csb0="000001FF" w:csb1="00000000"/>
  </w:font>
  <w:font w:name="NeueHaasGroteskText W02">
    <w:altName w:val="Arial"/>
    <w:charset w:val="EE"/>
    <w:family w:val="swiss"/>
    <w:pitch w:val="variable"/>
    <w:sig w:usb0="800000AF" w:usb1="4000204A"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45250807"/>
      <w:docPartObj>
        <w:docPartGallery w:val="Page Numbers (Bottom of Page)"/>
        <w:docPartUnique/>
      </w:docPartObj>
    </w:sdtPr>
    <w:sdtContent>
      <w:p w14:paraId="3E7D7C10" w14:textId="158378DD" w:rsidR="009573AC" w:rsidRDefault="009573AC">
        <w:pPr>
          <w:pStyle w:val="Pta"/>
          <w:jc w:val="right"/>
        </w:pPr>
        <w:r>
          <w:t xml:space="preserve"> </w:t>
        </w:r>
        <w:r w:rsidRPr="006302EE">
          <w:rPr>
            <w:sz w:val="18"/>
          </w:rPr>
          <w:fldChar w:fldCharType="begin"/>
        </w:r>
        <w:r w:rsidRPr="006302EE">
          <w:rPr>
            <w:sz w:val="18"/>
          </w:rPr>
          <w:instrText>PAGE   \* MERGEFORMAT</w:instrText>
        </w:r>
        <w:r w:rsidRPr="006302EE">
          <w:rPr>
            <w:sz w:val="18"/>
          </w:rPr>
          <w:fldChar w:fldCharType="separate"/>
        </w:r>
        <w:r w:rsidR="003D5A6E">
          <w:rPr>
            <w:noProof/>
            <w:sz w:val="18"/>
          </w:rPr>
          <w:t>12</w:t>
        </w:r>
        <w:r w:rsidRPr="006302EE">
          <w:rPr>
            <w:sz w:val="18"/>
          </w:rPr>
          <w:fldChar w:fldCharType="end"/>
        </w:r>
      </w:p>
    </w:sdtContent>
  </w:sdt>
  <w:p w14:paraId="6F0D4BF3" w14:textId="77777777" w:rsidR="009573AC" w:rsidRDefault="009573AC">
    <w:pPr>
      <w:pStyle w:val="Pta"/>
    </w:pPr>
    <w:r>
      <w:rPr>
        <w:rFonts w:ascii="NeueHaasGroteskText W02" w:hAnsi="NeueHaasGroteskText W02"/>
        <w:noProof/>
        <w:sz w:val="52"/>
        <w:szCs w:val="52"/>
        <w:lang w:eastAsia="sk-SK"/>
      </w:rPr>
      <mc:AlternateContent>
        <mc:Choice Requires="wps">
          <w:drawing>
            <wp:anchor distT="0" distB="0" distL="114300" distR="114300" simplePos="0" relativeHeight="251673600" behindDoc="0" locked="0" layoutInCell="1" allowOverlap="1" wp14:anchorId="303B1B1D" wp14:editId="568D6691">
              <wp:simplePos x="0" y="0"/>
              <wp:positionH relativeFrom="margin">
                <wp:posOffset>5584133</wp:posOffset>
              </wp:positionH>
              <wp:positionV relativeFrom="paragraph">
                <wp:posOffset>34035</wp:posOffset>
              </wp:positionV>
              <wp:extent cx="273132" cy="70724"/>
              <wp:effectExtent l="0" t="0" r="12700" b="24765"/>
              <wp:wrapNone/>
              <wp:docPr id="1" name="Obdĺžnik 1"/>
              <wp:cNvGraphicFramePr/>
              <a:graphic xmlns:a="http://schemas.openxmlformats.org/drawingml/2006/main">
                <a:graphicData uri="http://schemas.microsoft.com/office/word/2010/wordprocessingShape">
                  <wps:wsp>
                    <wps:cNvSpPr/>
                    <wps:spPr>
                      <a:xfrm>
                        <a:off x="0" y="0"/>
                        <a:ext cx="273132" cy="70724"/>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739430" id="Obdĺžnik 1" o:spid="_x0000_s1026" style="position:absolute;margin-left:439.7pt;margin-top:2.7pt;width:21.5pt;height:5.5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" fillcolor="#5b9bd5 [3204]" strokecolor="#1f4d78 [1604]" strokeweight="1pt">
              <w10:wrap anchorx="margin"/>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36047771"/>
      <w:docPartObj>
        <w:docPartGallery w:val="Page Numbers (Bottom of Page)"/>
        <w:docPartUnique/>
      </w:docPartObj>
    </w:sdtPr>
    <w:sdtContent>
      <w:p w14:paraId="6409ADCC" w14:textId="2E82FE57" w:rsidR="009573AC" w:rsidRDefault="009573AC">
        <w:pPr>
          <w:pStyle w:val="Pta"/>
          <w:jc w:val="right"/>
        </w:pPr>
        <w:r>
          <w:t xml:space="preserve"> </w:t>
        </w:r>
        <w:r w:rsidRPr="006302EE">
          <w:rPr>
            <w:sz w:val="18"/>
          </w:rPr>
          <w:fldChar w:fldCharType="begin"/>
        </w:r>
        <w:r w:rsidRPr="006302EE">
          <w:rPr>
            <w:sz w:val="18"/>
          </w:rPr>
          <w:instrText>PAGE   \* MERGEFORMAT</w:instrText>
        </w:r>
        <w:r w:rsidRPr="006302EE">
          <w:rPr>
            <w:sz w:val="18"/>
          </w:rPr>
          <w:fldChar w:fldCharType="separate"/>
        </w:r>
        <w:r w:rsidR="005054BC">
          <w:rPr>
            <w:noProof/>
            <w:sz w:val="18"/>
          </w:rPr>
          <w:t>58</w:t>
        </w:r>
        <w:r w:rsidRPr="006302EE">
          <w:rPr>
            <w:sz w:val="18"/>
          </w:rPr>
          <w:fldChar w:fldCharType="end"/>
        </w:r>
      </w:p>
    </w:sdtContent>
  </w:sdt>
  <w:p w14:paraId="625D5069" w14:textId="6F09D7D9" w:rsidR="009573AC" w:rsidRDefault="009573AC">
    <w:pPr>
      <w:pStyle w:val="Pta"/>
    </w:pPr>
    <w:r>
      <w:rPr>
        <w:rFonts w:ascii="NeueHaasGroteskText W02" w:hAnsi="NeueHaasGroteskText W02"/>
        <w:noProof/>
        <w:sz w:val="52"/>
        <w:szCs w:val="52"/>
        <w:lang w:eastAsia="sk-SK"/>
      </w:rPr>
      <mc:AlternateContent>
        <mc:Choice Requires="wps">
          <w:drawing>
            <wp:anchor distT="0" distB="0" distL="114300" distR="114300" simplePos="0" relativeHeight="251675648" behindDoc="0" locked="0" layoutInCell="1" allowOverlap="1" wp14:anchorId="30E2BC2A" wp14:editId="720DFF82">
              <wp:simplePos x="0" y="0"/>
              <wp:positionH relativeFrom="margin">
                <wp:posOffset>8706317</wp:posOffset>
              </wp:positionH>
              <wp:positionV relativeFrom="paragraph">
                <wp:posOffset>33655</wp:posOffset>
              </wp:positionV>
              <wp:extent cx="273132" cy="70724"/>
              <wp:effectExtent l="0" t="0" r="12700" b="24765"/>
              <wp:wrapNone/>
              <wp:docPr id="7" name="Obdĺžnik 7"/>
              <wp:cNvGraphicFramePr/>
              <a:graphic xmlns:a="http://schemas.openxmlformats.org/drawingml/2006/main">
                <a:graphicData uri="http://schemas.microsoft.com/office/word/2010/wordprocessingShape">
                  <wps:wsp>
                    <wps:cNvSpPr/>
                    <wps:spPr>
                      <a:xfrm>
                        <a:off x="0" y="0"/>
                        <a:ext cx="273132" cy="70724"/>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72110F" id="Obdĺžnik 7" o:spid="_x0000_s1026" style="position:absolute;margin-left:685.55pt;margin-top:2.65pt;width:21.5pt;height:5.55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" fillcolor="#5b9bd5 [3204]" strokecolor="#1f4d78 [1604]" strokeweight="1pt">
              <w10:wrap anchorx="margin"/>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17821903"/>
      <w:docPartObj>
        <w:docPartGallery w:val="Page Numbers (Bottom of Page)"/>
        <w:docPartUnique/>
      </w:docPartObj>
    </w:sdtPr>
    <w:sdtContent>
      <w:p w14:paraId="0DA084AE" w14:textId="61A3E4BE" w:rsidR="009573AC" w:rsidRDefault="009573AC">
        <w:pPr>
          <w:pStyle w:val="Pta"/>
          <w:jc w:val="right"/>
        </w:pPr>
        <w:r>
          <w:t xml:space="preserve"> </w:t>
        </w:r>
        <w:r w:rsidRPr="006302EE">
          <w:rPr>
            <w:sz w:val="18"/>
          </w:rPr>
          <w:fldChar w:fldCharType="begin"/>
        </w:r>
        <w:r w:rsidRPr="006302EE">
          <w:rPr>
            <w:sz w:val="18"/>
          </w:rPr>
          <w:instrText>PAGE   \* MERGEFORMAT</w:instrText>
        </w:r>
        <w:r w:rsidRPr="006302EE">
          <w:rPr>
            <w:sz w:val="18"/>
          </w:rPr>
          <w:fldChar w:fldCharType="separate"/>
        </w:r>
        <w:r w:rsidR="005054BC">
          <w:rPr>
            <w:noProof/>
            <w:sz w:val="18"/>
          </w:rPr>
          <w:t>60</w:t>
        </w:r>
        <w:r w:rsidRPr="006302EE">
          <w:rPr>
            <w:sz w:val="18"/>
          </w:rPr>
          <w:fldChar w:fldCharType="end"/>
        </w:r>
      </w:p>
    </w:sdtContent>
  </w:sdt>
  <w:p w14:paraId="620ECBC5" w14:textId="25FCF615" w:rsidR="009573AC" w:rsidRDefault="009573AC">
    <w:pPr>
      <w:pStyle w:val="Pta"/>
    </w:pPr>
    <w:r>
      <w:rPr>
        <w:rFonts w:ascii="NeueHaasGroteskText W02" w:hAnsi="NeueHaasGroteskText W02"/>
        <w:noProof/>
        <w:sz w:val="52"/>
        <w:szCs w:val="52"/>
        <w:lang w:eastAsia="sk-SK"/>
      </w:rPr>
      <mc:AlternateContent>
        <mc:Choice Requires="wps">
          <w:drawing>
            <wp:anchor distT="0" distB="0" distL="114300" distR="114300" simplePos="0" relativeHeight="251677696" behindDoc="0" locked="0" layoutInCell="1" allowOverlap="1" wp14:anchorId="6CAC261F" wp14:editId="5029F202">
              <wp:simplePos x="0" y="0"/>
              <wp:positionH relativeFrom="margin">
                <wp:posOffset>5565835</wp:posOffset>
              </wp:positionH>
              <wp:positionV relativeFrom="paragraph">
                <wp:posOffset>33655</wp:posOffset>
              </wp:positionV>
              <wp:extent cx="273132" cy="70724"/>
              <wp:effectExtent l="0" t="0" r="12700" b="24765"/>
              <wp:wrapNone/>
              <wp:docPr id="6" name="Obdĺžnik 6"/>
              <wp:cNvGraphicFramePr/>
              <a:graphic xmlns:a="http://schemas.openxmlformats.org/drawingml/2006/main">
                <a:graphicData uri="http://schemas.microsoft.com/office/word/2010/wordprocessingShape">
                  <wps:wsp>
                    <wps:cNvSpPr/>
                    <wps:spPr>
                      <a:xfrm>
                        <a:off x="0" y="0"/>
                        <a:ext cx="273132" cy="70724"/>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37CA10" id="Obdĺžnik 6" o:spid="_x0000_s1026" style="position:absolute;margin-left:438.25pt;margin-top:2.65pt;width:21.5pt;height:5.55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" fillcolor="#5b9bd5 [3204]" strokecolor="#1f4d78 [1604]" strokeweight="1pt">
              <w10:wrap anchorx="margin"/>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D2B5C3" w14:textId="77777777" w:rsidR="009573AC" w:rsidRDefault="009573AC" w:rsidP="00C06F66">
      <w:pPr>
        <w:spacing w:after="0" w:line="240" w:lineRule="auto"/>
      </w:pPr>
      <w:r>
        <w:separator/>
      </w:r>
    </w:p>
  </w:footnote>
  <w:footnote w:type="continuationSeparator" w:id="0">
    <w:p w14:paraId="24F133A9" w14:textId="77777777" w:rsidR="009573AC" w:rsidRDefault="009573AC" w:rsidP="00C06F66">
      <w:pPr>
        <w:spacing w:after="0" w:line="240" w:lineRule="auto"/>
      </w:pPr>
      <w:r>
        <w:continuationSeparator/>
      </w:r>
    </w:p>
  </w:footnote>
  <w:footnote w:id="1">
    <w:p w14:paraId="56261FDE" w14:textId="77777777" w:rsidR="009573AC" w:rsidRPr="00577F95" w:rsidRDefault="009573AC" w:rsidP="000B0127">
      <w:pPr>
        <w:pStyle w:val="Textpoznmkypodiarou"/>
        <w:rPr>
          <w:sz w:val="18"/>
        </w:rPr>
      </w:pPr>
      <w:r w:rsidRPr="00577F95">
        <w:rPr>
          <w:rStyle w:val="Odkaznapoznmkupodiarou"/>
          <w:sz w:val="18"/>
        </w:rPr>
        <w:footnoteRef/>
      </w:r>
      <w:r w:rsidRPr="00577F95">
        <w:rPr>
          <w:sz w:val="18"/>
        </w:rPr>
        <w:t xml:space="preserve"> § 2 zákona Národnej rady Slovenskej republiky č. 46/1993 Z. z. o Slovenskej informačnej službe v znení neskorších predpisov, § 39a zákona Národnej rady Slovenskej republiky č. 171/1993 Z. z. o Policajnom zbore v znení neskorších predpisov, § 2 zákona Národnej rady Slovenskej republiky č. 198/1994 Z. z. o Vojenskom spravodajstve v znení neskorších predpisov.</w:t>
      </w:r>
    </w:p>
  </w:footnote>
  <w:footnote w:id="2">
    <w:p w14:paraId="4A8AE66B" w14:textId="0A40C816" w:rsidR="009573AC" w:rsidRPr="00487501" w:rsidRDefault="009573AC" w:rsidP="00487501">
      <w:pPr>
        <w:pStyle w:val="Textpoznmkypodiarou"/>
        <w:rPr>
          <w:sz w:val="18"/>
          <w:szCs w:val="18"/>
        </w:rPr>
      </w:pPr>
      <w:r w:rsidRPr="00487501">
        <w:rPr>
          <w:rStyle w:val="Odkaznapoznmkupodiarou"/>
          <w:sz w:val="18"/>
          <w:szCs w:val="18"/>
        </w:rPr>
        <w:footnoteRef/>
      </w:r>
      <w:r w:rsidRPr="00487501">
        <w:rPr>
          <w:sz w:val="18"/>
          <w:szCs w:val="18"/>
        </w:rPr>
        <w:t xml:space="preserve"> </w:t>
      </w:r>
      <w:r>
        <w:rPr>
          <w:sz w:val="18"/>
          <w:szCs w:val="18"/>
        </w:rPr>
        <w:t>Napr. p</w:t>
      </w:r>
      <w:r w:rsidRPr="00487501">
        <w:rPr>
          <w:sz w:val="18"/>
          <w:szCs w:val="18"/>
        </w:rPr>
        <w:t>odľa zákona č. 323/2015 Z. z. o finančných nástrojoch financovaných z európskych štrukturálnych a investičných fondov a o zmene a doplnení niektorých zákonov.</w:t>
      </w:r>
    </w:p>
  </w:footnote>
  <w:footnote w:id="3">
    <w:p w14:paraId="1F30F0D5" w14:textId="04E51662" w:rsidR="009573AC" w:rsidRPr="00487501" w:rsidRDefault="009573AC">
      <w:pPr>
        <w:pStyle w:val="Textpoznmkypodiarou"/>
        <w:rPr>
          <w:sz w:val="18"/>
          <w:szCs w:val="18"/>
        </w:rPr>
      </w:pPr>
      <w:r w:rsidRPr="00487501">
        <w:rPr>
          <w:rStyle w:val="Odkaznapoznmkupodiarou"/>
          <w:sz w:val="18"/>
          <w:szCs w:val="18"/>
        </w:rPr>
        <w:footnoteRef/>
      </w:r>
      <w:r w:rsidRPr="00487501">
        <w:rPr>
          <w:sz w:val="18"/>
          <w:szCs w:val="18"/>
        </w:rPr>
        <w:t xml:space="preserve"> Podľa vyhlášky Úradu podpredsedu vlády SR pre investície a informatizáciu č. 85/2020 Z. z. o riadení projektov.</w:t>
      </w:r>
    </w:p>
  </w:footnote>
  <w:footnote w:id="4">
    <w:p w14:paraId="28B687F1" w14:textId="7AACA89A" w:rsidR="009573AC" w:rsidRPr="00487501" w:rsidRDefault="009573AC" w:rsidP="00481F31">
      <w:pPr>
        <w:pStyle w:val="Textpoznmkypodiarou"/>
        <w:rPr>
          <w:sz w:val="18"/>
          <w:szCs w:val="18"/>
        </w:rPr>
      </w:pPr>
      <w:r w:rsidRPr="00487501">
        <w:rPr>
          <w:rStyle w:val="Odkaznapoznmkupodiarou"/>
          <w:sz w:val="18"/>
          <w:szCs w:val="18"/>
        </w:rPr>
        <w:footnoteRef/>
      </w:r>
      <w:r w:rsidRPr="00487501">
        <w:rPr>
          <w:sz w:val="18"/>
          <w:szCs w:val="18"/>
        </w:rPr>
        <w:t xml:space="preserve"> Pre koncesie s celkovou predpokladanou hodnotou rovnou alebo vyššou, ako je hodnota ustanovená osobitným predpisom (§ 5 ods. 7 zákona č. 343/2015 Z. z., ktorý odkazuje na Vyhlášku Úradu pre verejné obstarávanie) a zároveň nižšou ako je ustanovená hranica.</w:t>
      </w:r>
    </w:p>
  </w:footnote>
  <w:footnote w:id="5">
    <w:p w14:paraId="66850535" w14:textId="372053D9" w:rsidR="009573AC" w:rsidRPr="00EB0B7A" w:rsidRDefault="009573AC">
      <w:pPr>
        <w:pStyle w:val="Textpoznmkypodiarou"/>
        <w:rPr>
          <w:sz w:val="18"/>
        </w:rPr>
      </w:pPr>
      <w:r w:rsidRPr="00EB0B7A">
        <w:rPr>
          <w:rStyle w:val="Odkaznapoznmkupodiarou"/>
          <w:sz w:val="18"/>
        </w:rPr>
        <w:footnoteRef/>
      </w:r>
      <w:r w:rsidRPr="00EB0B7A">
        <w:rPr>
          <w:sz w:val="18"/>
        </w:rPr>
        <w:t xml:space="preserve"> Kompetenčným zákonom sa myslí zákon č. 575/2001 Z. z. o organizácii činnosti vlády a organizácii ústrednej štátnej správy.</w:t>
      </w:r>
    </w:p>
  </w:footnote>
  <w:footnote w:id="6">
    <w:p w14:paraId="3E825280" w14:textId="77777777" w:rsidR="009573AC" w:rsidRPr="00487501" w:rsidRDefault="009573AC" w:rsidP="00BB6EEE">
      <w:pPr>
        <w:pStyle w:val="Textpoznmkypodiarou"/>
        <w:rPr>
          <w:sz w:val="18"/>
          <w:szCs w:val="18"/>
        </w:rPr>
      </w:pPr>
      <w:r w:rsidRPr="00487501">
        <w:rPr>
          <w:rStyle w:val="Odkaznapoznmkupodiarou"/>
          <w:sz w:val="18"/>
          <w:szCs w:val="18"/>
        </w:rPr>
        <w:footnoteRef/>
      </w:r>
      <w:r w:rsidRPr="00487501">
        <w:rPr>
          <w:sz w:val="18"/>
          <w:szCs w:val="18"/>
        </w:rPr>
        <w:t xml:space="preserve"> Podľa zákona č. 215/2004 Z. z. o ochrane utajovaných skutočností a o zmene a doplnení niektorých zákonov v znení neskorších predpisov.</w:t>
      </w:r>
    </w:p>
  </w:footnote>
  <w:footnote w:id="7">
    <w:p w14:paraId="22620930" w14:textId="7309D6BC" w:rsidR="009573AC" w:rsidRPr="00487501" w:rsidRDefault="009573AC" w:rsidP="00807E06">
      <w:pPr>
        <w:pStyle w:val="Textpoznmkypodiarou"/>
        <w:jc w:val="left"/>
        <w:rPr>
          <w:sz w:val="18"/>
          <w:szCs w:val="18"/>
        </w:rPr>
      </w:pPr>
      <w:r w:rsidRPr="00487501">
        <w:rPr>
          <w:rStyle w:val="Odkaznapoznmkupodiarou"/>
          <w:sz w:val="18"/>
          <w:szCs w:val="18"/>
        </w:rPr>
        <w:footnoteRef/>
      </w:r>
      <w:r w:rsidRPr="00487501">
        <w:rPr>
          <w:sz w:val="18"/>
          <w:szCs w:val="18"/>
        </w:rPr>
        <w:t xml:space="preserve"> V zmysle </w:t>
      </w:r>
      <w:r>
        <w:rPr>
          <w:sz w:val="18"/>
          <w:szCs w:val="18"/>
        </w:rPr>
        <w:t>uznesenia</w:t>
      </w:r>
      <w:r w:rsidRPr="00487501">
        <w:rPr>
          <w:sz w:val="18"/>
          <w:szCs w:val="18"/>
        </w:rPr>
        <w:t xml:space="preserve"> vlády </w:t>
      </w:r>
      <w:r>
        <w:rPr>
          <w:sz w:val="18"/>
          <w:szCs w:val="18"/>
        </w:rPr>
        <w:t>SR č. 64</w:t>
      </w:r>
      <w:r>
        <w:rPr>
          <w:sz w:val="18"/>
          <w:szCs w:val="18"/>
          <w:lang w:val="en-GB"/>
        </w:rPr>
        <w:t xml:space="preserve">9 zo 14. októbra </w:t>
      </w:r>
      <w:r>
        <w:rPr>
          <w:sz w:val="18"/>
          <w:szCs w:val="18"/>
        </w:rPr>
        <w:t xml:space="preserve">2020 k návrhu rozpočtu verejnej správy na roky 2021 až 2023, ktoré je </w:t>
      </w:r>
      <w:r w:rsidRPr="00487501">
        <w:rPr>
          <w:sz w:val="18"/>
          <w:szCs w:val="18"/>
        </w:rPr>
        <w:t>dostupné na odkaze:</w:t>
      </w:r>
      <w:r>
        <w:rPr>
          <w:sz w:val="18"/>
          <w:szCs w:val="18"/>
        </w:rPr>
        <w:t xml:space="preserve"> </w:t>
      </w:r>
      <w:hyperlink r:id="rId1" w:history="1">
        <w:r w:rsidRPr="00DE1356">
          <w:rPr>
            <w:rStyle w:val="Hypertextovprepojenie"/>
            <w:sz w:val="18"/>
            <w:szCs w:val="18"/>
          </w:rPr>
          <w:t>https://rokovania.gov.sk/RVL/Resolution/18792/1</w:t>
        </w:r>
      </w:hyperlink>
      <w:r>
        <w:rPr>
          <w:rStyle w:val="Hypertextovprepojenie"/>
          <w:sz w:val="18"/>
          <w:szCs w:val="18"/>
        </w:rPr>
        <w:t>.</w:t>
      </w:r>
    </w:p>
  </w:footnote>
  <w:footnote w:id="8">
    <w:p w14:paraId="21F8F767" w14:textId="77777777" w:rsidR="009573AC" w:rsidRPr="00487501" w:rsidRDefault="009573AC" w:rsidP="00487501">
      <w:pPr>
        <w:pStyle w:val="Textpoznmkypodiarou"/>
        <w:rPr>
          <w:sz w:val="18"/>
          <w:szCs w:val="18"/>
        </w:rPr>
      </w:pPr>
      <w:r w:rsidRPr="00487501">
        <w:rPr>
          <w:rStyle w:val="Odkaznapoznmkupodiarou"/>
          <w:sz w:val="18"/>
          <w:szCs w:val="18"/>
        </w:rPr>
        <w:footnoteRef/>
      </w:r>
      <w:r w:rsidRPr="00487501">
        <w:rPr>
          <w:sz w:val="18"/>
          <w:szCs w:val="18"/>
        </w:rPr>
        <w:t xml:space="preserve"> Podľa zákona č. 323/2015 Z. z. o finančných nástrojoch financovaných z európskych štrukturálnych a investičných fondov a o zmene a doplnení niektorých zákonov.</w:t>
      </w:r>
    </w:p>
  </w:footnote>
  <w:footnote w:id="9">
    <w:p w14:paraId="5A1DC59A" w14:textId="51270F54" w:rsidR="009573AC" w:rsidRPr="00487501" w:rsidRDefault="009573AC" w:rsidP="00F33DB1">
      <w:pPr>
        <w:pStyle w:val="Textpoznmkypodiarou"/>
        <w:rPr>
          <w:sz w:val="18"/>
          <w:szCs w:val="18"/>
        </w:rPr>
      </w:pPr>
      <w:r w:rsidRPr="00487501">
        <w:rPr>
          <w:rStyle w:val="Odkaznapoznmkupodiarou"/>
          <w:sz w:val="18"/>
          <w:szCs w:val="18"/>
        </w:rPr>
        <w:footnoteRef/>
      </w:r>
      <w:r w:rsidRPr="00487501">
        <w:rPr>
          <w:sz w:val="18"/>
          <w:szCs w:val="18"/>
        </w:rPr>
        <w:t xml:space="preserve"> Ustanovená hranica je uvedená v § 1 nariadenia vlády SR č. 174/2019 Z. z. o podmienkach vypracovania štúdie uskutočniteľnosti investície a štúdie uskutočniteľnosti koncesie. V čase prípravy dokumentu je platná hranica 10 mil. eur na investičné projekty v informatizácii a 40 mil. eur na investičné projekty v ostatných oblastiach.</w:t>
      </w:r>
    </w:p>
  </w:footnote>
  <w:footnote w:id="10">
    <w:p w14:paraId="09592FD9" w14:textId="77777777" w:rsidR="009573AC" w:rsidRPr="00487501" w:rsidRDefault="009573AC" w:rsidP="003B5091">
      <w:pPr>
        <w:pStyle w:val="Textpoznmkypodiarou"/>
        <w:rPr>
          <w:sz w:val="18"/>
          <w:szCs w:val="18"/>
        </w:rPr>
      </w:pPr>
      <w:r w:rsidRPr="00487501">
        <w:rPr>
          <w:rStyle w:val="Odkaznapoznmkupodiarou"/>
          <w:sz w:val="18"/>
          <w:szCs w:val="18"/>
        </w:rPr>
        <w:footnoteRef/>
      </w:r>
      <w:r w:rsidRPr="00487501">
        <w:rPr>
          <w:sz w:val="18"/>
          <w:szCs w:val="18"/>
        </w:rPr>
        <w:t xml:space="preserve"> S výnimkou investičných výdavkov vyvolaných v priebehu roka na základe nepredvídateľnej situácie</w:t>
      </w:r>
      <w:r>
        <w:rPr>
          <w:sz w:val="18"/>
          <w:szCs w:val="18"/>
        </w:rPr>
        <w:t xml:space="preserve"> </w:t>
      </w:r>
      <w:r w:rsidRPr="006C5421">
        <w:rPr>
          <w:sz w:val="18"/>
          <w:szCs w:val="18"/>
        </w:rPr>
        <w:t>(napr. investície vyvolané zmenou legislatívy počas roka, havá</w:t>
      </w:r>
      <w:r>
        <w:rPr>
          <w:sz w:val="18"/>
          <w:szCs w:val="18"/>
        </w:rPr>
        <w:t>rie, prírodné katastrofy a pod.)</w:t>
      </w:r>
      <w:r w:rsidRPr="00487501">
        <w:rPr>
          <w:sz w:val="18"/>
          <w:szCs w:val="18"/>
        </w:rPr>
        <w:t>.</w:t>
      </w:r>
    </w:p>
  </w:footnote>
  <w:footnote w:id="11">
    <w:p w14:paraId="43027A93" w14:textId="00065B5E" w:rsidR="009573AC" w:rsidRPr="00487501" w:rsidRDefault="009573AC">
      <w:pPr>
        <w:pStyle w:val="Textpoznmkypodiarou"/>
        <w:rPr>
          <w:sz w:val="18"/>
          <w:szCs w:val="18"/>
        </w:rPr>
      </w:pPr>
      <w:r w:rsidRPr="00487501">
        <w:rPr>
          <w:rStyle w:val="Odkaznapoznmkupodiarou"/>
          <w:sz w:val="18"/>
          <w:szCs w:val="18"/>
        </w:rPr>
        <w:footnoteRef/>
      </w:r>
      <w:r w:rsidRPr="00487501">
        <w:rPr>
          <w:sz w:val="18"/>
          <w:szCs w:val="18"/>
        </w:rPr>
        <w:t xml:space="preserve"> Podľa § 5 ods. 7 zákona č. 343/2015 Z. z. o verejnom obstarávaní a o zmene a doplnení niektorých zákonov, ktorý odkazuje na Vyhlášku Úradu pre verejné obstarávanie.</w:t>
      </w:r>
    </w:p>
  </w:footnote>
  <w:footnote w:id="12">
    <w:p w14:paraId="55365529" w14:textId="77777777" w:rsidR="009573AC" w:rsidRPr="00487501" w:rsidRDefault="009573AC" w:rsidP="00373943">
      <w:pPr>
        <w:pStyle w:val="Textpoznmkypodiarou"/>
        <w:jc w:val="left"/>
        <w:rPr>
          <w:sz w:val="18"/>
          <w:szCs w:val="18"/>
        </w:rPr>
      </w:pPr>
      <w:r w:rsidRPr="00487501">
        <w:rPr>
          <w:rStyle w:val="Odkaznapoznmkupodiarou"/>
          <w:sz w:val="18"/>
          <w:szCs w:val="18"/>
        </w:rPr>
        <w:footnoteRef/>
      </w:r>
      <w:r w:rsidRPr="00487501">
        <w:rPr>
          <w:sz w:val="18"/>
          <w:szCs w:val="18"/>
        </w:rPr>
        <w:t xml:space="preserve"> V zmysle § 5 ods. 7 zákona č. 343/2015 Z. z., ktorý odkazuje na Vyhlášku Úradu pre verejné obstarávanie (v súčasnosti je účinná Vyhláška č. </w:t>
      </w:r>
      <w:r>
        <w:rPr>
          <w:sz w:val="18"/>
          <w:szCs w:val="18"/>
        </w:rPr>
        <w:t>428/2019</w:t>
      </w:r>
      <w:r w:rsidRPr="00487501">
        <w:rPr>
          <w:sz w:val="18"/>
          <w:szCs w:val="18"/>
        </w:rPr>
        <w:t xml:space="preserve"> Z. z., ktorou sa ustanovuje finančný limit pre nadlimitnú zákazku, finančný limit pre nadlimitnú koncesiu a finančný limit pri súťaži návrhov).</w:t>
      </w:r>
    </w:p>
  </w:footnote>
  <w:footnote w:id="13">
    <w:p w14:paraId="32856444" w14:textId="3387E39B" w:rsidR="009573AC" w:rsidRPr="00487501" w:rsidRDefault="009573AC" w:rsidP="00807E06">
      <w:pPr>
        <w:pStyle w:val="Textpoznmkypodiarou"/>
        <w:jc w:val="left"/>
        <w:rPr>
          <w:sz w:val="18"/>
          <w:szCs w:val="18"/>
        </w:rPr>
      </w:pPr>
      <w:r w:rsidRPr="00487501">
        <w:rPr>
          <w:rStyle w:val="Odkaznapoznmkupodiarou"/>
          <w:sz w:val="18"/>
          <w:szCs w:val="18"/>
        </w:rPr>
        <w:footnoteRef/>
      </w:r>
      <w:r w:rsidRPr="00487501">
        <w:rPr>
          <w:sz w:val="18"/>
          <w:szCs w:val="18"/>
        </w:rPr>
        <w:t xml:space="preserve"> Definícia ustanovenej hranice je uvedená v bode p) kapitoly </w:t>
      </w:r>
      <w:r w:rsidRPr="00487501">
        <w:rPr>
          <w:sz w:val="18"/>
          <w:szCs w:val="18"/>
        </w:rPr>
        <w:fldChar w:fldCharType="begin"/>
      </w:r>
      <w:r w:rsidRPr="00487501">
        <w:rPr>
          <w:sz w:val="18"/>
          <w:szCs w:val="18"/>
        </w:rPr>
        <w:instrText xml:space="preserve"> REF _Ref54344420 \r \h  \* MERGEFORMAT </w:instrText>
      </w:r>
      <w:r w:rsidRPr="00487501">
        <w:rPr>
          <w:sz w:val="18"/>
          <w:szCs w:val="18"/>
        </w:rPr>
      </w:r>
      <w:r w:rsidRPr="00487501">
        <w:rPr>
          <w:sz w:val="18"/>
          <w:szCs w:val="18"/>
        </w:rPr>
        <w:fldChar w:fldCharType="separate"/>
      </w:r>
      <w:r>
        <w:rPr>
          <w:sz w:val="18"/>
          <w:szCs w:val="18"/>
        </w:rPr>
        <w:t>8.1</w:t>
      </w:r>
      <w:r w:rsidRPr="00487501">
        <w:rPr>
          <w:sz w:val="18"/>
          <w:szCs w:val="18"/>
        </w:rPr>
        <w:fldChar w:fldCharType="end"/>
      </w:r>
      <w:r w:rsidRPr="00487501">
        <w:rPr>
          <w:sz w:val="18"/>
          <w:szCs w:val="18"/>
        </w:rPr>
        <w:t xml:space="preserve"> </w:t>
      </w:r>
      <w:r w:rsidRPr="00487501">
        <w:rPr>
          <w:sz w:val="18"/>
          <w:szCs w:val="18"/>
        </w:rPr>
        <w:fldChar w:fldCharType="begin"/>
      </w:r>
      <w:r w:rsidRPr="00487501">
        <w:rPr>
          <w:sz w:val="18"/>
          <w:szCs w:val="18"/>
        </w:rPr>
        <w:instrText xml:space="preserve"> REF _Ref54344427 \h  \* MERGEFORMAT </w:instrText>
      </w:r>
      <w:r w:rsidRPr="00487501">
        <w:rPr>
          <w:sz w:val="18"/>
          <w:szCs w:val="18"/>
        </w:rPr>
      </w:r>
      <w:r w:rsidRPr="00487501">
        <w:rPr>
          <w:sz w:val="18"/>
          <w:szCs w:val="18"/>
        </w:rPr>
        <w:fldChar w:fldCharType="separate"/>
      </w:r>
      <w:r w:rsidRPr="00B7508E">
        <w:rPr>
          <w:sz w:val="18"/>
          <w:szCs w:val="18"/>
        </w:rPr>
        <w:t>Pojmy</w:t>
      </w:r>
      <w:r w:rsidRPr="00487501">
        <w:rPr>
          <w:sz w:val="18"/>
          <w:szCs w:val="18"/>
        </w:rPr>
        <w:fldChar w:fldCharType="end"/>
      </w:r>
      <w:r w:rsidRPr="00487501">
        <w:rPr>
          <w:sz w:val="18"/>
          <w:szCs w:val="18"/>
        </w:rPr>
        <w:t>.</w:t>
      </w:r>
    </w:p>
  </w:footnote>
  <w:footnote w:id="14">
    <w:p w14:paraId="1E8954E2" w14:textId="503C3E93" w:rsidR="009573AC" w:rsidRPr="00487501" w:rsidRDefault="009573AC" w:rsidP="00807E06">
      <w:pPr>
        <w:pStyle w:val="Textpoznmkypodiarou"/>
        <w:jc w:val="left"/>
        <w:rPr>
          <w:sz w:val="18"/>
          <w:szCs w:val="18"/>
        </w:rPr>
      </w:pPr>
      <w:r w:rsidRPr="00487501">
        <w:rPr>
          <w:rStyle w:val="Odkaznapoznmkupodiarou"/>
          <w:sz w:val="18"/>
          <w:szCs w:val="18"/>
        </w:rPr>
        <w:footnoteRef/>
      </w:r>
      <w:r w:rsidRPr="00487501">
        <w:rPr>
          <w:sz w:val="18"/>
          <w:szCs w:val="18"/>
        </w:rPr>
        <w:t xml:space="preserve"> V zmysle § 4 zákona č. 343/2015 Z. z. o verejnom obstarávaní a o zmene a doplnení niektorých zákonov v znení neskorších predpisov.</w:t>
      </w:r>
    </w:p>
  </w:footnote>
  <w:footnote w:id="15">
    <w:p w14:paraId="18D82029" w14:textId="77777777" w:rsidR="009573AC" w:rsidRDefault="009573AC" w:rsidP="0097111B">
      <w:pPr>
        <w:pStyle w:val="Textpoznmkypodiarou"/>
      </w:pPr>
      <w:r w:rsidRPr="00AD17F9">
        <w:rPr>
          <w:rStyle w:val="Odkaznapoznmkupodiarou"/>
          <w:sz w:val="18"/>
        </w:rPr>
        <w:footnoteRef/>
      </w:r>
      <w:r w:rsidRPr="00AD17F9">
        <w:rPr>
          <w:sz w:val="18"/>
        </w:rPr>
        <w:t xml:space="preserve"> Oprávnenie MF SR vyplýva z § 19a ods. 10 zákona č. 523/2004 Z. z.</w:t>
      </w:r>
    </w:p>
  </w:footnote>
  <w:footnote w:id="16">
    <w:p w14:paraId="3DD0E297" w14:textId="645DCE43" w:rsidR="009573AC" w:rsidRPr="00487501" w:rsidRDefault="009573AC" w:rsidP="00807E06">
      <w:pPr>
        <w:pStyle w:val="Textpoznmkypodiarou"/>
        <w:jc w:val="left"/>
        <w:rPr>
          <w:sz w:val="18"/>
          <w:szCs w:val="18"/>
        </w:rPr>
      </w:pPr>
      <w:r w:rsidRPr="00487501">
        <w:rPr>
          <w:rStyle w:val="Odkaznapoznmkupodiarou"/>
          <w:sz w:val="18"/>
          <w:szCs w:val="18"/>
        </w:rPr>
        <w:footnoteRef/>
      </w:r>
      <w:r w:rsidRPr="00487501">
        <w:rPr>
          <w:sz w:val="18"/>
          <w:szCs w:val="18"/>
        </w:rPr>
        <w:t xml:space="preserve"> Predovšetkým projekty Ministerstva dopravy a výstavby SR a organizácií v jeho zriaďovateľskej/ zakladateľskej pôsobnosti, ako napr.: ŽSR, ŽSSK, NDS, SSC, letiskové spoločnosti.</w:t>
      </w:r>
    </w:p>
  </w:footnote>
  <w:footnote w:id="17">
    <w:p w14:paraId="43D52334" w14:textId="7F3377F6" w:rsidR="009573AC" w:rsidRPr="00487501" w:rsidRDefault="009573AC" w:rsidP="00807E06">
      <w:pPr>
        <w:pStyle w:val="Textpoznmkypodiarou"/>
        <w:jc w:val="left"/>
        <w:rPr>
          <w:sz w:val="18"/>
          <w:szCs w:val="18"/>
        </w:rPr>
      </w:pPr>
      <w:r w:rsidRPr="00487501">
        <w:rPr>
          <w:rStyle w:val="Odkaznapoznmkupodiarou"/>
          <w:sz w:val="18"/>
          <w:szCs w:val="18"/>
        </w:rPr>
        <w:footnoteRef/>
      </w:r>
      <w:r w:rsidRPr="00487501">
        <w:rPr>
          <w:sz w:val="18"/>
          <w:szCs w:val="18"/>
        </w:rPr>
        <w:t xml:space="preserve"> Investičný projekt v informatizácii je definovaný v bode n) kapitoly </w:t>
      </w:r>
      <w:r w:rsidRPr="00487501">
        <w:rPr>
          <w:sz w:val="18"/>
          <w:szCs w:val="18"/>
        </w:rPr>
        <w:fldChar w:fldCharType="begin"/>
      </w:r>
      <w:r w:rsidRPr="00487501">
        <w:rPr>
          <w:sz w:val="18"/>
          <w:szCs w:val="18"/>
        </w:rPr>
        <w:instrText xml:space="preserve"> REF _Ref60744417 \r \h  \* MERGEFORMAT </w:instrText>
      </w:r>
      <w:r w:rsidRPr="00487501">
        <w:rPr>
          <w:sz w:val="18"/>
          <w:szCs w:val="18"/>
        </w:rPr>
      </w:r>
      <w:r w:rsidRPr="00487501">
        <w:rPr>
          <w:sz w:val="18"/>
          <w:szCs w:val="18"/>
        </w:rPr>
        <w:fldChar w:fldCharType="separate"/>
      </w:r>
      <w:r>
        <w:rPr>
          <w:sz w:val="18"/>
          <w:szCs w:val="18"/>
        </w:rPr>
        <w:t>8.1</w:t>
      </w:r>
      <w:r w:rsidRPr="00487501">
        <w:rPr>
          <w:sz w:val="18"/>
          <w:szCs w:val="18"/>
        </w:rPr>
        <w:fldChar w:fldCharType="end"/>
      </w:r>
      <w:r w:rsidRPr="00487501">
        <w:rPr>
          <w:sz w:val="18"/>
          <w:szCs w:val="18"/>
        </w:rPr>
        <w:t xml:space="preserve"> </w:t>
      </w:r>
      <w:r w:rsidRPr="00487501">
        <w:rPr>
          <w:sz w:val="18"/>
          <w:szCs w:val="18"/>
        </w:rPr>
        <w:fldChar w:fldCharType="begin"/>
      </w:r>
      <w:r w:rsidRPr="00487501">
        <w:rPr>
          <w:sz w:val="18"/>
          <w:szCs w:val="18"/>
        </w:rPr>
        <w:instrText xml:space="preserve"> REF _Ref60744417 \h  \* MERGEFORMAT </w:instrText>
      </w:r>
      <w:r w:rsidRPr="00487501">
        <w:rPr>
          <w:sz w:val="18"/>
          <w:szCs w:val="18"/>
        </w:rPr>
      </w:r>
      <w:r w:rsidRPr="00487501">
        <w:rPr>
          <w:sz w:val="18"/>
          <w:szCs w:val="18"/>
        </w:rPr>
        <w:fldChar w:fldCharType="separate"/>
      </w:r>
      <w:r w:rsidRPr="00B7508E">
        <w:rPr>
          <w:sz w:val="18"/>
          <w:szCs w:val="18"/>
        </w:rPr>
        <w:t>Pojmy</w:t>
      </w:r>
      <w:r w:rsidRPr="00487501">
        <w:rPr>
          <w:sz w:val="18"/>
          <w:szCs w:val="18"/>
        </w:rPr>
        <w:fldChar w:fldCharType="end"/>
      </w:r>
      <w:r w:rsidRPr="00487501">
        <w:rPr>
          <w:sz w:val="18"/>
          <w:szCs w:val="18"/>
        </w:rPr>
        <w:t>.</w:t>
      </w:r>
    </w:p>
  </w:footnote>
  <w:footnote w:id="18">
    <w:p w14:paraId="185FE063" w14:textId="53E9B4F4" w:rsidR="009573AC" w:rsidRPr="00487501" w:rsidRDefault="009573AC" w:rsidP="00807E06">
      <w:pPr>
        <w:pStyle w:val="Textkomentra"/>
        <w:spacing w:after="0"/>
        <w:jc w:val="left"/>
        <w:rPr>
          <w:sz w:val="18"/>
          <w:szCs w:val="18"/>
        </w:rPr>
      </w:pPr>
      <w:r w:rsidRPr="00487501">
        <w:rPr>
          <w:rStyle w:val="Odkaznapoznmkupodiarou"/>
          <w:sz w:val="18"/>
          <w:szCs w:val="18"/>
        </w:rPr>
        <w:footnoteRef/>
      </w:r>
      <w:r w:rsidRPr="00487501">
        <w:rPr>
          <w:sz w:val="18"/>
          <w:szCs w:val="18"/>
        </w:rPr>
        <w:t xml:space="preserve"> Aktuálne platné metodické príručky sú dostupné na webovej stránke MF SR: </w:t>
      </w:r>
      <w:hyperlink r:id="rId2" w:history="1">
        <w:r w:rsidRPr="00487501">
          <w:rPr>
            <w:rStyle w:val="Hypertextovprepojenie"/>
            <w:sz w:val="18"/>
            <w:szCs w:val="18"/>
          </w:rPr>
          <w:t>https://finance.gov.sk/sk/financie/hodnota-za-peniaze/hodnotenie-investicnych-projektov/hodnotenie-investicnych-projektov.html</w:t>
        </w:r>
      </w:hyperlink>
      <w:r w:rsidRPr="00487501">
        <w:rPr>
          <w:rStyle w:val="Hypertextovprepojenie"/>
          <w:sz w:val="18"/>
          <w:szCs w:val="18"/>
        </w:rPr>
        <w:t>.</w:t>
      </w:r>
    </w:p>
  </w:footnote>
  <w:footnote w:id="19">
    <w:p w14:paraId="5CC5AE98" w14:textId="017EAEB9" w:rsidR="009573AC" w:rsidRPr="00487501" w:rsidRDefault="009573AC" w:rsidP="006B7251">
      <w:pPr>
        <w:pStyle w:val="Textpoznmkypodiarou"/>
        <w:tabs>
          <w:tab w:val="left" w:pos="4560"/>
        </w:tabs>
        <w:jc w:val="left"/>
        <w:rPr>
          <w:sz w:val="18"/>
          <w:szCs w:val="18"/>
        </w:rPr>
      </w:pPr>
      <w:r w:rsidRPr="00487501">
        <w:rPr>
          <w:rStyle w:val="Odkaznapoznmkupodiarou"/>
          <w:sz w:val="18"/>
          <w:szCs w:val="18"/>
        </w:rPr>
        <w:footnoteRef/>
      </w:r>
      <w:r w:rsidRPr="00487501">
        <w:rPr>
          <w:sz w:val="18"/>
          <w:szCs w:val="18"/>
        </w:rPr>
        <w:t xml:space="preserve"> Stupňami projektovej prípravy </w:t>
      </w:r>
      <w:r>
        <w:rPr>
          <w:sz w:val="18"/>
          <w:szCs w:val="18"/>
        </w:rPr>
        <w:t>sú</w:t>
      </w:r>
      <w:r w:rsidRPr="00487501">
        <w:rPr>
          <w:sz w:val="18"/>
          <w:szCs w:val="18"/>
        </w:rPr>
        <w:t xml:space="preserve"> </w:t>
      </w:r>
      <w:r>
        <w:rPr>
          <w:sz w:val="18"/>
          <w:szCs w:val="18"/>
        </w:rPr>
        <w:t>posudzovanie</w:t>
      </w:r>
      <w:r w:rsidRPr="00487501">
        <w:rPr>
          <w:sz w:val="18"/>
          <w:szCs w:val="18"/>
        </w:rPr>
        <w:t xml:space="preserve"> vplyvov na životné prostredie, vypracovanie dokumentácie pre územné rozhodnutie</w:t>
      </w:r>
      <w:r>
        <w:rPr>
          <w:sz w:val="18"/>
          <w:szCs w:val="18"/>
        </w:rPr>
        <w:t xml:space="preserve"> a vypracovanie</w:t>
      </w:r>
      <w:r w:rsidRPr="00487501">
        <w:rPr>
          <w:sz w:val="18"/>
          <w:szCs w:val="18"/>
        </w:rPr>
        <w:t xml:space="preserve"> dokumentácie pre stavebné povolenie.</w:t>
      </w:r>
    </w:p>
  </w:footnote>
  <w:footnote w:id="20">
    <w:p w14:paraId="3CB698DA" w14:textId="77777777" w:rsidR="009573AC" w:rsidRPr="00487501" w:rsidRDefault="009573AC" w:rsidP="001358A4">
      <w:pPr>
        <w:pStyle w:val="Textpoznmkypodiarou"/>
        <w:jc w:val="left"/>
        <w:rPr>
          <w:sz w:val="18"/>
          <w:szCs w:val="18"/>
        </w:rPr>
      </w:pPr>
      <w:r w:rsidRPr="00487501">
        <w:rPr>
          <w:rStyle w:val="Odkaznapoznmkupodiarou"/>
          <w:sz w:val="18"/>
          <w:szCs w:val="18"/>
        </w:rPr>
        <w:footnoteRef/>
      </w:r>
      <w:r w:rsidRPr="00487501">
        <w:rPr>
          <w:sz w:val="18"/>
          <w:szCs w:val="18"/>
        </w:rPr>
        <w:t xml:space="preserve"> V zmysle § 4, § 31 a 56 zákona č. 343/2015 Z. z. o verejnom obstarávaní a o zmene a doplnení niektorých zákonov v znení zákona č. 315/2016 Z. z.</w:t>
      </w:r>
    </w:p>
  </w:footnote>
  <w:footnote w:id="21">
    <w:p w14:paraId="1973FF30" w14:textId="47CFDC0B" w:rsidR="009573AC" w:rsidRPr="00487501" w:rsidRDefault="009573AC" w:rsidP="00807E06">
      <w:pPr>
        <w:pStyle w:val="Textkomentra"/>
        <w:spacing w:after="0"/>
        <w:jc w:val="left"/>
        <w:rPr>
          <w:sz w:val="18"/>
          <w:szCs w:val="18"/>
        </w:rPr>
      </w:pPr>
      <w:r w:rsidRPr="00487501">
        <w:rPr>
          <w:rStyle w:val="Odkaznapoznmkupodiarou"/>
          <w:sz w:val="18"/>
          <w:szCs w:val="18"/>
        </w:rPr>
        <w:footnoteRef/>
      </w:r>
      <w:r w:rsidRPr="00487501">
        <w:rPr>
          <w:sz w:val="18"/>
          <w:szCs w:val="18"/>
        </w:rPr>
        <w:t xml:space="preserve"> Aktuálne platné metodické príručky sú dostupné na webovej stránke MF SR: </w:t>
      </w:r>
      <w:hyperlink r:id="rId3" w:history="1">
        <w:r w:rsidRPr="00487501">
          <w:rPr>
            <w:rStyle w:val="Hypertextovprepojenie"/>
            <w:sz w:val="18"/>
            <w:szCs w:val="18"/>
          </w:rPr>
          <w:t>https://finance.gov.sk/sk/financie/hodnota-za-peniaze/hodnotenie-investicnych-projektov/hodnotenie-investicnych-projektov.html</w:t>
        </w:r>
      </w:hyperlink>
      <w:r w:rsidRPr="00487501">
        <w:rPr>
          <w:rStyle w:val="Hypertextovprepojenie"/>
          <w:sz w:val="18"/>
          <w:szCs w:val="18"/>
        </w:rPr>
        <w:t>.</w:t>
      </w:r>
    </w:p>
  </w:footnote>
  <w:footnote w:id="22">
    <w:p w14:paraId="1A4F6E6F" w14:textId="1D6035F1" w:rsidR="009573AC" w:rsidRPr="00487501" w:rsidRDefault="009573AC">
      <w:pPr>
        <w:pStyle w:val="Textpoznmkypodiarou"/>
        <w:rPr>
          <w:sz w:val="18"/>
          <w:szCs w:val="18"/>
        </w:rPr>
      </w:pPr>
      <w:r w:rsidRPr="00487501">
        <w:rPr>
          <w:rStyle w:val="Odkaznapoznmkupodiarou"/>
          <w:sz w:val="18"/>
          <w:szCs w:val="18"/>
        </w:rPr>
        <w:footnoteRef/>
      </w:r>
      <w:r w:rsidRPr="00487501">
        <w:rPr>
          <w:sz w:val="18"/>
          <w:szCs w:val="18"/>
        </w:rPr>
        <w:t xml:space="preserve"> Spracovateľným formátom sa rozumie formát, v ktorom je možné robiť úpravy a umožňuje kopírovanie textu a obrázkov (</w:t>
      </w:r>
      <w:r>
        <w:rPr>
          <w:sz w:val="18"/>
          <w:szCs w:val="18"/>
        </w:rPr>
        <w:t xml:space="preserve">t.j. vo formáte kompatibilnom s bežne dostupným kancelárskym balíkom, </w:t>
      </w:r>
      <w:r w:rsidRPr="00487501">
        <w:rPr>
          <w:sz w:val="18"/>
          <w:szCs w:val="18"/>
        </w:rPr>
        <w:t>napr. MS Word, Excel). Spracovanie formátu PDF pre účely ekonomického hodnotenia komplikuje a predlžuje proces.</w:t>
      </w:r>
    </w:p>
  </w:footnote>
  <w:footnote w:id="23">
    <w:p w14:paraId="5B0E97A6" w14:textId="2E142FED" w:rsidR="009573AC" w:rsidRPr="00487501" w:rsidRDefault="009573AC">
      <w:pPr>
        <w:pStyle w:val="Textpoznmkypodiarou"/>
        <w:rPr>
          <w:sz w:val="18"/>
          <w:szCs w:val="18"/>
        </w:rPr>
      </w:pPr>
      <w:r w:rsidRPr="00487501">
        <w:rPr>
          <w:rStyle w:val="Odkaznapoznmkupodiarou"/>
          <w:sz w:val="18"/>
          <w:szCs w:val="18"/>
        </w:rPr>
        <w:footnoteRef/>
      </w:r>
      <w:r w:rsidRPr="00487501">
        <w:rPr>
          <w:sz w:val="18"/>
          <w:szCs w:val="18"/>
        </w:rPr>
        <w:t xml:space="preserve"> V zmysle § 19a ods. 1 zákona č. 523/2004 Z. z. o rozpočtových pravidlách verejnej správy a o zmene a doplnení niektorých zákonov v znení neskorších predpisov.</w:t>
      </w:r>
    </w:p>
  </w:footnote>
  <w:footnote w:id="24">
    <w:p w14:paraId="34AA66BC" w14:textId="77777777" w:rsidR="009573AC" w:rsidRPr="00487501" w:rsidRDefault="009573AC" w:rsidP="00192DFE">
      <w:pPr>
        <w:pStyle w:val="Textpoznmkypodiarou"/>
        <w:rPr>
          <w:sz w:val="18"/>
          <w:szCs w:val="18"/>
        </w:rPr>
      </w:pPr>
      <w:r w:rsidRPr="00487501">
        <w:rPr>
          <w:rStyle w:val="Odkaznapoznmkupodiarou"/>
          <w:sz w:val="18"/>
          <w:szCs w:val="18"/>
        </w:rPr>
        <w:footnoteRef/>
      </w:r>
      <w:r w:rsidRPr="00487501">
        <w:rPr>
          <w:sz w:val="18"/>
          <w:szCs w:val="18"/>
        </w:rPr>
        <w:t xml:space="preserve"> V zmysle § 22 zákona č. 24/2006 Z. z. o posudzovaní vplyvov na životné prostredie a o zmene a doplnení niektorých zákonov v znení neskorších predpisov.</w:t>
      </w:r>
    </w:p>
  </w:footnote>
  <w:footnote w:id="25">
    <w:p w14:paraId="09A3CA47" w14:textId="7CF4AC46" w:rsidR="009573AC" w:rsidRPr="00487501" w:rsidRDefault="009573AC">
      <w:pPr>
        <w:pStyle w:val="Textpoznmkypodiarou"/>
        <w:rPr>
          <w:sz w:val="18"/>
          <w:szCs w:val="18"/>
        </w:rPr>
      </w:pPr>
      <w:r w:rsidRPr="00487501">
        <w:rPr>
          <w:rStyle w:val="Odkaznapoznmkupodiarou"/>
          <w:sz w:val="18"/>
          <w:szCs w:val="18"/>
        </w:rPr>
        <w:footnoteRef/>
      </w:r>
      <w:r w:rsidRPr="00487501">
        <w:rPr>
          <w:sz w:val="18"/>
          <w:szCs w:val="18"/>
        </w:rPr>
        <w:t xml:space="preserve"> V zmysle § 26 a 101 zákona č. 343/2015 Z. z. o verejnom obstarávaní a o zmene a doplnení niektorých zákonov.</w:t>
      </w:r>
    </w:p>
  </w:footnote>
  <w:footnote w:id="26">
    <w:p w14:paraId="741D766B" w14:textId="748E2395" w:rsidR="009573AC" w:rsidRPr="00487501" w:rsidRDefault="009573AC" w:rsidP="003472E0">
      <w:pPr>
        <w:pStyle w:val="Textpoznmkypodiarou"/>
        <w:rPr>
          <w:sz w:val="18"/>
          <w:szCs w:val="18"/>
        </w:rPr>
      </w:pPr>
      <w:r w:rsidRPr="00487501">
        <w:rPr>
          <w:rStyle w:val="Odkaznapoznmkupodiarou"/>
          <w:sz w:val="18"/>
          <w:szCs w:val="18"/>
        </w:rPr>
        <w:footnoteRef/>
      </w:r>
      <w:r w:rsidRPr="00487501">
        <w:rPr>
          <w:sz w:val="18"/>
          <w:szCs w:val="18"/>
        </w:rPr>
        <w:t xml:space="preserve"> Podľa definície uvedenej v bode m) Kapitoly </w:t>
      </w:r>
      <w:r w:rsidRPr="00487501">
        <w:rPr>
          <w:sz w:val="18"/>
          <w:szCs w:val="18"/>
        </w:rPr>
        <w:fldChar w:fldCharType="begin"/>
      </w:r>
      <w:r w:rsidRPr="00487501">
        <w:rPr>
          <w:sz w:val="18"/>
          <w:szCs w:val="18"/>
        </w:rPr>
        <w:instrText xml:space="preserve"> REF _Ref54344420 \r \h  \* MERGEFORMAT </w:instrText>
      </w:r>
      <w:r w:rsidRPr="00487501">
        <w:rPr>
          <w:sz w:val="18"/>
          <w:szCs w:val="18"/>
        </w:rPr>
      </w:r>
      <w:r w:rsidRPr="00487501">
        <w:rPr>
          <w:sz w:val="18"/>
          <w:szCs w:val="18"/>
        </w:rPr>
        <w:fldChar w:fldCharType="separate"/>
      </w:r>
      <w:r>
        <w:rPr>
          <w:sz w:val="18"/>
          <w:szCs w:val="18"/>
        </w:rPr>
        <w:t>8.1</w:t>
      </w:r>
      <w:r w:rsidRPr="00487501">
        <w:rPr>
          <w:sz w:val="18"/>
          <w:szCs w:val="18"/>
        </w:rPr>
        <w:fldChar w:fldCharType="end"/>
      </w:r>
      <w:r w:rsidRPr="00487501">
        <w:rPr>
          <w:sz w:val="18"/>
          <w:szCs w:val="18"/>
        </w:rPr>
        <w:t xml:space="preserve"> </w:t>
      </w:r>
      <w:r w:rsidRPr="00487501">
        <w:rPr>
          <w:sz w:val="18"/>
          <w:szCs w:val="18"/>
        </w:rPr>
        <w:fldChar w:fldCharType="begin"/>
      </w:r>
      <w:r w:rsidRPr="00487501">
        <w:rPr>
          <w:sz w:val="18"/>
          <w:szCs w:val="18"/>
        </w:rPr>
        <w:instrText xml:space="preserve"> REF _Ref54344427 \h  \* MERGEFORMAT </w:instrText>
      </w:r>
      <w:r w:rsidRPr="00487501">
        <w:rPr>
          <w:sz w:val="18"/>
          <w:szCs w:val="18"/>
        </w:rPr>
      </w:r>
      <w:r w:rsidRPr="00487501">
        <w:rPr>
          <w:sz w:val="18"/>
          <w:szCs w:val="18"/>
        </w:rPr>
        <w:fldChar w:fldCharType="separate"/>
      </w:r>
      <w:r w:rsidRPr="00B7508E">
        <w:rPr>
          <w:sz w:val="18"/>
          <w:szCs w:val="18"/>
        </w:rPr>
        <w:t>Pojmy</w:t>
      </w:r>
      <w:r w:rsidRPr="00487501">
        <w:rPr>
          <w:sz w:val="18"/>
          <w:szCs w:val="18"/>
        </w:rPr>
        <w:fldChar w:fldCharType="end"/>
      </w:r>
    </w:p>
  </w:footnote>
  <w:footnote w:id="27">
    <w:p w14:paraId="50C30241" w14:textId="368A88D1" w:rsidR="009573AC" w:rsidRPr="00487501" w:rsidRDefault="009573AC">
      <w:pPr>
        <w:pStyle w:val="Textpoznmkypodiarou"/>
        <w:rPr>
          <w:sz w:val="18"/>
          <w:szCs w:val="18"/>
        </w:rPr>
      </w:pPr>
      <w:r w:rsidRPr="00487501">
        <w:rPr>
          <w:rStyle w:val="Odkaznapoznmkupodiarou"/>
          <w:sz w:val="18"/>
          <w:szCs w:val="18"/>
        </w:rPr>
        <w:footnoteRef/>
      </w:r>
      <w:r w:rsidRPr="00487501">
        <w:rPr>
          <w:sz w:val="18"/>
          <w:szCs w:val="18"/>
        </w:rPr>
        <w:t xml:space="preserve"> Podľa zákona č. 215/2004 Z. z. o ochrane utajovaných skutočností a o zmene a doplnení niektorých zákonov v znení neskorších predpisov a vyhlášky Národného bezpečnostného úradu č. 48/2019 Z. z., ktorou sa ustanovujú podrobnosti o administratívnej bezpečnosti utajovaných skutočností</w:t>
      </w:r>
    </w:p>
  </w:footnote>
  <w:footnote w:id="28">
    <w:p w14:paraId="342908FE" w14:textId="0BF7F7DA" w:rsidR="009573AC" w:rsidRPr="00487501" w:rsidRDefault="009573AC" w:rsidP="005D56BA">
      <w:pPr>
        <w:pStyle w:val="Textpoznmkypodiarou"/>
        <w:jc w:val="left"/>
        <w:rPr>
          <w:sz w:val="18"/>
          <w:szCs w:val="18"/>
        </w:rPr>
      </w:pPr>
      <w:r w:rsidRPr="00487501">
        <w:rPr>
          <w:rStyle w:val="Odkaznapoznmkupodiarou"/>
          <w:sz w:val="18"/>
          <w:szCs w:val="18"/>
        </w:rPr>
        <w:footnoteRef/>
      </w:r>
      <w:r w:rsidRPr="00487501">
        <w:rPr>
          <w:sz w:val="18"/>
          <w:szCs w:val="18"/>
        </w:rPr>
        <w:t xml:space="preserve"> Podľa definície uvedenej v bode n) kapitoly </w:t>
      </w:r>
      <w:r w:rsidRPr="00487501">
        <w:rPr>
          <w:sz w:val="18"/>
          <w:szCs w:val="18"/>
        </w:rPr>
        <w:fldChar w:fldCharType="begin"/>
      </w:r>
      <w:r w:rsidRPr="00487501">
        <w:rPr>
          <w:sz w:val="18"/>
          <w:szCs w:val="18"/>
        </w:rPr>
        <w:instrText xml:space="preserve"> REF _Ref54344420 \r \h  \* MERGEFORMAT </w:instrText>
      </w:r>
      <w:r w:rsidRPr="00487501">
        <w:rPr>
          <w:sz w:val="18"/>
          <w:szCs w:val="18"/>
        </w:rPr>
      </w:r>
      <w:r w:rsidRPr="00487501">
        <w:rPr>
          <w:sz w:val="18"/>
          <w:szCs w:val="18"/>
        </w:rPr>
        <w:fldChar w:fldCharType="separate"/>
      </w:r>
      <w:r>
        <w:rPr>
          <w:sz w:val="18"/>
          <w:szCs w:val="18"/>
        </w:rPr>
        <w:t>8.1</w:t>
      </w:r>
      <w:r w:rsidRPr="00487501">
        <w:rPr>
          <w:sz w:val="18"/>
          <w:szCs w:val="18"/>
        </w:rPr>
        <w:fldChar w:fldCharType="end"/>
      </w:r>
      <w:r w:rsidRPr="00487501">
        <w:rPr>
          <w:sz w:val="18"/>
          <w:szCs w:val="18"/>
        </w:rPr>
        <w:t xml:space="preserve"> </w:t>
      </w:r>
      <w:r w:rsidRPr="00487501">
        <w:rPr>
          <w:sz w:val="18"/>
          <w:szCs w:val="18"/>
        </w:rPr>
        <w:fldChar w:fldCharType="begin"/>
      </w:r>
      <w:r w:rsidRPr="00487501">
        <w:rPr>
          <w:sz w:val="18"/>
          <w:szCs w:val="18"/>
        </w:rPr>
        <w:instrText xml:space="preserve"> REF _Ref54344427 \h  \* MERGEFORMAT </w:instrText>
      </w:r>
      <w:r w:rsidRPr="00487501">
        <w:rPr>
          <w:sz w:val="18"/>
          <w:szCs w:val="18"/>
        </w:rPr>
      </w:r>
      <w:r w:rsidRPr="00487501">
        <w:rPr>
          <w:sz w:val="18"/>
          <w:szCs w:val="18"/>
        </w:rPr>
        <w:fldChar w:fldCharType="separate"/>
      </w:r>
      <w:r w:rsidRPr="00B7508E">
        <w:rPr>
          <w:sz w:val="18"/>
          <w:szCs w:val="18"/>
        </w:rPr>
        <w:t>Pojmy</w:t>
      </w:r>
      <w:r w:rsidRPr="00487501">
        <w:rPr>
          <w:sz w:val="18"/>
          <w:szCs w:val="18"/>
        </w:rPr>
        <w:fldChar w:fldCharType="end"/>
      </w:r>
      <w:r w:rsidRPr="00487501">
        <w:rPr>
          <w:sz w:val="18"/>
          <w:szCs w:val="18"/>
        </w:rPr>
        <w:t>.</w:t>
      </w:r>
    </w:p>
  </w:footnote>
  <w:footnote w:id="29">
    <w:p w14:paraId="36A3F69E" w14:textId="7B6740C3" w:rsidR="009573AC" w:rsidRPr="00487501" w:rsidRDefault="009573AC">
      <w:pPr>
        <w:pStyle w:val="Textpoznmkypodiarou"/>
        <w:rPr>
          <w:sz w:val="18"/>
          <w:szCs w:val="18"/>
        </w:rPr>
      </w:pPr>
      <w:r w:rsidRPr="00487501">
        <w:rPr>
          <w:rStyle w:val="Odkaznapoznmkupodiarou"/>
          <w:sz w:val="18"/>
          <w:szCs w:val="18"/>
        </w:rPr>
        <w:footnoteRef/>
      </w:r>
      <w:r w:rsidRPr="00487501">
        <w:rPr>
          <w:sz w:val="18"/>
          <w:szCs w:val="18"/>
        </w:rPr>
        <w:t xml:space="preserve"> Informačný materiál ÚVO k PTK je dostupný na odkaze: </w:t>
      </w:r>
      <w:hyperlink r:id="rId4" w:history="1">
        <w:r w:rsidRPr="00487501">
          <w:rPr>
            <w:rStyle w:val="Hypertextovprepojenie"/>
            <w:sz w:val="18"/>
            <w:szCs w:val="18"/>
          </w:rPr>
          <w:t>https://www.uvo.gov.sk/extdoc/2951/Infografika-k-PTK</w:t>
        </w:r>
      </w:hyperlink>
      <w:r w:rsidRPr="00487501">
        <w:rPr>
          <w:sz w:val="18"/>
          <w:szCs w:val="18"/>
        </w:rPr>
        <w:t>.</w:t>
      </w:r>
    </w:p>
  </w:footnote>
  <w:footnote w:id="30">
    <w:p w14:paraId="56E75B82" w14:textId="7A354989" w:rsidR="009573AC" w:rsidRPr="00487501" w:rsidRDefault="009573AC">
      <w:pPr>
        <w:pStyle w:val="Textpoznmkypodiarou"/>
        <w:rPr>
          <w:sz w:val="18"/>
          <w:szCs w:val="18"/>
        </w:rPr>
      </w:pPr>
      <w:r w:rsidRPr="00487501">
        <w:rPr>
          <w:rStyle w:val="Odkaznapoznmkupodiarou"/>
          <w:sz w:val="18"/>
          <w:szCs w:val="18"/>
        </w:rPr>
        <w:footnoteRef/>
      </w:r>
      <w:r w:rsidRPr="00487501">
        <w:rPr>
          <w:sz w:val="18"/>
          <w:szCs w:val="18"/>
        </w:rPr>
        <w:t xml:space="preserve"> Podľa štúdie De Silva, et al. (2009), “The Effect of Information on the Bidding and Survival of Entrants in Procurement Auctions,” Journal of Public Economics, Vol. 93/1-2, strana 56–72.</w:t>
      </w:r>
    </w:p>
  </w:footnote>
  <w:footnote w:id="31">
    <w:p w14:paraId="1D7E77FE" w14:textId="26DCBB1E" w:rsidR="009573AC" w:rsidRPr="00487501" w:rsidRDefault="009573AC">
      <w:pPr>
        <w:pStyle w:val="Textpoznmkypodiarou"/>
        <w:rPr>
          <w:sz w:val="18"/>
          <w:szCs w:val="18"/>
        </w:rPr>
      </w:pPr>
      <w:r w:rsidRPr="00487501">
        <w:rPr>
          <w:rStyle w:val="Odkaznapoznmkupodiarou"/>
          <w:sz w:val="18"/>
          <w:szCs w:val="18"/>
        </w:rPr>
        <w:footnoteRef/>
      </w:r>
      <w:r w:rsidRPr="00487501">
        <w:rPr>
          <w:sz w:val="18"/>
          <w:szCs w:val="18"/>
        </w:rPr>
        <w:t xml:space="preserve"> V zmysle uznesenia vlády č. 92/2020 z 27. februára 2020 majú ministerstvá a ústredné orgány štátnej správy povinnosť uplatňovať pri obstarávaní tovarov a služieb pri produktových skupinách „cestná doprava“, „kopírovací a grafický papier“ a „počítače a monitory“ k príslušným opisom predmetov obstarávania podľa ich CPV kódov vhodné environmentálne charakteristiky.</w:t>
      </w:r>
    </w:p>
  </w:footnote>
  <w:footnote w:id="32">
    <w:p w14:paraId="02D734AB" w14:textId="77777777" w:rsidR="009573AC" w:rsidRPr="00487501" w:rsidRDefault="009573AC" w:rsidP="00396391">
      <w:pPr>
        <w:pStyle w:val="Textpoznmkypodiarou"/>
        <w:rPr>
          <w:sz w:val="18"/>
          <w:szCs w:val="18"/>
        </w:rPr>
      </w:pPr>
      <w:r w:rsidRPr="00487501">
        <w:rPr>
          <w:rStyle w:val="Odkaznapoznmkupodiarou"/>
          <w:sz w:val="18"/>
          <w:szCs w:val="18"/>
        </w:rPr>
        <w:footnoteRef/>
      </w:r>
      <w:r w:rsidRPr="00487501">
        <w:rPr>
          <w:sz w:val="18"/>
          <w:szCs w:val="18"/>
        </w:rPr>
        <w:t xml:space="preserve"> Dokumentáciou pre obstarávanie sa v zmysle zákona č. 343/2015 Z. z. o verejnom obstarávaní myslia dokumenty potrebné na vypracovanie ponuky, návrhu alebo na preukázanie splnenia podmienok účasti.</w:t>
      </w:r>
    </w:p>
  </w:footnote>
  <w:footnote w:id="33">
    <w:p w14:paraId="1BF93A83" w14:textId="77777777" w:rsidR="009573AC" w:rsidRPr="00487501" w:rsidRDefault="009573AC" w:rsidP="00B519B9">
      <w:pPr>
        <w:pStyle w:val="Textpoznmkypodiarou"/>
        <w:rPr>
          <w:sz w:val="18"/>
          <w:szCs w:val="18"/>
        </w:rPr>
      </w:pPr>
      <w:r w:rsidRPr="00487501">
        <w:rPr>
          <w:rStyle w:val="Odkaznapoznmkupodiarou"/>
          <w:sz w:val="18"/>
          <w:szCs w:val="18"/>
        </w:rPr>
        <w:footnoteRef/>
      </w:r>
      <w:r w:rsidRPr="00487501">
        <w:rPr>
          <w:sz w:val="18"/>
          <w:szCs w:val="18"/>
        </w:rPr>
        <w:t xml:space="preserve"> Podľa § 5 ods. 7 zákona č. 343/2015 Z. z. o verejnom obstarávaní a o zmene a doplnení niektorých zákonov, ktorý odkazuje na Vyhlášku Úradu pre verejné obstarávanie.</w:t>
      </w:r>
    </w:p>
  </w:footnote>
  <w:footnote w:id="34">
    <w:p w14:paraId="7DC396C0" w14:textId="77777777" w:rsidR="009573AC" w:rsidRPr="00487501" w:rsidRDefault="009573AC" w:rsidP="007D0727">
      <w:pPr>
        <w:pStyle w:val="Textpoznmkypodiarou"/>
        <w:rPr>
          <w:sz w:val="18"/>
          <w:szCs w:val="18"/>
        </w:rPr>
      </w:pPr>
      <w:r w:rsidRPr="00487501">
        <w:rPr>
          <w:rStyle w:val="Odkaznapoznmkupodiarou"/>
          <w:sz w:val="18"/>
          <w:szCs w:val="18"/>
        </w:rPr>
        <w:footnoteRef/>
      </w:r>
      <w:r w:rsidRPr="00487501">
        <w:rPr>
          <w:sz w:val="18"/>
          <w:szCs w:val="18"/>
        </w:rPr>
        <w:t xml:space="preserve"> Spracovateľným formátom sa rozumie formát, v ktorom je možné robiť úpravy a umožňuje kopírovanie textu a obrázkov (napr. MS Word, Excel). Spracovanie formátu PDF pre účely ekonomického hodnotenia komplikuje a predlžuje proces.</w:t>
      </w:r>
    </w:p>
  </w:footnote>
  <w:footnote w:id="35">
    <w:p w14:paraId="14104C08" w14:textId="3BC0ACB7" w:rsidR="009573AC" w:rsidRPr="00487501" w:rsidRDefault="009573AC" w:rsidP="00396391">
      <w:pPr>
        <w:pStyle w:val="Textpoznmkypodiarou"/>
        <w:rPr>
          <w:sz w:val="18"/>
          <w:szCs w:val="18"/>
        </w:rPr>
      </w:pPr>
      <w:r w:rsidRPr="00487501">
        <w:rPr>
          <w:rStyle w:val="Odkaznapoznmkupodiarou"/>
          <w:sz w:val="18"/>
          <w:szCs w:val="18"/>
        </w:rPr>
        <w:footnoteRef/>
      </w:r>
      <w:r w:rsidRPr="00487501">
        <w:rPr>
          <w:sz w:val="18"/>
          <w:szCs w:val="18"/>
        </w:rPr>
        <w:t xml:space="preserve"> Ustanovená hranica je uvedená v § 1 nariadenia vlády SR č. 174/2019 Z. z. o podmienkach vypracovania štúdie uskutočniteľnosti investície a štúdie uskutočniteľnosti koncesie. V čase prípravy dokumentu je platná hranica 10 mil. eur na investičné projekty v informatizácii a 40 mil. eur na investičné projekty v ostatných oblastiach.</w:t>
      </w:r>
    </w:p>
  </w:footnote>
  <w:footnote w:id="36">
    <w:p w14:paraId="7752B815" w14:textId="1E3865D3" w:rsidR="009573AC" w:rsidRPr="00487501" w:rsidRDefault="009573AC" w:rsidP="00396391">
      <w:pPr>
        <w:pStyle w:val="Textpoznmkypodiarou"/>
        <w:rPr>
          <w:sz w:val="18"/>
          <w:szCs w:val="18"/>
        </w:rPr>
      </w:pPr>
      <w:r w:rsidRPr="00487501">
        <w:rPr>
          <w:rStyle w:val="Odkaznapoznmkupodiarou"/>
          <w:sz w:val="18"/>
          <w:szCs w:val="18"/>
        </w:rPr>
        <w:footnoteRef/>
      </w:r>
      <w:r w:rsidRPr="00487501">
        <w:rPr>
          <w:sz w:val="18"/>
          <w:szCs w:val="18"/>
        </w:rPr>
        <w:t xml:space="preserve"> Podľa definície uvedenej v bode m) Kapitoly </w:t>
      </w:r>
      <w:r w:rsidRPr="00487501">
        <w:rPr>
          <w:sz w:val="18"/>
          <w:szCs w:val="18"/>
        </w:rPr>
        <w:fldChar w:fldCharType="begin"/>
      </w:r>
      <w:r w:rsidRPr="00487501">
        <w:rPr>
          <w:sz w:val="18"/>
          <w:szCs w:val="18"/>
        </w:rPr>
        <w:instrText xml:space="preserve"> REF _Ref54344420 \r \h  \* MERGEFORMAT </w:instrText>
      </w:r>
      <w:r w:rsidRPr="00487501">
        <w:rPr>
          <w:sz w:val="18"/>
          <w:szCs w:val="18"/>
        </w:rPr>
      </w:r>
      <w:r w:rsidRPr="00487501">
        <w:rPr>
          <w:sz w:val="18"/>
          <w:szCs w:val="18"/>
        </w:rPr>
        <w:fldChar w:fldCharType="separate"/>
      </w:r>
      <w:r>
        <w:rPr>
          <w:sz w:val="18"/>
          <w:szCs w:val="18"/>
        </w:rPr>
        <w:t>8.1</w:t>
      </w:r>
      <w:r w:rsidRPr="00487501">
        <w:rPr>
          <w:sz w:val="18"/>
          <w:szCs w:val="18"/>
        </w:rPr>
        <w:fldChar w:fldCharType="end"/>
      </w:r>
      <w:r w:rsidRPr="00487501">
        <w:rPr>
          <w:sz w:val="18"/>
          <w:szCs w:val="18"/>
        </w:rPr>
        <w:t xml:space="preserve"> </w:t>
      </w:r>
      <w:r w:rsidRPr="00487501">
        <w:rPr>
          <w:sz w:val="18"/>
          <w:szCs w:val="18"/>
        </w:rPr>
        <w:fldChar w:fldCharType="begin"/>
      </w:r>
      <w:r w:rsidRPr="00487501">
        <w:rPr>
          <w:sz w:val="18"/>
          <w:szCs w:val="18"/>
        </w:rPr>
        <w:instrText xml:space="preserve"> REF _Ref54344427 \h  \* MERGEFORMAT </w:instrText>
      </w:r>
      <w:r w:rsidRPr="00487501">
        <w:rPr>
          <w:sz w:val="18"/>
          <w:szCs w:val="18"/>
        </w:rPr>
      </w:r>
      <w:r w:rsidRPr="00487501">
        <w:rPr>
          <w:sz w:val="18"/>
          <w:szCs w:val="18"/>
        </w:rPr>
        <w:fldChar w:fldCharType="separate"/>
      </w:r>
      <w:r w:rsidRPr="000129F7">
        <w:rPr>
          <w:sz w:val="18"/>
          <w:szCs w:val="18"/>
        </w:rPr>
        <w:t>Pojmy</w:t>
      </w:r>
      <w:r w:rsidRPr="00487501">
        <w:rPr>
          <w:sz w:val="18"/>
          <w:szCs w:val="18"/>
        </w:rPr>
        <w:fldChar w:fldCharType="end"/>
      </w:r>
    </w:p>
  </w:footnote>
  <w:footnote w:id="37">
    <w:p w14:paraId="27F33F6D" w14:textId="77777777" w:rsidR="009573AC" w:rsidRPr="00487501" w:rsidRDefault="009573AC" w:rsidP="007F5147">
      <w:pPr>
        <w:pStyle w:val="Textpoznmkypodiarou"/>
        <w:rPr>
          <w:sz w:val="18"/>
          <w:szCs w:val="18"/>
        </w:rPr>
      </w:pPr>
      <w:r w:rsidRPr="00487501">
        <w:rPr>
          <w:rStyle w:val="Odkaznapoznmkupodiarou"/>
          <w:sz w:val="18"/>
          <w:szCs w:val="18"/>
        </w:rPr>
        <w:footnoteRef/>
      </w:r>
      <w:r w:rsidRPr="00487501">
        <w:rPr>
          <w:sz w:val="18"/>
          <w:szCs w:val="18"/>
        </w:rPr>
        <w:t xml:space="preserve"> Spracovateľným formátom sa rozumie formát, v ktorom je možné robiť úpravy a umožňuje kopírovanie textu a obrázkov (napr. MS Word, Excel). Spracovanie formátu PDF pre účely ekonomického hodnotenia komplikuje a predlžuje proces.</w:t>
      </w:r>
    </w:p>
  </w:footnote>
  <w:footnote w:id="38">
    <w:p w14:paraId="6E2CDFCB" w14:textId="54E6A5CA" w:rsidR="009573AC" w:rsidRPr="007C6FA0" w:rsidRDefault="009573AC">
      <w:pPr>
        <w:pStyle w:val="Textpoznmkypodiarou"/>
        <w:rPr>
          <w:sz w:val="18"/>
        </w:rPr>
      </w:pPr>
      <w:r w:rsidRPr="007C6FA0">
        <w:rPr>
          <w:rStyle w:val="Odkaznapoznmkupodiarou"/>
          <w:sz w:val="18"/>
        </w:rPr>
        <w:footnoteRef/>
      </w:r>
      <w:r w:rsidRPr="007C6FA0">
        <w:rPr>
          <w:sz w:val="18"/>
        </w:rPr>
        <w:t xml:space="preserve"> </w:t>
      </w:r>
      <w:r>
        <w:rPr>
          <w:sz w:val="18"/>
        </w:rPr>
        <w:t>P</w:t>
      </w:r>
      <w:r w:rsidRPr="007C6FA0">
        <w:rPr>
          <w:sz w:val="18"/>
        </w:rPr>
        <w:t>odľa § 6 ods. 17 zákona č. 343/2015 Z. z.</w:t>
      </w:r>
    </w:p>
  </w:footnote>
  <w:footnote w:id="39">
    <w:p w14:paraId="12BDC341" w14:textId="3143F642" w:rsidR="009573AC" w:rsidRPr="00487501" w:rsidRDefault="009573AC" w:rsidP="00A47568">
      <w:pPr>
        <w:pStyle w:val="Textpoznmkypodiarou"/>
        <w:rPr>
          <w:sz w:val="18"/>
          <w:szCs w:val="18"/>
        </w:rPr>
      </w:pPr>
      <w:r w:rsidRPr="00487501">
        <w:rPr>
          <w:rStyle w:val="Odkaznapoznmkupodiarou"/>
          <w:sz w:val="18"/>
          <w:szCs w:val="18"/>
        </w:rPr>
        <w:footnoteRef/>
      </w:r>
      <w:r w:rsidRPr="00487501">
        <w:rPr>
          <w:sz w:val="18"/>
          <w:szCs w:val="18"/>
        </w:rPr>
        <w:t xml:space="preserve"> Podľa definície uvedenej v bode m) Kapitoly </w:t>
      </w:r>
      <w:r w:rsidRPr="00487501">
        <w:rPr>
          <w:sz w:val="18"/>
          <w:szCs w:val="18"/>
        </w:rPr>
        <w:fldChar w:fldCharType="begin"/>
      </w:r>
      <w:r w:rsidRPr="00487501">
        <w:rPr>
          <w:sz w:val="18"/>
          <w:szCs w:val="18"/>
        </w:rPr>
        <w:instrText xml:space="preserve"> REF _Ref54344420 \r \h  \* MERGEFORMAT </w:instrText>
      </w:r>
      <w:r w:rsidRPr="00487501">
        <w:rPr>
          <w:sz w:val="18"/>
          <w:szCs w:val="18"/>
        </w:rPr>
      </w:r>
      <w:r w:rsidRPr="00487501">
        <w:rPr>
          <w:sz w:val="18"/>
          <w:szCs w:val="18"/>
        </w:rPr>
        <w:fldChar w:fldCharType="separate"/>
      </w:r>
      <w:r>
        <w:rPr>
          <w:sz w:val="18"/>
          <w:szCs w:val="18"/>
        </w:rPr>
        <w:t>8.1</w:t>
      </w:r>
      <w:r w:rsidRPr="00487501">
        <w:rPr>
          <w:sz w:val="18"/>
          <w:szCs w:val="18"/>
        </w:rPr>
        <w:fldChar w:fldCharType="end"/>
      </w:r>
      <w:r w:rsidRPr="00487501">
        <w:rPr>
          <w:sz w:val="18"/>
          <w:szCs w:val="18"/>
        </w:rPr>
        <w:t xml:space="preserve"> </w:t>
      </w:r>
      <w:r w:rsidRPr="00487501">
        <w:rPr>
          <w:sz w:val="18"/>
          <w:szCs w:val="18"/>
        </w:rPr>
        <w:fldChar w:fldCharType="begin"/>
      </w:r>
      <w:r w:rsidRPr="00487501">
        <w:rPr>
          <w:sz w:val="18"/>
          <w:szCs w:val="18"/>
        </w:rPr>
        <w:instrText xml:space="preserve"> REF _Ref54344427 \h  \* MERGEFORMAT </w:instrText>
      </w:r>
      <w:r w:rsidRPr="00487501">
        <w:rPr>
          <w:sz w:val="18"/>
          <w:szCs w:val="18"/>
        </w:rPr>
      </w:r>
      <w:r w:rsidRPr="00487501">
        <w:rPr>
          <w:sz w:val="18"/>
          <w:szCs w:val="18"/>
        </w:rPr>
        <w:fldChar w:fldCharType="separate"/>
      </w:r>
      <w:r w:rsidRPr="000129F7">
        <w:rPr>
          <w:sz w:val="18"/>
          <w:szCs w:val="18"/>
        </w:rPr>
        <w:t>Pojmy</w:t>
      </w:r>
      <w:r w:rsidRPr="00487501">
        <w:rPr>
          <w:sz w:val="18"/>
          <w:szCs w:val="18"/>
        </w:rPr>
        <w:fldChar w:fldCharType="end"/>
      </w:r>
    </w:p>
  </w:footnote>
  <w:footnote w:id="40">
    <w:p w14:paraId="3D383C8E" w14:textId="34DCE349" w:rsidR="009573AC" w:rsidRDefault="009573AC">
      <w:pPr>
        <w:pStyle w:val="Textpoznmkypodiarou"/>
      </w:pPr>
      <w:r w:rsidRPr="00AD17F9">
        <w:rPr>
          <w:rStyle w:val="Odkaznapoznmkupodiarou"/>
          <w:sz w:val="18"/>
        </w:rPr>
        <w:footnoteRef/>
      </w:r>
      <w:r w:rsidRPr="00AD17F9">
        <w:rPr>
          <w:sz w:val="18"/>
        </w:rPr>
        <w:t xml:space="preserve"> Oprávnenie MF SR vyplýva z § 19a ods. 10 zákona č. 523/2004 Z. z.</w:t>
      </w:r>
    </w:p>
  </w:footnote>
  <w:footnote w:id="41">
    <w:p w14:paraId="40029DB7" w14:textId="77777777" w:rsidR="009573AC" w:rsidRPr="00487501" w:rsidRDefault="009573AC" w:rsidP="00847BF1">
      <w:pPr>
        <w:pStyle w:val="Textpoznmkypodiarou"/>
        <w:jc w:val="left"/>
        <w:rPr>
          <w:sz w:val="18"/>
          <w:szCs w:val="18"/>
        </w:rPr>
      </w:pPr>
      <w:r w:rsidRPr="00487501">
        <w:rPr>
          <w:rStyle w:val="Odkaznapoznmkupodiarou"/>
          <w:sz w:val="18"/>
          <w:szCs w:val="18"/>
        </w:rPr>
        <w:footnoteRef/>
      </w:r>
      <w:r w:rsidRPr="00487501">
        <w:rPr>
          <w:sz w:val="18"/>
          <w:szCs w:val="18"/>
        </w:rPr>
        <w:t xml:space="preserve"> V zmysle zákona č. 39/1993 Z. z. o Najvyššom kontrolnom úrade Slovenskej republiky.</w:t>
      </w:r>
    </w:p>
  </w:footnote>
  <w:footnote w:id="42">
    <w:p w14:paraId="639C41E6" w14:textId="36E11A09" w:rsidR="009573AC" w:rsidRPr="00487501" w:rsidRDefault="009573AC">
      <w:pPr>
        <w:pStyle w:val="Textpoznmkypodiarou"/>
        <w:rPr>
          <w:sz w:val="18"/>
          <w:szCs w:val="18"/>
        </w:rPr>
      </w:pPr>
      <w:r w:rsidRPr="00487501">
        <w:rPr>
          <w:rStyle w:val="Odkaznapoznmkupodiarou"/>
          <w:sz w:val="18"/>
          <w:szCs w:val="18"/>
        </w:rPr>
        <w:footnoteRef/>
      </w:r>
      <w:r w:rsidRPr="00487501">
        <w:rPr>
          <w:sz w:val="18"/>
          <w:szCs w:val="18"/>
        </w:rPr>
        <w:t xml:space="preserve"> Podľa zákona č. 523/2004 Z. z. o rozpočtových pravidlách verejnej správy a o zmene a doplnení niektorých zákonov.</w:t>
      </w:r>
    </w:p>
  </w:footnote>
  <w:footnote w:id="43">
    <w:p w14:paraId="3055DDEE" w14:textId="79DD87E8" w:rsidR="009573AC" w:rsidRPr="00487501" w:rsidRDefault="009573AC" w:rsidP="00375C98">
      <w:pPr>
        <w:pStyle w:val="Textpoznmkypodiarou"/>
        <w:jc w:val="left"/>
        <w:rPr>
          <w:sz w:val="18"/>
          <w:szCs w:val="18"/>
        </w:rPr>
      </w:pPr>
      <w:r w:rsidRPr="00487501">
        <w:rPr>
          <w:rStyle w:val="Odkaznapoznmkupodiarou"/>
          <w:sz w:val="18"/>
          <w:szCs w:val="18"/>
        </w:rPr>
        <w:footnoteRef/>
      </w:r>
      <w:r w:rsidRPr="00487501">
        <w:rPr>
          <w:sz w:val="18"/>
          <w:szCs w:val="18"/>
        </w:rPr>
        <w:t xml:space="preserve"> Podľa § 19 až 21 zákona č. 540/2001 Z. z. o štátnej štatistike. Aktuálny zoznam subjektov </w:t>
      </w:r>
      <w:r>
        <w:rPr>
          <w:sz w:val="18"/>
          <w:szCs w:val="18"/>
        </w:rPr>
        <w:t>verejnej správy</w:t>
      </w:r>
      <w:r w:rsidRPr="00487501">
        <w:rPr>
          <w:sz w:val="18"/>
          <w:szCs w:val="18"/>
        </w:rPr>
        <w:t xml:space="preserve"> je dostupný na nasledujúcom odkaze:</w:t>
      </w:r>
      <w:r>
        <w:rPr>
          <w:sz w:val="18"/>
          <w:szCs w:val="18"/>
        </w:rPr>
        <w:t xml:space="preserve"> </w:t>
      </w:r>
      <w:hyperlink r:id="rId5" w:history="1">
        <w:r w:rsidRPr="00487501">
          <w:rPr>
            <w:rStyle w:val="Hypertextovprepojenie"/>
            <w:sz w:val="18"/>
            <w:szCs w:val="18"/>
          </w:rPr>
          <w:t>https://slovak.statistics.sk/wps/portal/ext/Databases/administration</w:t>
        </w:r>
      </w:hyperlink>
      <w:r w:rsidRPr="00487501">
        <w:rPr>
          <w:sz w:val="18"/>
          <w:szCs w:val="18"/>
        </w:rPr>
        <w:t>.</w:t>
      </w:r>
    </w:p>
  </w:footnote>
  <w:footnote w:id="44">
    <w:p w14:paraId="21E44B8D" w14:textId="5B3D12A5" w:rsidR="009573AC" w:rsidRPr="00487501" w:rsidRDefault="009573AC" w:rsidP="000955DA">
      <w:pPr>
        <w:pStyle w:val="Textpoznmkypodiarou"/>
        <w:jc w:val="left"/>
        <w:rPr>
          <w:sz w:val="18"/>
          <w:szCs w:val="18"/>
        </w:rPr>
      </w:pPr>
      <w:r w:rsidRPr="00487501">
        <w:rPr>
          <w:rStyle w:val="Odkaznapoznmkupodiarou"/>
          <w:sz w:val="18"/>
          <w:szCs w:val="18"/>
        </w:rPr>
        <w:footnoteRef/>
      </w:r>
      <w:r w:rsidRPr="00487501">
        <w:rPr>
          <w:sz w:val="18"/>
          <w:szCs w:val="18"/>
        </w:rPr>
        <w:t xml:space="preserve"> V zmysle </w:t>
      </w:r>
      <w:hyperlink r:id="rId6" w:anchor="paragraf-23" w:tooltip="Odkaz na predpis alebo ustanovenie" w:history="1">
        <w:r w:rsidRPr="00487501">
          <w:rPr>
            <w:rStyle w:val="Hypertextovprepojenie"/>
            <w:rFonts w:cs="Segoe UI"/>
            <w:iCs/>
            <w:color w:val="auto"/>
            <w:sz w:val="18"/>
            <w:szCs w:val="18"/>
            <w:u w:val="none"/>
            <w:shd w:val="clear" w:color="auto" w:fill="FFFFFF"/>
          </w:rPr>
          <w:t>§ 23 zákona č. 595/2003 Z. z.</w:t>
        </w:r>
      </w:hyperlink>
      <w:r w:rsidRPr="00487501">
        <w:rPr>
          <w:rFonts w:cs="Segoe UI"/>
          <w:sz w:val="18"/>
          <w:szCs w:val="18"/>
          <w:shd w:val="clear" w:color="auto" w:fill="FFFFFF"/>
        </w:rPr>
        <w:t> v znení neskorších predpisov.</w:t>
      </w:r>
    </w:p>
  </w:footnote>
  <w:footnote w:id="45">
    <w:p w14:paraId="4E3325E8" w14:textId="51012C77" w:rsidR="009573AC" w:rsidRPr="00487501" w:rsidRDefault="009573AC" w:rsidP="000955DA">
      <w:pPr>
        <w:pStyle w:val="Textpoznmkypodiarou"/>
        <w:jc w:val="left"/>
        <w:rPr>
          <w:sz w:val="18"/>
          <w:szCs w:val="18"/>
        </w:rPr>
      </w:pPr>
      <w:r w:rsidRPr="00487501">
        <w:rPr>
          <w:rStyle w:val="Odkaznapoznmkupodiarou"/>
          <w:sz w:val="18"/>
          <w:szCs w:val="18"/>
        </w:rPr>
        <w:footnoteRef/>
      </w:r>
      <w:r w:rsidRPr="00487501">
        <w:rPr>
          <w:sz w:val="18"/>
          <w:szCs w:val="18"/>
        </w:rPr>
        <w:t xml:space="preserve"> V zmysle </w:t>
      </w:r>
      <w:hyperlink r:id="rId7" w:anchor="paragraf-22" w:tooltip="Odkaz na predpis alebo ustanovenie" w:history="1">
        <w:r w:rsidRPr="00487501">
          <w:rPr>
            <w:rStyle w:val="Hypertextovprepojenie"/>
            <w:rFonts w:cs="Segoe UI"/>
            <w:iCs/>
            <w:color w:val="auto"/>
            <w:sz w:val="18"/>
            <w:szCs w:val="18"/>
            <w:u w:val="none"/>
            <w:shd w:val="clear" w:color="auto" w:fill="FFFFFF"/>
          </w:rPr>
          <w:t>§ 22 zákona č. 595/2003 Z. z.</w:t>
        </w:r>
      </w:hyperlink>
      <w:r w:rsidRPr="00487501">
        <w:rPr>
          <w:rFonts w:cs="Segoe UI"/>
          <w:sz w:val="18"/>
          <w:szCs w:val="18"/>
          <w:shd w:val="clear" w:color="auto" w:fill="FFFFFF"/>
        </w:rPr>
        <w:t> v znení neskorších predpisov.</w:t>
      </w:r>
    </w:p>
  </w:footnote>
  <w:footnote w:id="46">
    <w:p w14:paraId="1B422347" w14:textId="3513B9FB" w:rsidR="009573AC" w:rsidRPr="00487501" w:rsidRDefault="009573AC" w:rsidP="000955DA">
      <w:pPr>
        <w:pStyle w:val="Textpoznmkypodiarou"/>
        <w:jc w:val="left"/>
        <w:rPr>
          <w:sz w:val="18"/>
          <w:szCs w:val="18"/>
        </w:rPr>
      </w:pPr>
      <w:r w:rsidRPr="00487501">
        <w:rPr>
          <w:rStyle w:val="Odkaznapoznmkupodiarou"/>
          <w:sz w:val="18"/>
          <w:szCs w:val="18"/>
        </w:rPr>
        <w:footnoteRef/>
      </w:r>
      <w:r w:rsidRPr="00487501">
        <w:rPr>
          <w:sz w:val="18"/>
          <w:szCs w:val="18"/>
        </w:rPr>
        <w:t xml:space="preserve"> V zmysle </w:t>
      </w:r>
      <w:hyperlink r:id="rId8" w:anchor="paragraf-489" w:tooltip="Odkaz na predpis alebo ustanovenie" w:history="1">
        <w:r w:rsidRPr="00487501">
          <w:rPr>
            <w:rStyle w:val="Hypertextovprepojenie"/>
            <w:rFonts w:cs="Segoe UI"/>
            <w:iCs/>
            <w:color w:val="auto"/>
            <w:sz w:val="18"/>
            <w:szCs w:val="18"/>
            <w:u w:val="none"/>
            <w:shd w:val="clear" w:color="auto" w:fill="FFFFFF"/>
          </w:rPr>
          <w:t>§ 489 až 496 Obchodného zákonníka.</w:t>
        </w:r>
      </w:hyperlink>
    </w:p>
  </w:footnote>
  <w:footnote w:id="47">
    <w:p w14:paraId="53502725" w14:textId="77777777" w:rsidR="009573AC" w:rsidRPr="00487501" w:rsidRDefault="009573AC" w:rsidP="000955DA">
      <w:pPr>
        <w:pStyle w:val="Textpoznmkypodiarou"/>
        <w:jc w:val="left"/>
        <w:rPr>
          <w:sz w:val="18"/>
          <w:szCs w:val="18"/>
        </w:rPr>
      </w:pPr>
      <w:r w:rsidRPr="00487501">
        <w:rPr>
          <w:rStyle w:val="Odkaznapoznmkupodiarou"/>
          <w:sz w:val="18"/>
          <w:szCs w:val="18"/>
        </w:rPr>
        <w:footnoteRef/>
      </w:r>
      <w:r w:rsidRPr="00487501">
        <w:rPr>
          <w:sz w:val="18"/>
          <w:szCs w:val="18"/>
        </w:rPr>
        <w:t xml:space="preserve"> V zmysle b</w:t>
      </w:r>
      <w:r w:rsidRPr="00487501">
        <w:rPr>
          <w:rFonts w:cs="Segoe UI"/>
          <w:sz w:val="18"/>
          <w:szCs w:val="18"/>
          <w:shd w:val="clear" w:color="auto" w:fill="FFFFFF"/>
        </w:rPr>
        <w:t>odu 15.08. kapitoly 15 prílohy A nariadenia Európskeho parlamentu a Rady (EÚ) č. 549/2013 z 21. mája 2013 o európskom systéme národných a regionálnych účtov v Európskej únii (Ú. v. EÚ L 174, 26. 6. 2013) v platnom znení.</w:t>
      </w:r>
    </w:p>
  </w:footnote>
  <w:footnote w:id="48">
    <w:p w14:paraId="44FA93CD" w14:textId="77777777" w:rsidR="009573AC" w:rsidRPr="00487501" w:rsidRDefault="009573AC" w:rsidP="000955DA">
      <w:pPr>
        <w:pStyle w:val="Textpoznmkypodiarou"/>
        <w:rPr>
          <w:sz w:val="18"/>
          <w:szCs w:val="18"/>
        </w:rPr>
      </w:pPr>
      <w:r w:rsidRPr="00487501">
        <w:rPr>
          <w:rStyle w:val="Odkaznapoznmkupodiarou"/>
          <w:sz w:val="18"/>
          <w:szCs w:val="18"/>
        </w:rPr>
        <w:footnoteRef/>
      </w:r>
      <w:r w:rsidRPr="00487501">
        <w:rPr>
          <w:sz w:val="18"/>
          <w:szCs w:val="18"/>
        </w:rPr>
        <w:t xml:space="preserve"> V zmysle § 2, ods. 5, písm. g) zákona č. 343/2015 Z. z. o verejnom obstarávaní a o zmene a doplnení niektorých zákonov.</w:t>
      </w:r>
    </w:p>
  </w:footnote>
  <w:footnote w:id="49">
    <w:p w14:paraId="5C0505C0" w14:textId="77777777" w:rsidR="009573AC" w:rsidRPr="00487501" w:rsidRDefault="009573AC" w:rsidP="000955DA">
      <w:pPr>
        <w:pStyle w:val="Textpoznmkypodiarou"/>
        <w:jc w:val="left"/>
        <w:rPr>
          <w:sz w:val="18"/>
          <w:szCs w:val="18"/>
        </w:rPr>
      </w:pPr>
      <w:r w:rsidRPr="00487501">
        <w:rPr>
          <w:rStyle w:val="Odkaznapoznmkupodiarou"/>
          <w:sz w:val="18"/>
          <w:szCs w:val="18"/>
        </w:rPr>
        <w:footnoteRef/>
      </w:r>
      <w:r w:rsidRPr="00487501">
        <w:rPr>
          <w:sz w:val="18"/>
          <w:szCs w:val="18"/>
        </w:rPr>
        <w:t xml:space="preserve"> V zmysle § 4, § 31 a 56 zákona č. 343/2015 Z. z. o verejnom obstarávaní a o zmene a doplnení niektorých zákonov v znení zákona č. 315/2016 Z. z.</w:t>
      </w:r>
    </w:p>
  </w:footnote>
  <w:footnote w:id="50">
    <w:p w14:paraId="137F45B6" w14:textId="7CCE5EE5" w:rsidR="009573AC" w:rsidRPr="00487501" w:rsidRDefault="009573AC">
      <w:pPr>
        <w:pStyle w:val="Textpoznmkypodiarou"/>
        <w:rPr>
          <w:sz w:val="18"/>
          <w:szCs w:val="18"/>
        </w:rPr>
      </w:pPr>
      <w:r w:rsidRPr="00487501">
        <w:rPr>
          <w:rStyle w:val="Odkaznapoznmkupodiarou"/>
          <w:sz w:val="18"/>
          <w:szCs w:val="18"/>
        </w:rPr>
        <w:footnoteRef/>
      </w:r>
      <w:r w:rsidRPr="00487501">
        <w:rPr>
          <w:sz w:val="18"/>
          <w:szCs w:val="18"/>
        </w:rPr>
        <w:t xml:space="preserve"> V zmysle § 2 písm. a) zákona č 523/2004 </w:t>
      </w:r>
      <w:r>
        <w:rPr>
          <w:sz w:val="18"/>
          <w:szCs w:val="18"/>
        </w:rPr>
        <w:t xml:space="preserve">Z. z. </w:t>
      </w:r>
      <w:r w:rsidRPr="00487501">
        <w:rPr>
          <w:sz w:val="18"/>
          <w:szCs w:val="18"/>
        </w:rPr>
        <w:t>o rozpočtových pravidlách verejnej správy a o zmene a doplnení niektorých zákonov.</w:t>
      </w:r>
    </w:p>
  </w:footnote>
  <w:footnote w:id="51">
    <w:p w14:paraId="2934CF2D" w14:textId="77F19574" w:rsidR="009573AC" w:rsidRPr="00B7508E" w:rsidRDefault="009573AC">
      <w:pPr>
        <w:pStyle w:val="Textpoznmkypodiarou"/>
        <w:rPr>
          <w:sz w:val="18"/>
          <w:szCs w:val="18"/>
        </w:rPr>
      </w:pPr>
      <w:r w:rsidRPr="00B7508E">
        <w:rPr>
          <w:rStyle w:val="Odkaznapoznmkupodiarou"/>
          <w:sz w:val="18"/>
          <w:szCs w:val="18"/>
        </w:rPr>
        <w:footnoteRef/>
      </w:r>
      <w:r w:rsidRPr="00B7508E">
        <w:rPr>
          <w:sz w:val="18"/>
          <w:szCs w:val="18"/>
        </w:rPr>
        <w:t xml:space="preserve"> V zmysle § 35a </w:t>
      </w:r>
      <w:r w:rsidRPr="004F0110">
        <w:rPr>
          <w:sz w:val="18"/>
          <w:szCs w:val="18"/>
        </w:rPr>
        <w:t xml:space="preserve">zákona č 523/2004 Z. z. </w:t>
      </w:r>
      <w:r w:rsidRPr="0002441C">
        <w:rPr>
          <w:sz w:val="18"/>
          <w:szCs w:val="18"/>
        </w:rPr>
        <w:t>o rozpočtových pravidlách verejnej správy a o zmene a doplnení niektorých zákonov.</w:t>
      </w:r>
    </w:p>
  </w:footnote>
  <w:footnote w:id="52">
    <w:p w14:paraId="244EC4C2" w14:textId="45788B07" w:rsidR="009573AC" w:rsidRPr="00487501" w:rsidRDefault="009573AC">
      <w:pPr>
        <w:pStyle w:val="Textpoznmkypodiarou"/>
        <w:rPr>
          <w:sz w:val="18"/>
          <w:szCs w:val="18"/>
        </w:rPr>
      </w:pPr>
      <w:r w:rsidRPr="00487501">
        <w:rPr>
          <w:rStyle w:val="Odkaznapoznmkupodiarou"/>
          <w:sz w:val="18"/>
          <w:szCs w:val="18"/>
        </w:rPr>
        <w:footnoteRef/>
      </w:r>
      <w:r w:rsidRPr="00487501">
        <w:rPr>
          <w:sz w:val="18"/>
          <w:szCs w:val="18"/>
        </w:rPr>
        <w:t xml:space="preserve"> Podľa §19a zákona č. 523/2004 Z. z. o rozpočtových pravidlách verejnej správy a o zmene a doplnení niektorých zákonov.</w:t>
      </w:r>
    </w:p>
  </w:footnote>
  <w:footnote w:id="53">
    <w:p w14:paraId="1FA419B6" w14:textId="7DA5DFD6" w:rsidR="009573AC" w:rsidRPr="00487501" w:rsidRDefault="009573AC">
      <w:pPr>
        <w:pStyle w:val="Textpoznmkypodiarou"/>
        <w:rPr>
          <w:sz w:val="18"/>
          <w:szCs w:val="18"/>
        </w:rPr>
      </w:pPr>
      <w:r w:rsidRPr="00487501">
        <w:rPr>
          <w:rStyle w:val="Odkaznapoznmkupodiarou"/>
          <w:sz w:val="18"/>
          <w:szCs w:val="18"/>
        </w:rPr>
        <w:footnoteRef/>
      </w:r>
      <w:r w:rsidRPr="00487501">
        <w:rPr>
          <w:sz w:val="18"/>
          <w:szCs w:val="18"/>
        </w:rPr>
        <w:t xml:space="preserve"> V zmysle § 22 zákona č. 24/2006 Z. z. o posudzovaní vplyvov na životné prostredie a o zmene a doplnení niektorých zákonov v znení neskorších predpisov.</w:t>
      </w:r>
    </w:p>
  </w:footnote>
  <w:footnote w:id="54">
    <w:p w14:paraId="56250689" w14:textId="255DFB4E" w:rsidR="009573AC" w:rsidRPr="00487501" w:rsidRDefault="009573AC" w:rsidP="000955DA">
      <w:pPr>
        <w:pStyle w:val="Textpoznmkypodiarou"/>
        <w:jc w:val="left"/>
        <w:rPr>
          <w:sz w:val="18"/>
          <w:szCs w:val="18"/>
        </w:rPr>
      </w:pPr>
      <w:r w:rsidRPr="00487501">
        <w:rPr>
          <w:rStyle w:val="Odkaznapoznmkupodiarou"/>
          <w:sz w:val="18"/>
          <w:szCs w:val="18"/>
        </w:rPr>
        <w:footnoteRef/>
      </w:r>
      <w:r w:rsidRPr="00487501">
        <w:rPr>
          <w:sz w:val="18"/>
          <w:szCs w:val="18"/>
        </w:rPr>
        <w:t xml:space="preserve"> V zmysle </w:t>
      </w:r>
      <w:hyperlink r:id="rId9" w:anchor="paragraf-26" w:tooltip="Odkaz na predpis alebo ustanovenie" w:history="1">
        <w:r w:rsidRPr="00487501">
          <w:rPr>
            <w:rStyle w:val="Hypertextovprepojenie"/>
            <w:rFonts w:cs="Segoe UI"/>
            <w:iCs/>
            <w:color w:val="auto"/>
            <w:sz w:val="18"/>
            <w:szCs w:val="18"/>
            <w:u w:val="none"/>
            <w:shd w:val="clear" w:color="auto" w:fill="FFFFFF"/>
          </w:rPr>
          <w:t>§ 26</w:t>
        </w:r>
      </w:hyperlink>
      <w:r w:rsidRPr="00487501">
        <w:rPr>
          <w:rFonts w:cs="Segoe UI"/>
          <w:sz w:val="18"/>
          <w:szCs w:val="18"/>
          <w:shd w:val="clear" w:color="auto" w:fill="FFFFFF"/>
        </w:rPr>
        <w:t> a </w:t>
      </w:r>
      <w:hyperlink r:id="rId10" w:anchor="paragraf-101" w:tooltip="Odkaz na predpis alebo ustanovenie" w:history="1">
        <w:r w:rsidRPr="00487501">
          <w:rPr>
            <w:rStyle w:val="Hypertextovprepojenie"/>
            <w:rFonts w:cs="Segoe UI"/>
            <w:iCs/>
            <w:color w:val="auto"/>
            <w:sz w:val="18"/>
            <w:szCs w:val="18"/>
            <w:u w:val="none"/>
            <w:shd w:val="clear" w:color="auto" w:fill="FFFFFF"/>
          </w:rPr>
          <w:t>101</w:t>
        </w:r>
      </w:hyperlink>
      <w:r w:rsidRPr="00487501">
        <w:rPr>
          <w:rFonts w:cs="Segoe UI"/>
          <w:sz w:val="18"/>
          <w:szCs w:val="18"/>
          <w:shd w:val="clear" w:color="auto" w:fill="FFFFFF"/>
        </w:rPr>
        <w:t> zákona č. </w:t>
      </w:r>
      <w:hyperlink r:id="rId11" w:tooltip="Odkaz na predpis alebo ustanovenie" w:history="1">
        <w:r w:rsidRPr="00487501">
          <w:rPr>
            <w:rStyle w:val="Hypertextovprepojenie"/>
            <w:rFonts w:cs="Segoe UI"/>
            <w:iCs/>
            <w:color w:val="auto"/>
            <w:sz w:val="18"/>
            <w:szCs w:val="18"/>
            <w:u w:val="none"/>
            <w:shd w:val="clear" w:color="auto" w:fill="FFFFFF"/>
          </w:rPr>
          <w:t>343/2015 Z. z.</w:t>
        </w:r>
      </w:hyperlink>
      <w:r w:rsidRPr="00487501">
        <w:rPr>
          <w:rStyle w:val="Hypertextovprepojenie"/>
          <w:rFonts w:cs="Segoe UI"/>
          <w:iCs/>
          <w:color w:val="auto"/>
          <w:sz w:val="18"/>
          <w:szCs w:val="18"/>
          <w:u w:val="none"/>
          <w:shd w:val="clear" w:color="auto" w:fill="FFFFFF"/>
        </w:rPr>
        <w:t xml:space="preserve"> </w:t>
      </w:r>
      <w:r w:rsidRPr="00487501">
        <w:rPr>
          <w:sz w:val="18"/>
          <w:szCs w:val="18"/>
        </w:rPr>
        <w:t>o verejnom obstarávaní a o zmene a doplnení niektorých zákonov.</w:t>
      </w:r>
    </w:p>
  </w:footnote>
  <w:footnote w:id="55">
    <w:p w14:paraId="6B636C33" w14:textId="77777777" w:rsidR="009573AC" w:rsidRPr="00487501" w:rsidRDefault="009573AC" w:rsidP="00807E06">
      <w:pPr>
        <w:pStyle w:val="Textpoznmkypodiarou"/>
        <w:jc w:val="left"/>
        <w:rPr>
          <w:rFonts w:cs="Times New Roman"/>
          <w:sz w:val="18"/>
          <w:szCs w:val="18"/>
        </w:rPr>
      </w:pPr>
      <w:r w:rsidRPr="00487501">
        <w:rPr>
          <w:rStyle w:val="Odkaznapoznmkupodiarou"/>
          <w:sz w:val="18"/>
          <w:szCs w:val="18"/>
        </w:rPr>
        <w:footnoteRef/>
      </w:r>
      <w:r w:rsidRPr="00487501">
        <w:rPr>
          <w:sz w:val="18"/>
          <w:szCs w:val="18"/>
        </w:rPr>
        <w:t xml:space="preserve"> </w:t>
      </w:r>
      <w:r w:rsidRPr="00487501">
        <w:rPr>
          <w:rFonts w:cs="Times New Roman"/>
          <w:sz w:val="18"/>
          <w:szCs w:val="18"/>
        </w:rPr>
        <w:t xml:space="preserve">Investor uvedie v prílohe k dotazníku konkrétne príklady. </w:t>
      </w:r>
    </w:p>
  </w:footnote>
  <w:footnote w:id="56">
    <w:p w14:paraId="603AC3A8" w14:textId="68511716" w:rsidR="009573AC" w:rsidRPr="00487501" w:rsidRDefault="009573AC" w:rsidP="00807E06">
      <w:pPr>
        <w:pStyle w:val="Textpoznmkypodiarou"/>
        <w:jc w:val="left"/>
        <w:rPr>
          <w:sz w:val="18"/>
          <w:szCs w:val="18"/>
        </w:rPr>
      </w:pPr>
      <w:r w:rsidRPr="00487501">
        <w:rPr>
          <w:rStyle w:val="Odkaznapoznmkupodiarou"/>
          <w:rFonts w:cs="Times New Roman"/>
          <w:sz w:val="18"/>
          <w:szCs w:val="18"/>
        </w:rPr>
        <w:footnoteRef/>
      </w:r>
      <w:r w:rsidRPr="00487501">
        <w:rPr>
          <w:rFonts w:cs="Times New Roman"/>
          <w:sz w:val="18"/>
          <w:szCs w:val="18"/>
        </w:rPr>
        <w:t xml:space="preserve"> Kapitálové a bežné výdavky v projektoch obdobnej veľkosti by sa nemali odlišovať od posudzovaného projektu o viac ako +/- 25 %. Pod rozsahom projektu sa rozumie najmä rozsah zmluvného vzťahu medzi súkromným a verejným partnerom (Design, Build, Finance, Operate, Maintain a pod.).</w:t>
      </w:r>
    </w:p>
  </w:footnote>
  <w:footnote w:id="57">
    <w:p w14:paraId="4970E9DC" w14:textId="77777777" w:rsidR="009573AC" w:rsidRPr="00487501" w:rsidRDefault="009573AC" w:rsidP="00807E06">
      <w:pPr>
        <w:pStyle w:val="Textpoznmkypodiarou"/>
        <w:jc w:val="left"/>
        <w:rPr>
          <w:sz w:val="18"/>
          <w:szCs w:val="18"/>
        </w:rPr>
      </w:pPr>
      <w:r w:rsidRPr="00487501">
        <w:rPr>
          <w:rStyle w:val="Odkaznapoznmkupodiarou"/>
          <w:sz w:val="18"/>
          <w:szCs w:val="18"/>
        </w:rPr>
        <w:footnoteRef/>
      </w:r>
      <w:r w:rsidRPr="00487501">
        <w:rPr>
          <w:sz w:val="18"/>
          <w:szCs w:val="18"/>
        </w:rPr>
        <w:t xml:space="preserve"> Investor uvádza skúsenosti tak s koncesiami s rizikom dopytu, ako aj s koncesiami s rizikom dostupnosti. V prílohe k Dotazníku stručne popíše jednotlivé projekty.</w:t>
      </w:r>
    </w:p>
  </w:footnote>
  <w:footnote w:id="58">
    <w:p w14:paraId="0BC870FF" w14:textId="77777777" w:rsidR="009573AC" w:rsidRPr="00487501" w:rsidRDefault="009573AC" w:rsidP="00807E06">
      <w:pPr>
        <w:pStyle w:val="Textpoznmkypodiarou"/>
        <w:jc w:val="left"/>
        <w:rPr>
          <w:rFonts w:cs="Times New Roman"/>
          <w:sz w:val="18"/>
          <w:szCs w:val="18"/>
        </w:rPr>
      </w:pPr>
      <w:r w:rsidRPr="00487501">
        <w:rPr>
          <w:rFonts w:cs="Times New Roman"/>
          <w:sz w:val="18"/>
          <w:szCs w:val="18"/>
          <w:vertAlign w:val="superscript"/>
        </w:rPr>
        <w:footnoteRef/>
      </w:r>
      <w:r w:rsidRPr="00487501">
        <w:rPr>
          <w:rFonts w:cs="Times New Roman"/>
          <w:sz w:val="18"/>
          <w:szCs w:val="18"/>
        </w:rPr>
        <w:t xml:space="preserve"> Pri odhade môže Investor vychádzať zo skúseností s obdobnými projektmi v rámci EÚ, pričom zohľadní aktuálne trhové podmienky.</w:t>
      </w:r>
    </w:p>
  </w:footnote>
  <w:footnote w:id="59">
    <w:p w14:paraId="23A39279" w14:textId="77777777" w:rsidR="009573AC" w:rsidRPr="00487501" w:rsidRDefault="009573AC" w:rsidP="00807E06">
      <w:pPr>
        <w:pStyle w:val="Textpoznmkypodiarou"/>
        <w:jc w:val="left"/>
        <w:rPr>
          <w:rFonts w:cs="Times New Roman"/>
          <w:sz w:val="18"/>
          <w:szCs w:val="18"/>
        </w:rPr>
      </w:pPr>
      <w:r w:rsidRPr="00487501">
        <w:rPr>
          <w:rStyle w:val="Odkaznapoznmkupodiarou"/>
          <w:rFonts w:cs="Times New Roman"/>
          <w:sz w:val="18"/>
          <w:szCs w:val="18"/>
        </w:rPr>
        <w:footnoteRef/>
      </w:r>
      <w:r w:rsidRPr="00487501">
        <w:rPr>
          <w:rFonts w:cs="Times New Roman"/>
          <w:sz w:val="18"/>
          <w:szCs w:val="18"/>
        </w:rPr>
        <w:t xml:space="preserve"> Investor v prílohe uvedie pramene z ktorých čerpal pri zodpovedaní otázky (najmä prípadové štúdie obdobných projektov).</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B36F7"/>
    <w:multiLevelType w:val="hybridMultilevel"/>
    <w:tmpl w:val="F8289D26"/>
    <w:lvl w:ilvl="0" w:tplc="041B0011">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 w15:restartNumberingAfterBreak="0">
    <w:nsid w:val="031C6A87"/>
    <w:multiLevelType w:val="hybridMultilevel"/>
    <w:tmpl w:val="089CB5BA"/>
    <w:lvl w:ilvl="0" w:tplc="BF025C8E">
      <w:start w:val="1"/>
      <w:numFmt w:val="lowerLetter"/>
      <w:lvlText w:val="%1)"/>
      <w:lvlJc w:val="left"/>
      <w:pPr>
        <w:ind w:left="1065" w:hanging="7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672376"/>
    <w:multiLevelType w:val="hybridMultilevel"/>
    <w:tmpl w:val="528C4768"/>
    <w:lvl w:ilvl="0" w:tplc="041B0001">
      <w:start w:val="1"/>
      <w:numFmt w:val="bullet"/>
      <w:lvlText w:val=""/>
      <w:lvlJc w:val="left"/>
      <w:pPr>
        <w:ind w:left="720" w:hanging="360"/>
      </w:pPr>
      <w:rPr>
        <w:rFonts w:ascii="Symbol" w:hAnsi="Symbol"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A43097"/>
    <w:multiLevelType w:val="hybridMultilevel"/>
    <w:tmpl w:val="AC90C558"/>
    <w:lvl w:ilvl="0" w:tplc="41AA7324">
      <w:start w:val="1"/>
      <w:numFmt w:val="bullet"/>
      <w:lvlText w:val=""/>
      <w:lvlJc w:val="left"/>
      <w:pPr>
        <w:ind w:left="720" w:hanging="360"/>
      </w:pPr>
      <w:rPr>
        <w:rFonts w:ascii="Symbol" w:hAnsi="Symbol" w:hint="default"/>
        <w:sz w:val="20"/>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9B77178"/>
    <w:multiLevelType w:val="hybridMultilevel"/>
    <w:tmpl w:val="F8289D26"/>
    <w:lvl w:ilvl="0" w:tplc="041B0011">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5" w15:restartNumberingAfterBreak="0">
    <w:nsid w:val="0DF657A1"/>
    <w:multiLevelType w:val="hybridMultilevel"/>
    <w:tmpl w:val="9A461450"/>
    <w:lvl w:ilvl="0" w:tplc="A1C0D250">
      <w:start w:val="1"/>
      <w:numFmt w:val="lowerLetter"/>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EE068AE"/>
    <w:multiLevelType w:val="hybridMultilevel"/>
    <w:tmpl w:val="9A461450"/>
    <w:lvl w:ilvl="0" w:tplc="A1C0D250">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FB71E3E"/>
    <w:multiLevelType w:val="hybridMultilevel"/>
    <w:tmpl w:val="DFBA73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0C62D66"/>
    <w:multiLevelType w:val="hybridMultilevel"/>
    <w:tmpl w:val="A29CADD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1436EB8"/>
    <w:multiLevelType w:val="hybridMultilevel"/>
    <w:tmpl w:val="B32A074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5936C1D"/>
    <w:multiLevelType w:val="hybridMultilevel"/>
    <w:tmpl w:val="D5C8DA04"/>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start w:val="1"/>
      <w:numFmt w:val="bullet"/>
      <w:lvlText w:val=""/>
      <w:lvlJc w:val="left"/>
      <w:pPr>
        <w:ind w:left="4668" w:hanging="360"/>
      </w:pPr>
      <w:rPr>
        <w:rFonts w:ascii="Wingdings" w:hAnsi="Wingdings" w:hint="default"/>
      </w:rPr>
    </w:lvl>
    <w:lvl w:ilvl="6" w:tplc="041B0001">
      <w:start w:val="1"/>
      <w:numFmt w:val="bullet"/>
      <w:lvlText w:val=""/>
      <w:lvlJc w:val="left"/>
      <w:pPr>
        <w:ind w:left="5388" w:hanging="360"/>
      </w:pPr>
      <w:rPr>
        <w:rFonts w:ascii="Symbol" w:hAnsi="Symbol" w:hint="default"/>
      </w:rPr>
    </w:lvl>
    <w:lvl w:ilvl="7" w:tplc="041B0003">
      <w:start w:val="1"/>
      <w:numFmt w:val="bullet"/>
      <w:lvlText w:val="o"/>
      <w:lvlJc w:val="left"/>
      <w:pPr>
        <w:ind w:left="6108" w:hanging="360"/>
      </w:pPr>
      <w:rPr>
        <w:rFonts w:ascii="Courier New" w:hAnsi="Courier New" w:cs="Courier New" w:hint="default"/>
      </w:rPr>
    </w:lvl>
    <w:lvl w:ilvl="8" w:tplc="041B0005">
      <w:start w:val="1"/>
      <w:numFmt w:val="bullet"/>
      <w:lvlText w:val=""/>
      <w:lvlJc w:val="left"/>
      <w:pPr>
        <w:ind w:left="6828" w:hanging="360"/>
      </w:pPr>
      <w:rPr>
        <w:rFonts w:ascii="Wingdings" w:hAnsi="Wingdings" w:hint="default"/>
      </w:rPr>
    </w:lvl>
  </w:abstractNum>
  <w:abstractNum w:abstractNumId="11" w15:restartNumberingAfterBreak="0">
    <w:nsid w:val="174B3F0A"/>
    <w:multiLevelType w:val="hybridMultilevel"/>
    <w:tmpl w:val="29168CD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186C19BB"/>
    <w:multiLevelType w:val="hybridMultilevel"/>
    <w:tmpl w:val="C54EB522"/>
    <w:lvl w:ilvl="0" w:tplc="041B0001">
      <w:start w:val="1"/>
      <w:numFmt w:val="bullet"/>
      <w:lvlText w:val=""/>
      <w:lvlJc w:val="left"/>
      <w:pPr>
        <w:ind w:left="774" w:hanging="360"/>
      </w:pPr>
      <w:rPr>
        <w:rFonts w:ascii="Symbol" w:hAnsi="Symbol" w:hint="default"/>
      </w:rPr>
    </w:lvl>
    <w:lvl w:ilvl="1" w:tplc="041B0003" w:tentative="1">
      <w:start w:val="1"/>
      <w:numFmt w:val="bullet"/>
      <w:lvlText w:val="o"/>
      <w:lvlJc w:val="left"/>
      <w:pPr>
        <w:ind w:left="1494" w:hanging="360"/>
      </w:pPr>
      <w:rPr>
        <w:rFonts w:ascii="Courier New" w:hAnsi="Courier New" w:cs="Courier New" w:hint="default"/>
      </w:rPr>
    </w:lvl>
    <w:lvl w:ilvl="2" w:tplc="041B0005" w:tentative="1">
      <w:start w:val="1"/>
      <w:numFmt w:val="bullet"/>
      <w:lvlText w:val=""/>
      <w:lvlJc w:val="left"/>
      <w:pPr>
        <w:ind w:left="2214" w:hanging="360"/>
      </w:pPr>
      <w:rPr>
        <w:rFonts w:ascii="Wingdings" w:hAnsi="Wingdings" w:hint="default"/>
      </w:rPr>
    </w:lvl>
    <w:lvl w:ilvl="3" w:tplc="041B0001" w:tentative="1">
      <w:start w:val="1"/>
      <w:numFmt w:val="bullet"/>
      <w:lvlText w:val=""/>
      <w:lvlJc w:val="left"/>
      <w:pPr>
        <w:ind w:left="2934" w:hanging="360"/>
      </w:pPr>
      <w:rPr>
        <w:rFonts w:ascii="Symbol" w:hAnsi="Symbol" w:hint="default"/>
      </w:rPr>
    </w:lvl>
    <w:lvl w:ilvl="4" w:tplc="041B0003" w:tentative="1">
      <w:start w:val="1"/>
      <w:numFmt w:val="bullet"/>
      <w:lvlText w:val="o"/>
      <w:lvlJc w:val="left"/>
      <w:pPr>
        <w:ind w:left="3654" w:hanging="360"/>
      </w:pPr>
      <w:rPr>
        <w:rFonts w:ascii="Courier New" w:hAnsi="Courier New" w:cs="Courier New" w:hint="default"/>
      </w:rPr>
    </w:lvl>
    <w:lvl w:ilvl="5" w:tplc="041B0005" w:tentative="1">
      <w:start w:val="1"/>
      <w:numFmt w:val="bullet"/>
      <w:lvlText w:val=""/>
      <w:lvlJc w:val="left"/>
      <w:pPr>
        <w:ind w:left="4374" w:hanging="360"/>
      </w:pPr>
      <w:rPr>
        <w:rFonts w:ascii="Wingdings" w:hAnsi="Wingdings" w:hint="default"/>
      </w:rPr>
    </w:lvl>
    <w:lvl w:ilvl="6" w:tplc="041B0001" w:tentative="1">
      <w:start w:val="1"/>
      <w:numFmt w:val="bullet"/>
      <w:lvlText w:val=""/>
      <w:lvlJc w:val="left"/>
      <w:pPr>
        <w:ind w:left="5094" w:hanging="360"/>
      </w:pPr>
      <w:rPr>
        <w:rFonts w:ascii="Symbol" w:hAnsi="Symbol" w:hint="default"/>
      </w:rPr>
    </w:lvl>
    <w:lvl w:ilvl="7" w:tplc="041B0003" w:tentative="1">
      <w:start w:val="1"/>
      <w:numFmt w:val="bullet"/>
      <w:lvlText w:val="o"/>
      <w:lvlJc w:val="left"/>
      <w:pPr>
        <w:ind w:left="5814" w:hanging="360"/>
      </w:pPr>
      <w:rPr>
        <w:rFonts w:ascii="Courier New" w:hAnsi="Courier New" w:cs="Courier New" w:hint="default"/>
      </w:rPr>
    </w:lvl>
    <w:lvl w:ilvl="8" w:tplc="041B0005" w:tentative="1">
      <w:start w:val="1"/>
      <w:numFmt w:val="bullet"/>
      <w:lvlText w:val=""/>
      <w:lvlJc w:val="left"/>
      <w:pPr>
        <w:ind w:left="6534" w:hanging="360"/>
      </w:pPr>
      <w:rPr>
        <w:rFonts w:ascii="Wingdings" w:hAnsi="Wingdings" w:hint="default"/>
      </w:rPr>
    </w:lvl>
  </w:abstractNum>
  <w:abstractNum w:abstractNumId="13" w15:restartNumberingAfterBreak="0">
    <w:nsid w:val="19405E3A"/>
    <w:multiLevelType w:val="hybridMultilevel"/>
    <w:tmpl w:val="3A589964"/>
    <w:lvl w:ilvl="0" w:tplc="041B0001">
      <w:start w:val="1"/>
      <w:numFmt w:val="bullet"/>
      <w:lvlText w:val=""/>
      <w:lvlJc w:val="left"/>
      <w:pPr>
        <w:ind w:left="720" w:hanging="360"/>
      </w:pPr>
      <w:rPr>
        <w:rFonts w:ascii="Symbol" w:hAnsi="Symbo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A07381A"/>
    <w:multiLevelType w:val="hybridMultilevel"/>
    <w:tmpl w:val="02048AD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BD325DE"/>
    <w:multiLevelType w:val="hybridMultilevel"/>
    <w:tmpl w:val="39C257D8"/>
    <w:lvl w:ilvl="0" w:tplc="041B0001">
      <w:start w:val="1"/>
      <w:numFmt w:val="bullet"/>
      <w:lvlText w:val=""/>
      <w:lvlJc w:val="left"/>
      <w:pPr>
        <w:ind w:left="765" w:hanging="360"/>
      </w:pPr>
      <w:rPr>
        <w:rFonts w:ascii="Symbol" w:hAnsi="Symbol" w:hint="default"/>
      </w:rPr>
    </w:lvl>
    <w:lvl w:ilvl="1" w:tplc="041B0003">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6" w15:restartNumberingAfterBreak="0">
    <w:nsid w:val="1E4165A3"/>
    <w:multiLevelType w:val="hybridMultilevel"/>
    <w:tmpl w:val="C87CD306"/>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0CB3281"/>
    <w:multiLevelType w:val="hybridMultilevel"/>
    <w:tmpl w:val="8AC2D21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Times New Roman"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Times New Roman"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Times New Roman" w:hint="default"/>
      </w:rPr>
    </w:lvl>
    <w:lvl w:ilvl="8" w:tplc="041B0005">
      <w:start w:val="1"/>
      <w:numFmt w:val="bullet"/>
      <w:lvlText w:val=""/>
      <w:lvlJc w:val="left"/>
      <w:pPr>
        <w:ind w:left="6480" w:hanging="360"/>
      </w:pPr>
      <w:rPr>
        <w:rFonts w:ascii="Wingdings" w:hAnsi="Wingdings" w:hint="default"/>
      </w:rPr>
    </w:lvl>
  </w:abstractNum>
  <w:abstractNum w:abstractNumId="18" w15:restartNumberingAfterBreak="0">
    <w:nsid w:val="224B58B9"/>
    <w:multiLevelType w:val="hybridMultilevel"/>
    <w:tmpl w:val="F8BCE0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245F0C1A"/>
    <w:multiLevelType w:val="hybridMultilevel"/>
    <w:tmpl w:val="1584D3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84C1D4F"/>
    <w:multiLevelType w:val="hybridMultilevel"/>
    <w:tmpl w:val="1F60006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2AB35659"/>
    <w:multiLevelType w:val="hybridMultilevel"/>
    <w:tmpl w:val="B5668A04"/>
    <w:lvl w:ilvl="0" w:tplc="041B0001">
      <w:start w:val="1"/>
      <w:numFmt w:val="bullet"/>
      <w:lvlText w:val=""/>
      <w:lvlJc w:val="left"/>
      <w:pPr>
        <w:ind w:left="774" w:hanging="360"/>
      </w:pPr>
      <w:rPr>
        <w:rFonts w:ascii="Symbol" w:hAnsi="Symbol" w:hint="default"/>
      </w:rPr>
    </w:lvl>
    <w:lvl w:ilvl="1" w:tplc="041B0003" w:tentative="1">
      <w:start w:val="1"/>
      <w:numFmt w:val="bullet"/>
      <w:lvlText w:val="o"/>
      <w:lvlJc w:val="left"/>
      <w:pPr>
        <w:ind w:left="1494" w:hanging="360"/>
      </w:pPr>
      <w:rPr>
        <w:rFonts w:ascii="Courier New" w:hAnsi="Courier New" w:cs="Courier New" w:hint="default"/>
      </w:rPr>
    </w:lvl>
    <w:lvl w:ilvl="2" w:tplc="041B0005" w:tentative="1">
      <w:start w:val="1"/>
      <w:numFmt w:val="bullet"/>
      <w:lvlText w:val=""/>
      <w:lvlJc w:val="left"/>
      <w:pPr>
        <w:ind w:left="2214" w:hanging="360"/>
      </w:pPr>
      <w:rPr>
        <w:rFonts w:ascii="Wingdings" w:hAnsi="Wingdings" w:hint="default"/>
      </w:rPr>
    </w:lvl>
    <w:lvl w:ilvl="3" w:tplc="041B0001" w:tentative="1">
      <w:start w:val="1"/>
      <w:numFmt w:val="bullet"/>
      <w:lvlText w:val=""/>
      <w:lvlJc w:val="left"/>
      <w:pPr>
        <w:ind w:left="2934" w:hanging="360"/>
      </w:pPr>
      <w:rPr>
        <w:rFonts w:ascii="Symbol" w:hAnsi="Symbol" w:hint="default"/>
      </w:rPr>
    </w:lvl>
    <w:lvl w:ilvl="4" w:tplc="041B0003" w:tentative="1">
      <w:start w:val="1"/>
      <w:numFmt w:val="bullet"/>
      <w:lvlText w:val="o"/>
      <w:lvlJc w:val="left"/>
      <w:pPr>
        <w:ind w:left="3654" w:hanging="360"/>
      </w:pPr>
      <w:rPr>
        <w:rFonts w:ascii="Courier New" w:hAnsi="Courier New" w:cs="Courier New" w:hint="default"/>
      </w:rPr>
    </w:lvl>
    <w:lvl w:ilvl="5" w:tplc="041B0005" w:tentative="1">
      <w:start w:val="1"/>
      <w:numFmt w:val="bullet"/>
      <w:lvlText w:val=""/>
      <w:lvlJc w:val="left"/>
      <w:pPr>
        <w:ind w:left="4374" w:hanging="360"/>
      </w:pPr>
      <w:rPr>
        <w:rFonts w:ascii="Wingdings" w:hAnsi="Wingdings" w:hint="default"/>
      </w:rPr>
    </w:lvl>
    <w:lvl w:ilvl="6" w:tplc="041B0001" w:tentative="1">
      <w:start w:val="1"/>
      <w:numFmt w:val="bullet"/>
      <w:lvlText w:val=""/>
      <w:lvlJc w:val="left"/>
      <w:pPr>
        <w:ind w:left="5094" w:hanging="360"/>
      </w:pPr>
      <w:rPr>
        <w:rFonts w:ascii="Symbol" w:hAnsi="Symbol" w:hint="default"/>
      </w:rPr>
    </w:lvl>
    <w:lvl w:ilvl="7" w:tplc="041B0003" w:tentative="1">
      <w:start w:val="1"/>
      <w:numFmt w:val="bullet"/>
      <w:lvlText w:val="o"/>
      <w:lvlJc w:val="left"/>
      <w:pPr>
        <w:ind w:left="5814" w:hanging="360"/>
      </w:pPr>
      <w:rPr>
        <w:rFonts w:ascii="Courier New" w:hAnsi="Courier New" w:cs="Courier New" w:hint="default"/>
      </w:rPr>
    </w:lvl>
    <w:lvl w:ilvl="8" w:tplc="041B0005" w:tentative="1">
      <w:start w:val="1"/>
      <w:numFmt w:val="bullet"/>
      <w:lvlText w:val=""/>
      <w:lvlJc w:val="left"/>
      <w:pPr>
        <w:ind w:left="6534" w:hanging="360"/>
      </w:pPr>
      <w:rPr>
        <w:rFonts w:ascii="Wingdings" w:hAnsi="Wingdings" w:hint="default"/>
      </w:rPr>
    </w:lvl>
  </w:abstractNum>
  <w:abstractNum w:abstractNumId="22" w15:restartNumberingAfterBreak="0">
    <w:nsid w:val="2AE70E7D"/>
    <w:multiLevelType w:val="hybridMultilevel"/>
    <w:tmpl w:val="1F2E82E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2C1D7DB0"/>
    <w:multiLevelType w:val="hybridMultilevel"/>
    <w:tmpl w:val="DE6EA86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30697A83"/>
    <w:multiLevelType w:val="hybridMultilevel"/>
    <w:tmpl w:val="927ABE3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30BE252F"/>
    <w:multiLevelType w:val="hybridMultilevel"/>
    <w:tmpl w:val="686218A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343938E7"/>
    <w:multiLevelType w:val="hybridMultilevel"/>
    <w:tmpl w:val="744E4B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35C224A5"/>
    <w:multiLevelType w:val="hybridMultilevel"/>
    <w:tmpl w:val="01543D70"/>
    <w:lvl w:ilvl="0" w:tplc="4216D1B8">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8" w15:restartNumberingAfterBreak="0">
    <w:nsid w:val="367E4A83"/>
    <w:multiLevelType w:val="hybridMultilevel"/>
    <w:tmpl w:val="99FAB470"/>
    <w:lvl w:ilvl="0" w:tplc="041B0017">
      <w:start w:val="1"/>
      <w:numFmt w:val="lowerLetter"/>
      <w:lvlText w:val="%1)"/>
      <w:lvlJc w:val="left"/>
      <w:pPr>
        <w:ind w:left="720" w:hanging="360"/>
      </w:pPr>
    </w:lvl>
    <w:lvl w:ilvl="1" w:tplc="041B0001">
      <w:start w:val="1"/>
      <w:numFmt w:val="bullet"/>
      <w:lvlText w:val=""/>
      <w:lvlJc w:val="left"/>
      <w:pPr>
        <w:ind w:left="1440" w:hanging="360"/>
      </w:pPr>
      <w:rPr>
        <w:rFonts w:ascii="Symbol" w:hAnsi="Symbol" w:hint="default"/>
      </w:r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368E206F"/>
    <w:multiLevelType w:val="hybridMultilevel"/>
    <w:tmpl w:val="EA544D9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37CD7557"/>
    <w:multiLevelType w:val="hybridMultilevel"/>
    <w:tmpl w:val="1584D3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386E13BB"/>
    <w:multiLevelType w:val="multilevel"/>
    <w:tmpl w:val="041B0025"/>
    <w:lvl w:ilvl="0">
      <w:start w:val="1"/>
      <w:numFmt w:val="decimal"/>
      <w:pStyle w:val="Nadpis1"/>
      <w:lvlText w:val="%1"/>
      <w:lvlJc w:val="left"/>
      <w:pPr>
        <w:ind w:left="432" w:hanging="432"/>
      </w:pPr>
    </w:lvl>
    <w:lvl w:ilvl="1">
      <w:start w:val="1"/>
      <w:numFmt w:val="decimal"/>
      <w:pStyle w:val="Nadpis2"/>
      <w:lvlText w:val="%1.%2"/>
      <w:lvlJc w:val="left"/>
      <w:pPr>
        <w:ind w:left="576" w:hanging="576"/>
      </w:p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32" w15:restartNumberingAfterBreak="0">
    <w:nsid w:val="3B3401F9"/>
    <w:multiLevelType w:val="hybridMultilevel"/>
    <w:tmpl w:val="D2AA758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3BB00A12"/>
    <w:multiLevelType w:val="hybridMultilevel"/>
    <w:tmpl w:val="1B2E1CB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3E2D7517"/>
    <w:multiLevelType w:val="hybridMultilevel"/>
    <w:tmpl w:val="C0FC084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3FFA2921"/>
    <w:multiLevelType w:val="hybridMultilevel"/>
    <w:tmpl w:val="8272AF7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423C38FF"/>
    <w:multiLevelType w:val="hybridMultilevel"/>
    <w:tmpl w:val="9A1E1FEA"/>
    <w:lvl w:ilvl="0" w:tplc="041B0017">
      <w:start w:val="1"/>
      <w:numFmt w:val="lowerLetter"/>
      <w:lvlText w:val="%1)"/>
      <w:lvlJc w:val="left"/>
      <w:pPr>
        <w:ind w:left="774" w:hanging="360"/>
      </w:pPr>
      <w:rPr>
        <w:rFonts w:hint="default"/>
      </w:rPr>
    </w:lvl>
    <w:lvl w:ilvl="1" w:tplc="041B0003" w:tentative="1">
      <w:start w:val="1"/>
      <w:numFmt w:val="bullet"/>
      <w:lvlText w:val="o"/>
      <w:lvlJc w:val="left"/>
      <w:pPr>
        <w:ind w:left="1494" w:hanging="360"/>
      </w:pPr>
      <w:rPr>
        <w:rFonts w:ascii="Courier New" w:hAnsi="Courier New" w:cs="Courier New" w:hint="default"/>
      </w:rPr>
    </w:lvl>
    <w:lvl w:ilvl="2" w:tplc="041B0005" w:tentative="1">
      <w:start w:val="1"/>
      <w:numFmt w:val="bullet"/>
      <w:lvlText w:val=""/>
      <w:lvlJc w:val="left"/>
      <w:pPr>
        <w:ind w:left="2214" w:hanging="360"/>
      </w:pPr>
      <w:rPr>
        <w:rFonts w:ascii="Wingdings" w:hAnsi="Wingdings" w:hint="default"/>
      </w:rPr>
    </w:lvl>
    <w:lvl w:ilvl="3" w:tplc="041B0001" w:tentative="1">
      <w:start w:val="1"/>
      <w:numFmt w:val="bullet"/>
      <w:lvlText w:val=""/>
      <w:lvlJc w:val="left"/>
      <w:pPr>
        <w:ind w:left="2934" w:hanging="360"/>
      </w:pPr>
      <w:rPr>
        <w:rFonts w:ascii="Symbol" w:hAnsi="Symbol" w:hint="default"/>
      </w:rPr>
    </w:lvl>
    <w:lvl w:ilvl="4" w:tplc="041B0003" w:tentative="1">
      <w:start w:val="1"/>
      <w:numFmt w:val="bullet"/>
      <w:lvlText w:val="o"/>
      <w:lvlJc w:val="left"/>
      <w:pPr>
        <w:ind w:left="3654" w:hanging="360"/>
      </w:pPr>
      <w:rPr>
        <w:rFonts w:ascii="Courier New" w:hAnsi="Courier New" w:cs="Courier New" w:hint="default"/>
      </w:rPr>
    </w:lvl>
    <w:lvl w:ilvl="5" w:tplc="041B0005" w:tentative="1">
      <w:start w:val="1"/>
      <w:numFmt w:val="bullet"/>
      <w:lvlText w:val=""/>
      <w:lvlJc w:val="left"/>
      <w:pPr>
        <w:ind w:left="4374" w:hanging="360"/>
      </w:pPr>
      <w:rPr>
        <w:rFonts w:ascii="Wingdings" w:hAnsi="Wingdings" w:hint="default"/>
      </w:rPr>
    </w:lvl>
    <w:lvl w:ilvl="6" w:tplc="041B0001" w:tentative="1">
      <w:start w:val="1"/>
      <w:numFmt w:val="bullet"/>
      <w:lvlText w:val=""/>
      <w:lvlJc w:val="left"/>
      <w:pPr>
        <w:ind w:left="5094" w:hanging="360"/>
      </w:pPr>
      <w:rPr>
        <w:rFonts w:ascii="Symbol" w:hAnsi="Symbol" w:hint="default"/>
      </w:rPr>
    </w:lvl>
    <w:lvl w:ilvl="7" w:tplc="041B0003" w:tentative="1">
      <w:start w:val="1"/>
      <w:numFmt w:val="bullet"/>
      <w:lvlText w:val="o"/>
      <w:lvlJc w:val="left"/>
      <w:pPr>
        <w:ind w:left="5814" w:hanging="360"/>
      </w:pPr>
      <w:rPr>
        <w:rFonts w:ascii="Courier New" w:hAnsi="Courier New" w:cs="Courier New" w:hint="default"/>
      </w:rPr>
    </w:lvl>
    <w:lvl w:ilvl="8" w:tplc="041B0005" w:tentative="1">
      <w:start w:val="1"/>
      <w:numFmt w:val="bullet"/>
      <w:lvlText w:val=""/>
      <w:lvlJc w:val="left"/>
      <w:pPr>
        <w:ind w:left="6534" w:hanging="360"/>
      </w:pPr>
      <w:rPr>
        <w:rFonts w:ascii="Wingdings" w:hAnsi="Wingdings" w:hint="default"/>
      </w:rPr>
    </w:lvl>
  </w:abstractNum>
  <w:abstractNum w:abstractNumId="37" w15:restartNumberingAfterBreak="0">
    <w:nsid w:val="432110C0"/>
    <w:multiLevelType w:val="hybridMultilevel"/>
    <w:tmpl w:val="AB80E04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464470CD"/>
    <w:multiLevelType w:val="hybridMultilevel"/>
    <w:tmpl w:val="552E48D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48D3157D"/>
    <w:multiLevelType w:val="hybridMultilevel"/>
    <w:tmpl w:val="2788D16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4AAF6AED"/>
    <w:multiLevelType w:val="hybridMultilevel"/>
    <w:tmpl w:val="F8289D26"/>
    <w:lvl w:ilvl="0" w:tplc="041B0011">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41" w15:restartNumberingAfterBreak="0">
    <w:nsid w:val="4B511764"/>
    <w:multiLevelType w:val="hybridMultilevel"/>
    <w:tmpl w:val="9288E1F8"/>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2" w15:restartNumberingAfterBreak="0">
    <w:nsid w:val="4E97491F"/>
    <w:multiLevelType w:val="hybridMultilevel"/>
    <w:tmpl w:val="BCC2E47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4FB807F3"/>
    <w:multiLevelType w:val="hybridMultilevel"/>
    <w:tmpl w:val="3502E2C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54F62B1C"/>
    <w:multiLevelType w:val="hybridMultilevel"/>
    <w:tmpl w:val="0D6EB5C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 w15:restartNumberingAfterBreak="0">
    <w:nsid w:val="56555442"/>
    <w:multiLevelType w:val="hybridMultilevel"/>
    <w:tmpl w:val="51B4F7D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57CC7762"/>
    <w:multiLevelType w:val="hybridMultilevel"/>
    <w:tmpl w:val="5DAC0512"/>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5D7F16FC"/>
    <w:multiLevelType w:val="hybridMultilevel"/>
    <w:tmpl w:val="DA28D90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15:restartNumberingAfterBreak="0">
    <w:nsid w:val="5F0220C0"/>
    <w:multiLevelType w:val="hybridMultilevel"/>
    <w:tmpl w:val="2E02752C"/>
    <w:lvl w:ilvl="0" w:tplc="041B0001">
      <w:start w:val="1"/>
      <w:numFmt w:val="bullet"/>
      <w:lvlText w:val=""/>
      <w:lvlJc w:val="left"/>
      <w:pPr>
        <w:ind w:left="720" w:hanging="360"/>
      </w:pPr>
      <w:rPr>
        <w:rFonts w:ascii="Symbol" w:hAnsi="Symbo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5FF45B7D"/>
    <w:multiLevelType w:val="hybridMultilevel"/>
    <w:tmpl w:val="4A22633A"/>
    <w:lvl w:ilvl="0" w:tplc="1E889440">
      <w:start w:val="1"/>
      <w:numFmt w:val="bullet"/>
      <w:lvlText w:val=""/>
      <w:lvlJc w:val="left"/>
      <w:pPr>
        <w:tabs>
          <w:tab w:val="num" w:pos="720"/>
        </w:tabs>
        <w:ind w:left="720" w:hanging="360"/>
      </w:pPr>
      <w:rPr>
        <w:rFonts w:ascii="Symbol" w:hAnsi="Symbol" w:hint="default"/>
      </w:rPr>
    </w:lvl>
    <w:lvl w:ilvl="1" w:tplc="D2B27176" w:tentative="1">
      <w:start w:val="1"/>
      <w:numFmt w:val="bullet"/>
      <w:lvlText w:val=""/>
      <w:lvlJc w:val="left"/>
      <w:pPr>
        <w:tabs>
          <w:tab w:val="num" w:pos="1440"/>
        </w:tabs>
        <w:ind w:left="1440" w:hanging="360"/>
      </w:pPr>
      <w:rPr>
        <w:rFonts w:ascii="Symbol" w:hAnsi="Symbol" w:hint="default"/>
      </w:rPr>
    </w:lvl>
    <w:lvl w:ilvl="2" w:tplc="45CAD378" w:tentative="1">
      <w:start w:val="1"/>
      <w:numFmt w:val="bullet"/>
      <w:lvlText w:val=""/>
      <w:lvlJc w:val="left"/>
      <w:pPr>
        <w:tabs>
          <w:tab w:val="num" w:pos="2160"/>
        </w:tabs>
        <w:ind w:left="2160" w:hanging="360"/>
      </w:pPr>
      <w:rPr>
        <w:rFonts w:ascii="Symbol" w:hAnsi="Symbol" w:hint="default"/>
      </w:rPr>
    </w:lvl>
    <w:lvl w:ilvl="3" w:tplc="63B8F6F2" w:tentative="1">
      <w:start w:val="1"/>
      <w:numFmt w:val="bullet"/>
      <w:lvlText w:val=""/>
      <w:lvlJc w:val="left"/>
      <w:pPr>
        <w:tabs>
          <w:tab w:val="num" w:pos="2880"/>
        </w:tabs>
        <w:ind w:left="2880" w:hanging="360"/>
      </w:pPr>
      <w:rPr>
        <w:rFonts w:ascii="Symbol" w:hAnsi="Symbol" w:hint="default"/>
      </w:rPr>
    </w:lvl>
    <w:lvl w:ilvl="4" w:tplc="27B8025C" w:tentative="1">
      <w:start w:val="1"/>
      <w:numFmt w:val="bullet"/>
      <w:lvlText w:val=""/>
      <w:lvlJc w:val="left"/>
      <w:pPr>
        <w:tabs>
          <w:tab w:val="num" w:pos="3600"/>
        </w:tabs>
        <w:ind w:left="3600" w:hanging="360"/>
      </w:pPr>
      <w:rPr>
        <w:rFonts w:ascii="Symbol" w:hAnsi="Symbol" w:hint="default"/>
      </w:rPr>
    </w:lvl>
    <w:lvl w:ilvl="5" w:tplc="C7B020EE" w:tentative="1">
      <w:start w:val="1"/>
      <w:numFmt w:val="bullet"/>
      <w:lvlText w:val=""/>
      <w:lvlJc w:val="left"/>
      <w:pPr>
        <w:tabs>
          <w:tab w:val="num" w:pos="4320"/>
        </w:tabs>
        <w:ind w:left="4320" w:hanging="360"/>
      </w:pPr>
      <w:rPr>
        <w:rFonts w:ascii="Symbol" w:hAnsi="Symbol" w:hint="default"/>
      </w:rPr>
    </w:lvl>
    <w:lvl w:ilvl="6" w:tplc="AC5E26CC" w:tentative="1">
      <w:start w:val="1"/>
      <w:numFmt w:val="bullet"/>
      <w:lvlText w:val=""/>
      <w:lvlJc w:val="left"/>
      <w:pPr>
        <w:tabs>
          <w:tab w:val="num" w:pos="5040"/>
        </w:tabs>
        <w:ind w:left="5040" w:hanging="360"/>
      </w:pPr>
      <w:rPr>
        <w:rFonts w:ascii="Symbol" w:hAnsi="Symbol" w:hint="default"/>
      </w:rPr>
    </w:lvl>
    <w:lvl w:ilvl="7" w:tplc="E9120A92" w:tentative="1">
      <w:start w:val="1"/>
      <w:numFmt w:val="bullet"/>
      <w:lvlText w:val=""/>
      <w:lvlJc w:val="left"/>
      <w:pPr>
        <w:tabs>
          <w:tab w:val="num" w:pos="5760"/>
        </w:tabs>
        <w:ind w:left="5760" w:hanging="360"/>
      </w:pPr>
      <w:rPr>
        <w:rFonts w:ascii="Symbol" w:hAnsi="Symbol" w:hint="default"/>
      </w:rPr>
    </w:lvl>
    <w:lvl w:ilvl="8" w:tplc="FDE26100" w:tentative="1">
      <w:start w:val="1"/>
      <w:numFmt w:val="bullet"/>
      <w:lvlText w:val=""/>
      <w:lvlJc w:val="left"/>
      <w:pPr>
        <w:tabs>
          <w:tab w:val="num" w:pos="6480"/>
        </w:tabs>
        <w:ind w:left="6480" w:hanging="360"/>
      </w:pPr>
      <w:rPr>
        <w:rFonts w:ascii="Symbol" w:hAnsi="Symbol" w:hint="default"/>
      </w:rPr>
    </w:lvl>
  </w:abstractNum>
  <w:abstractNum w:abstractNumId="50" w15:restartNumberingAfterBreak="0">
    <w:nsid w:val="62A06438"/>
    <w:multiLevelType w:val="hybridMultilevel"/>
    <w:tmpl w:val="F192385A"/>
    <w:lvl w:ilvl="0" w:tplc="1B5CF59E">
      <w:start w:val="1"/>
      <w:numFmt w:val="decimal"/>
      <w:lvlText w:val="%1."/>
      <w:lvlJc w:val="left"/>
      <w:pPr>
        <w:ind w:left="720" w:hanging="360"/>
      </w:pPr>
      <w:rPr>
        <w:b/>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1" w15:restartNumberingAfterBreak="0">
    <w:nsid w:val="647B1AB5"/>
    <w:multiLevelType w:val="hybridMultilevel"/>
    <w:tmpl w:val="8F9E3620"/>
    <w:lvl w:ilvl="0" w:tplc="041B0017">
      <w:start w:val="1"/>
      <w:numFmt w:val="lowerLetter"/>
      <w:lvlText w:val="%1)"/>
      <w:lvlJc w:val="left"/>
      <w:pPr>
        <w:ind w:left="720" w:hanging="360"/>
      </w:pPr>
    </w:lvl>
    <w:lvl w:ilvl="1" w:tplc="041B001B">
      <w:start w:val="1"/>
      <w:numFmt w:val="lowerRoman"/>
      <w:lvlText w:val="%2."/>
      <w:lvlJc w:val="righ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67365B9E"/>
    <w:multiLevelType w:val="hybridMultilevel"/>
    <w:tmpl w:val="2C2C1F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15:restartNumberingAfterBreak="0">
    <w:nsid w:val="68E146EB"/>
    <w:multiLevelType w:val="hybridMultilevel"/>
    <w:tmpl w:val="C69E4C2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 w15:restartNumberingAfterBreak="0">
    <w:nsid w:val="6A9355AF"/>
    <w:multiLevelType w:val="hybridMultilevel"/>
    <w:tmpl w:val="8342FB1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5" w15:restartNumberingAfterBreak="0">
    <w:nsid w:val="6C3749D9"/>
    <w:multiLevelType w:val="hybridMultilevel"/>
    <w:tmpl w:val="59FED04E"/>
    <w:lvl w:ilvl="0" w:tplc="8BDCE9B2">
      <w:start w:val="1"/>
      <w:numFmt w:val="decimal"/>
      <w:pStyle w:val="slovanodseky"/>
      <w:lvlText w:val="%1"/>
      <w:lvlJc w:val="left"/>
      <w:pPr>
        <w:ind w:left="3621" w:hanging="360"/>
      </w:pPr>
      <w:rPr>
        <w:rFonts w:hint="default"/>
        <w:b/>
        <w:i w:val="0"/>
        <w:color w:val="538135" w:themeColor="accent6" w:themeShade="BF"/>
      </w:rPr>
    </w:lvl>
    <w:lvl w:ilvl="1" w:tplc="BF6636CA">
      <w:start w:val="1"/>
      <w:numFmt w:val="lowerLetter"/>
      <w:lvlText w:val="%2)"/>
      <w:lvlJc w:val="left"/>
      <w:pPr>
        <w:ind w:left="1080" w:hanging="360"/>
      </w:pPr>
      <w:rPr>
        <w:rFonts w:hint="default"/>
        <w:b w:val="0"/>
        <w:color w:val="538135" w:themeColor="accent6" w:themeShade="BF"/>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6" w15:restartNumberingAfterBreak="0">
    <w:nsid w:val="6F6138F8"/>
    <w:multiLevelType w:val="hybridMultilevel"/>
    <w:tmpl w:val="968604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7" w15:restartNumberingAfterBreak="0">
    <w:nsid w:val="716322B8"/>
    <w:multiLevelType w:val="hybridMultilevel"/>
    <w:tmpl w:val="3B42AA5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8" w15:restartNumberingAfterBreak="0">
    <w:nsid w:val="724C1469"/>
    <w:multiLevelType w:val="hybridMultilevel"/>
    <w:tmpl w:val="7228FE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9" w15:restartNumberingAfterBreak="0">
    <w:nsid w:val="744C63AD"/>
    <w:multiLevelType w:val="hybridMultilevel"/>
    <w:tmpl w:val="5528704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60" w15:restartNumberingAfterBreak="0">
    <w:nsid w:val="7C9F3B5C"/>
    <w:multiLevelType w:val="hybridMultilevel"/>
    <w:tmpl w:val="1412614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num w:numId="1">
    <w:abstractNumId w:val="31"/>
  </w:num>
  <w:num w:numId="2">
    <w:abstractNumId w:val="28"/>
  </w:num>
  <w:num w:numId="3">
    <w:abstractNumId w:val="23"/>
  </w:num>
  <w:num w:numId="4">
    <w:abstractNumId w:val="54"/>
  </w:num>
  <w:num w:numId="5">
    <w:abstractNumId w:val="55"/>
  </w:num>
  <w:num w:numId="6">
    <w:abstractNumId w:val="30"/>
  </w:num>
  <w:num w:numId="7">
    <w:abstractNumId w:val="35"/>
  </w:num>
  <w:num w:numId="8">
    <w:abstractNumId w:val="2"/>
  </w:num>
  <w:num w:numId="9">
    <w:abstractNumId w:val="29"/>
  </w:num>
  <w:num w:numId="10">
    <w:abstractNumId w:val="36"/>
  </w:num>
  <w:num w:numId="11">
    <w:abstractNumId w:val="34"/>
  </w:num>
  <w:num w:numId="12">
    <w:abstractNumId w:val="5"/>
  </w:num>
  <w:num w:numId="13">
    <w:abstractNumId w:val="6"/>
  </w:num>
  <w:num w:numId="1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num>
  <w:num w:numId="17">
    <w:abstractNumId w:val="50"/>
  </w:num>
  <w:num w:numId="18">
    <w:abstractNumId w:val="52"/>
  </w:num>
  <w:num w:numId="19">
    <w:abstractNumId w:val="15"/>
  </w:num>
  <w:num w:numId="20">
    <w:abstractNumId w:val="8"/>
  </w:num>
  <w:num w:numId="21">
    <w:abstractNumId w:val="3"/>
  </w:num>
  <w:num w:numId="22">
    <w:abstractNumId w:val="12"/>
  </w:num>
  <w:num w:numId="23">
    <w:abstractNumId w:val="53"/>
  </w:num>
  <w:num w:numId="24">
    <w:abstractNumId w:val="9"/>
  </w:num>
  <w:num w:numId="25">
    <w:abstractNumId w:val="51"/>
  </w:num>
  <w:num w:numId="26">
    <w:abstractNumId w:val="21"/>
  </w:num>
  <w:num w:numId="27">
    <w:abstractNumId w:val="44"/>
  </w:num>
  <w:num w:numId="28">
    <w:abstractNumId w:val="7"/>
  </w:num>
  <w:num w:numId="29">
    <w:abstractNumId w:val="46"/>
  </w:num>
  <w:num w:numId="30">
    <w:abstractNumId w:val="45"/>
  </w:num>
  <w:num w:numId="31">
    <w:abstractNumId w:val="59"/>
  </w:num>
  <w:num w:numId="32">
    <w:abstractNumId w:val="20"/>
  </w:num>
  <w:num w:numId="33">
    <w:abstractNumId w:val="22"/>
  </w:num>
  <w:num w:numId="34">
    <w:abstractNumId w:val="57"/>
  </w:num>
  <w:num w:numId="35">
    <w:abstractNumId w:val="38"/>
  </w:num>
  <w:num w:numId="36">
    <w:abstractNumId w:val="0"/>
  </w:num>
  <w:num w:numId="37">
    <w:abstractNumId w:val="56"/>
  </w:num>
  <w:num w:numId="38">
    <w:abstractNumId w:val="14"/>
  </w:num>
  <w:num w:numId="39">
    <w:abstractNumId w:val="39"/>
  </w:num>
  <w:num w:numId="40">
    <w:abstractNumId w:val="11"/>
  </w:num>
  <w:num w:numId="41">
    <w:abstractNumId w:val="48"/>
  </w:num>
  <w:num w:numId="42">
    <w:abstractNumId w:val="18"/>
  </w:num>
  <w:num w:numId="43">
    <w:abstractNumId w:val="60"/>
  </w:num>
  <w:num w:numId="44">
    <w:abstractNumId w:val="42"/>
  </w:num>
  <w:num w:numId="45">
    <w:abstractNumId w:val="1"/>
  </w:num>
  <w:num w:numId="46">
    <w:abstractNumId w:val="41"/>
  </w:num>
  <w:num w:numId="47">
    <w:abstractNumId w:val="32"/>
  </w:num>
  <w:num w:numId="48">
    <w:abstractNumId w:val="25"/>
  </w:num>
  <w:num w:numId="49">
    <w:abstractNumId w:val="27"/>
  </w:num>
  <w:num w:numId="50">
    <w:abstractNumId w:val="10"/>
  </w:num>
  <w:num w:numId="51">
    <w:abstractNumId w:val="16"/>
  </w:num>
  <w:num w:numId="52">
    <w:abstractNumId w:val="47"/>
  </w:num>
  <w:num w:numId="53">
    <w:abstractNumId w:val="19"/>
  </w:num>
  <w:num w:numId="54">
    <w:abstractNumId w:val="49"/>
  </w:num>
  <w:num w:numId="55">
    <w:abstractNumId w:val="26"/>
  </w:num>
  <w:num w:numId="56">
    <w:abstractNumId w:val="31"/>
  </w:num>
  <w:num w:numId="57">
    <w:abstractNumId w:val="33"/>
  </w:num>
  <w:num w:numId="58">
    <w:abstractNumId w:val="17"/>
  </w:num>
  <w:num w:numId="59">
    <w:abstractNumId w:val="37"/>
  </w:num>
  <w:num w:numId="60">
    <w:abstractNumId w:val="58"/>
  </w:num>
  <w:num w:numId="61">
    <w:abstractNumId w:val="13"/>
  </w:num>
  <w:num w:numId="62">
    <w:abstractNumId w:val="43"/>
  </w:num>
  <w:num w:numId="63">
    <w:abstractNumId w:val="24"/>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08"/>
  <w:hyphenationZone w:val="425"/>
  <w:characterSpacingControl w:val="doNotCompress"/>
  <w:hdrShapeDefaults>
    <o:shapedefaults v:ext="edit" spidmax="272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02EE"/>
    <w:rsid w:val="000009D6"/>
    <w:rsid w:val="00000A10"/>
    <w:rsid w:val="00000A43"/>
    <w:rsid w:val="00000B6E"/>
    <w:rsid w:val="000011D0"/>
    <w:rsid w:val="00001497"/>
    <w:rsid w:val="0000189E"/>
    <w:rsid w:val="000019C5"/>
    <w:rsid w:val="000028D1"/>
    <w:rsid w:val="00002E09"/>
    <w:rsid w:val="000033FA"/>
    <w:rsid w:val="00003875"/>
    <w:rsid w:val="00004100"/>
    <w:rsid w:val="00004187"/>
    <w:rsid w:val="0000422C"/>
    <w:rsid w:val="00004472"/>
    <w:rsid w:val="00004863"/>
    <w:rsid w:val="00004F03"/>
    <w:rsid w:val="00005AB0"/>
    <w:rsid w:val="00005B92"/>
    <w:rsid w:val="00011CBC"/>
    <w:rsid w:val="00011E22"/>
    <w:rsid w:val="00012151"/>
    <w:rsid w:val="0001236D"/>
    <w:rsid w:val="000123E2"/>
    <w:rsid w:val="000129F7"/>
    <w:rsid w:val="00012F5B"/>
    <w:rsid w:val="00013339"/>
    <w:rsid w:val="00014D89"/>
    <w:rsid w:val="00015FC4"/>
    <w:rsid w:val="00016321"/>
    <w:rsid w:val="00016A5C"/>
    <w:rsid w:val="00016DF2"/>
    <w:rsid w:val="00017187"/>
    <w:rsid w:val="0001795E"/>
    <w:rsid w:val="0002001E"/>
    <w:rsid w:val="00020C06"/>
    <w:rsid w:val="00021021"/>
    <w:rsid w:val="000218F2"/>
    <w:rsid w:val="00021AC7"/>
    <w:rsid w:val="00021EE2"/>
    <w:rsid w:val="00022207"/>
    <w:rsid w:val="00022D35"/>
    <w:rsid w:val="0002441C"/>
    <w:rsid w:val="00024662"/>
    <w:rsid w:val="00024872"/>
    <w:rsid w:val="00025717"/>
    <w:rsid w:val="000257D5"/>
    <w:rsid w:val="000260CA"/>
    <w:rsid w:val="000264AF"/>
    <w:rsid w:val="000271D6"/>
    <w:rsid w:val="00027D8C"/>
    <w:rsid w:val="00031034"/>
    <w:rsid w:val="0003113A"/>
    <w:rsid w:val="000311D9"/>
    <w:rsid w:val="000311FB"/>
    <w:rsid w:val="00032216"/>
    <w:rsid w:val="000328D7"/>
    <w:rsid w:val="00032AA6"/>
    <w:rsid w:val="00032F41"/>
    <w:rsid w:val="00032FF9"/>
    <w:rsid w:val="00033AD2"/>
    <w:rsid w:val="000357CF"/>
    <w:rsid w:val="00035AB4"/>
    <w:rsid w:val="00035C34"/>
    <w:rsid w:val="000361CC"/>
    <w:rsid w:val="00036501"/>
    <w:rsid w:val="000371F5"/>
    <w:rsid w:val="00037B38"/>
    <w:rsid w:val="0004000F"/>
    <w:rsid w:val="0004150C"/>
    <w:rsid w:val="0004176F"/>
    <w:rsid w:val="000420B0"/>
    <w:rsid w:val="000427A3"/>
    <w:rsid w:val="00042B74"/>
    <w:rsid w:val="000433F0"/>
    <w:rsid w:val="00043DB9"/>
    <w:rsid w:val="00044129"/>
    <w:rsid w:val="0004441D"/>
    <w:rsid w:val="0004485F"/>
    <w:rsid w:val="00044995"/>
    <w:rsid w:val="00044EEA"/>
    <w:rsid w:val="0004595E"/>
    <w:rsid w:val="00045BF4"/>
    <w:rsid w:val="00046C3A"/>
    <w:rsid w:val="00046E1B"/>
    <w:rsid w:val="00047497"/>
    <w:rsid w:val="0004760C"/>
    <w:rsid w:val="00050348"/>
    <w:rsid w:val="000504B8"/>
    <w:rsid w:val="00051028"/>
    <w:rsid w:val="000516E5"/>
    <w:rsid w:val="00051860"/>
    <w:rsid w:val="00051C26"/>
    <w:rsid w:val="00052F86"/>
    <w:rsid w:val="0005307B"/>
    <w:rsid w:val="00053141"/>
    <w:rsid w:val="000542AB"/>
    <w:rsid w:val="00054305"/>
    <w:rsid w:val="00054CEA"/>
    <w:rsid w:val="00055240"/>
    <w:rsid w:val="000553D8"/>
    <w:rsid w:val="000554E1"/>
    <w:rsid w:val="00055DF2"/>
    <w:rsid w:val="000575FE"/>
    <w:rsid w:val="00060260"/>
    <w:rsid w:val="000605B8"/>
    <w:rsid w:val="0006165A"/>
    <w:rsid w:val="0006224A"/>
    <w:rsid w:val="00062C05"/>
    <w:rsid w:val="00063671"/>
    <w:rsid w:val="000638BA"/>
    <w:rsid w:val="00063E2D"/>
    <w:rsid w:val="00064360"/>
    <w:rsid w:val="000653FB"/>
    <w:rsid w:val="00065841"/>
    <w:rsid w:val="00066455"/>
    <w:rsid w:val="00066769"/>
    <w:rsid w:val="000669C1"/>
    <w:rsid w:val="00066B93"/>
    <w:rsid w:val="0006779F"/>
    <w:rsid w:val="000678AD"/>
    <w:rsid w:val="000702FC"/>
    <w:rsid w:val="00070972"/>
    <w:rsid w:val="00070E38"/>
    <w:rsid w:val="00071B8E"/>
    <w:rsid w:val="00072553"/>
    <w:rsid w:val="00072D3C"/>
    <w:rsid w:val="000730AE"/>
    <w:rsid w:val="00073EAB"/>
    <w:rsid w:val="0007436F"/>
    <w:rsid w:val="00074A69"/>
    <w:rsid w:val="0007581C"/>
    <w:rsid w:val="00075BB3"/>
    <w:rsid w:val="00076AB8"/>
    <w:rsid w:val="00076E5E"/>
    <w:rsid w:val="00077497"/>
    <w:rsid w:val="000779FF"/>
    <w:rsid w:val="000800FF"/>
    <w:rsid w:val="00080BCF"/>
    <w:rsid w:val="00080F6A"/>
    <w:rsid w:val="000812BE"/>
    <w:rsid w:val="00082207"/>
    <w:rsid w:val="000829A4"/>
    <w:rsid w:val="00082B7B"/>
    <w:rsid w:val="00083372"/>
    <w:rsid w:val="0008353C"/>
    <w:rsid w:val="00084ABA"/>
    <w:rsid w:val="000852F9"/>
    <w:rsid w:val="00085346"/>
    <w:rsid w:val="0008541C"/>
    <w:rsid w:val="00085976"/>
    <w:rsid w:val="00085DFD"/>
    <w:rsid w:val="0008634D"/>
    <w:rsid w:val="00086B32"/>
    <w:rsid w:val="0008719A"/>
    <w:rsid w:val="00087379"/>
    <w:rsid w:val="000879FC"/>
    <w:rsid w:val="000900BD"/>
    <w:rsid w:val="00090D30"/>
    <w:rsid w:val="000914F2"/>
    <w:rsid w:val="000919B6"/>
    <w:rsid w:val="00091E03"/>
    <w:rsid w:val="000923BD"/>
    <w:rsid w:val="00092554"/>
    <w:rsid w:val="000928C0"/>
    <w:rsid w:val="00092A31"/>
    <w:rsid w:val="00093207"/>
    <w:rsid w:val="0009320F"/>
    <w:rsid w:val="00093F59"/>
    <w:rsid w:val="000948EE"/>
    <w:rsid w:val="00094916"/>
    <w:rsid w:val="00094FFF"/>
    <w:rsid w:val="000954C4"/>
    <w:rsid w:val="000955DA"/>
    <w:rsid w:val="00096272"/>
    <w:rsid w:val="00096438"/>
    <w:rsid w:val="00096893"/>
    <w:rsid w:val="0009793B"/>
    <w:rsid w:val="00097D34"/>
    <w:rsid w:val="00097EAC"/>
    <w:rsid w:val="00097EB0"/>
    <w:rsid w:val="000A0099"/>
    <w:rsid w:val="000A1068"/>
    <w:rsid w:val="000A12BE"/>
    <w:rsid w:val="000A1544"/>
    <w:rsid w:val="000A2797"/>
    <w:rsid w:val="000A28E1"/>
    <w:rsid w:val="000A2CAB"/>
    <w:rsid w:val="000A3493"/>
    <w:rsid w:val="000A3E0B"/>
    <w:rsid w:val="000A43AA"/>
    <w:rsid w:val="000A44EA"/>
    <w:rsid w:val="000A44ED"/>
    <w:rsid w:val="000A4939"/>
    <w:rsid w:val="000A4B20"/>
    <w:rsid w:val="000A4B94"/>
    <w:rsid w:val="000A5E65"/>
    <w:rsid w:val="000A60C5"/>
    <w:rsid w:val="000A6BFE"/>
    <w:rsid w:val="000A70C0"/>
    <w:rsid w:val="000A7190"/>
    <w:rsid w:val="000B0127"/>
    <w:rsid w:val="000B0162"/>
    <w:rsid w:val="000B09F4"/>
    <w:rsid w:val="000B0B3F"/>
    <w:rsid w:val="000B12A0"/>
    <w:rsid w:val="000B14FE"/>
    <w:rsid w:val="000B3A82"/>
    <w:rsid w:val="000B412A"/>
    <w:rsid w:val="000B4726"/>
    <w:rsid w:val="000B4D13"/>
    <w:rsid w:val="000B5353"/>
    <w:rsid w:val="000B538F"/>
    <w:rsid w:val="000B575F"/>
    <w:rsid w:val="000B5980"/>
    <w:rsid w:val="000B656A"/>
    <w:rsid w:val="000B7187"/>
    <w:rsid w:val="000B790C"/>
    <w:rsid w:val="000B7B1A"/>
    <w:rsid w:val="000B7BD1"/>
    <w:rsid w:val="000C15F6"/>
    <w:rsid w:val="000C18E9"/>
    <w:rsid w:val="000C1C73"/>
    <w:rsid w:val="000C1D06"/>
    <w:rsid w:val="000C27F4"/>
    <w:rsid w:val="000C2A89"/>
    <w:rsid w:val="000C35ED"/>
    <w:rsid w:val="000C3A8C"/>
    <w:rsid w:val="000C446A"/>
    <w:rsid w:val="000C44B4"/>
    <w:rsid w:val="000C4546"/>
    <w:rsid w:val="000C484F"/>
    <w:rsid w:val="000C54D4"/>
    <w:rsid w:val="000C63FD"/>
    <w:rsid w:val="000C6C77"/>
    <w:rsid w:val="000C72D8"/>
    <w:rsid w:val="000C73CB"/>
    <w:rsid w:val="000C74F1"/>
    <w:rsid w:val="000D009B"/>
    <w:rsid w:val="000D0445"/>
    <w:rsid w:val="000D0866"/>
    <w:rsid w:val="000D2AF7"/>
    <w:rsid w:val="000D41EC"/>
    <w:rsid w:val="000D4F98"/>
    <w:rsid w:val="000D50E4"/>
    <w:rsid w:val="000D53AE"/>
    <w:rsid w:val="000D5E44"/>
    <w:rsid w:val="000D5E50"/>
    <w:rsid w:val="000D5F56"/>
    <w:rsid w:val="000D6972"/>
    <w:rsid w:val="000D7DE2"/>
    <w:rsid w:val="000E13D7"/>
    <w:rsid w:val="000E145D"/>
    <w:rsid w:val="000E1C42"/>
    <w:rsid w:val="000E1CF0"/>
    <w:rsid w:val="000E2C83"/>
    <w:rsid w:val="000E386C"/>
    <w:rsid w:val="000E39F7"/>
    <w:rsid w:val="000E3CF0"/>
    <w:rsid w:val="000E45B0"/>
    <w:rsid w:val="000E4664"/>
    <w:rsid w:val="000E4C38"/>
    <w:rsid w:val="000E506D"/>
    <w:rsid w:val="000E51BC"/>
    <w:rsid w:val="000E6A57"/>
    <w:rsid w:val="000E6C82"/>
    <w:rsid w:val="000E6D12"/>
    <w:rsid w:val="000E7241"/>
    <w:rsid w:val="000E737B"/>
    <w:rsid w:val="000F03BC"/>
    <w:rsid w:val="000F0603"/>
    <w:rsid w:val="000F0851"/>
    <w:rsid w:val="000F10B6"/>
    <w:rsid w:val="000F118D"/>
    <w:rsid w:val="000F1A00"/>
    <w:rsid w:val="000F20FC"/>
    <w:rsid w:val="000F3427"/>
    <w:rsid w:val="000F3C02"/>
    <w:rsid w:val="000F3F40"/>
    <w:rsid w:val="000F40B0"/>
    <w:rsid w:val="000F44B1"/>
    <w:rsid w:val="000F4CBC"/>
    <w:rsid w:val="000F577C"/>
    <w:rsid w:val="000F5EF1"/>
    <w:rsid w:val="000F6334"/>
    <w:rsid w:val="000F6431"/>
    <w:rsid w:val="000F6513"/>
    <w:rsid w:val="000F67AA"/>
    <w:rsid w:val="000F6AE9"/>
    <w:rsid w:val="000F6E8D"/>
    <w:rsid w:val="000F7897"/>
    <w:rsid w:val="00100FA4"/>
    <w:rsid w:val="0010116C"/>
    <w:rsid w:val="001016D4"/>
    <w:rsid w:val="001019BD"/>
    <w:rsid w:val="0010215E"/>
    <w:rsid w:val="00102D0E"/>
    <w:rsid w:val="00103323"/>
    <w:rsid w:val="001033D9"/>
    <w:rsid w:val="0010372D"/>
    <w:rsid w:val="0010386F"/>
    <w:rsid w:val="0010391D"/>
    <w:rsid w:val="0010425E"/>
    <w:rsid w:val="0010484F"/>
    <w:rsid w:val="00104FFF"/>
    <w:rsid w:val="001054F1"/>
    <w:rsid w:val="001061A3"/>
    <w:rsid w:val="00106564"/>
    <w:rsid w:val="0011025A"/>
    <w:rsid w:val="001109B1"/>
    <w:rsid w:val="00110D41"/>
    <w:rsid w:val="00111294"/>
    <w:rsid w:val="0011164D"/>
    <w:rsid w:val="00112163"/>
    <w:rsid w:val="00114085"/>
    <w:rsid w:val="001148CC"/>
    <w:rsid w:val="00114D37"/>
    <w:rsid w:val="00115243"/>
    <w:rsid w:val="00115D09"/>
    <w:rsid w:val="0011655C"/>
    <w:rsid w:val="00116A52"/>
    <w:rsid w:val="00116ABB"/>
    <w:rsid w:val="00116DEF"/>
    <w:rsid w:val="001173A1"/>
    <w:rsid w:val="001177EE"/>
    <w:rsid w:val="00117C1B"/>
    <w:rsid w:val="0012012B"/>
    <w:rsid w:val="0012075D"/>
    <w:rsid w:val="00120B92"/>
    <w:rsid w:val="00120C5F"/>
    <w:rsid w:val="001210C7"/>
    <w:rsid w:val="00121AA3"/>
    <w:rsid w:val="00121C4E"/>
    <w:rsid w:val="001220BF"/>
    <w:rsid w:val="0012225F"/>
    <w:rsid w:val="00122A2D"/>
    <w:rsid w:val="00122B40"/>
    <w:rsid w:val="00122DBA"/>
    <w:rsid w:val="00122EE9"/>
    <w:rsid w:val="00122F55"/>
    <w:rsid w:val="00123069"/>
    <w:rsid w:val="001236E4"/>
    <w:rsid w:val="00123A78"/>
    <w:rsid w:val="00123BFF"/>
    <w:rsid w:val="00123E18"/>
    <w:rsid w:val="00124298"/>
    <w:rsid w:val="00124349"/>
    <w:rsid w:val="00124C22"/>
    <w:rsid w:val="00124EBD"/>
    <w:rsid w:val="00125EAA"/>
    <w:rsid w:val="0012675E"/>
    <w:rsid w:val="00126A3F"/>
    <w:rsid w:val="00126A40"/>
    <w:rsid w:val="00126B39"/>
    <w:rsid w:val="0012712F"/>
    <w:rsid w:val="001272CB"/>
    <w:rsid w:val="00127921"/>
    <w:rsid w:val="00130558"/>
    <w:rsid w:val="001305A8"/>
    <w:rsid w:val="00130A7A"/>
    <w:rsid w:val="00131E4A"/>
    <w:rsid w:val="0013272B"/>
    <w:rsid w:val="00133DAF"/>
    <w:rsid w:val="00134263"/>
    <w:rsid w:val="0013447C"/>
    <w:rsid w:val="00134A91"/>
    <w:rsid w:val="001358A4"/>
    <w:rsid w:val="001361E3"/>
    <w:rsid w:val="00137006"/>
    <w:rsid w:val="00137310"/>
    <w:rsid w:val="001373A6"/>
    <w:rsid w:val="00140590"/>
    <w:rsid w:val="00140E1B"/>
    <w:rsid w:val="00140E93"/>
    <w:rsid w:val="00141916"/>
    <w:rsid w:val="00141E84"/>
    <w:rsid w:val="0014271C"/>
    <w:rsid w:val="00142EA0"/>
    <w:rsid w:val="00142EFC"/>
    <w:rsid w:val="00142FD3"/>
    <w:rsid w:val="001439F1"/>
    <w:rsid w:val="00143CD6"/>
    <w:rsid w:val="00143E39"/>
    <w:rsid w:val="00144795"/>
    <w:rsid w:val="00145905"/>
    <w:rsid w:val="00145C1B"/>
    <w:rsid w:val="001462F1"/>
    <w:rsid w:val="00146477"/>
    <w:rsid w:val="00146FEB"/>
    <w:rsid w:val="001478F3"/>
    <w:rsid w:val="00150A17"/>
    <w:rsid w:val="001514FD"/>
    <w:rsid w:val="0015175B"/>
    <w:rsid w:val="00152758"/>
    <w:rsid w:val="0015301C"/>
    <w:rsid w:val="001532C7"/>
    <w:rsid w:val="00153F90"/>
    <w:rsid w:val="00156740"/>
    <w:rsid w:val="001567F6"/>
    <w:rsid w:val="00156D1D"/>
    <w:rsid w:val="001573D7"/>
    <w:rsid w:val="00157575"/>
    <w:rsid w:val="001577A0"/>
    <w:rsid w:val="00157BD5"/>
    <w:rsid w:val="00161275"/>
    <w:rsid w:val="001618F3"/>
    <w:rsid w:val="001620A1"/>
    <w:rsid w:val="00162360"/>
    <w:rsid w:val="00162AA8"/>
    <w:rsid w:val="00162CEE"/>
    <w:rsid w:val="00162E07"/>
    <w:rsid w:val="001638AF"/>
    <w:rsid w:val="00163C9B"/>
    <w:rsid w:val="00163F8B"/>
    <w:rsid w:val="00164BC8"/>
    <w:rsid w:val="00165183"/>
    <w:rsid w:val="00165661"/>
    <w:rsid w:val="00165B86"/>
    <w:rsid w:val="00166054"/>
    <w:rsid w:val="00167749"/>
    <w:rsid w:val="00167F82"/>
    <w:rsid w:val="0017006F"/>
    <w:rsid w:val="00170A41"/>
    <w:rsid w:val="00171349"/>
    <w:rsid w:val="00171BCF"/>
    <w:rsid w:val="00172782"/>
    <w:rsid w:val="00172D5D"/>
    <w:rsid w:val="00172ECE"/>
    <w:rsid w:val="001732ED"/>
    <w:rsid w:val="001739EB"/>
    <w:rsid w:val="0017417C"/>
    <w:rsid w:val="0017498B"/>
    <w:rsid w:val="00174C4F"/>
    <w:rsid w:val="00174C73"/>
    <w:rsid w:val="00175526"/>
    <w:rsid w:val="00175B97"/>
    <w:rsid w:val="0017625D"/>
    <w:rsid w:val="00176C5E"/>
    <w:rsid w:val="00176E2D"/>
    <w:rsid w:val="0017700A"/>
    <w:rsid w:val="001777FD"/>
    <w:rsid w:val="00177905"/>
    <w:rsid w:val="0018074A"/>
    <w:rsid w:val="00180CF0"/>
    <w:rsid w:val="0018100F"/>
    <w:rsid w:val="00181039"/>
    <w:rsid w:val="001814BD"/>
    <w:rsid w:val="001819F2"/>
    <w:rsid w:val="00182BCB"/>
    <w:rsid w:val="00183C86"/>
    <w:rsid w:val="00184D40"/>
    <w:rsid w:val="00184D91"/>
    <w:rsid w:val="00185B04"/>
    <w:rsid w:val="001861A3"/>
    <w:rsid w:val="0018632A"/>
    <w:rsid w:val="00186391"/>
    <w:rsid w:val="00186D08"/>
    <w:rsid w:val="0019117F"/>
    <w:rsid w:val="00191500"/>
    <w:rsid w:val="0019150A"/>
    <w:rsid w:val="00191E7E"/>
    <w:rsid w:val="001927D2"/>
    <w:rsid w:val="00192DFE"/>
    <w:rsid w:val="00193123"/>
    <w:rsid w:val="00193135"/>
    <w:rsid w:val="00193318"/>
    <w:rsid w:val="00193FE7"/>
    <w:rsid w:val="00194C1A"/>
    <w:rsid w:val="00194F0E"/>
    <w:rsid w:val="001950F4"/>
    <w:rsid w:val="00196427"/>
    <w:rsid w:val="00196492"/>
    <w:rsid w:val="00197CEE"/>
    <w:rsid w:val="00197FD1"/>
    <w:rsid w:val="001A0400"/>
    <w:rsid w:val="001A0DBC"/>
    <w:rsid w:val="001A15E5"/>
    <w:rsid w:val="001A1863"/>
    <w:rsid w:val="001A1F74"/>
    <w:rsid w:val="001A2E87"/>
    <w:rsid w:val="001A330F"/>
    <w:rsid w:val="001A4EBB"/>
    <w:rsid w:val="001A57E8"/>
    <w:rsid w:val="001A69A2"/>
    <w:rsid w:val="001A7D82"/>
    <w:rsid w:val="001B0EA4"/>
    <w:rsid w:val="001B0F39"/>
    <w:rsid w:val="001B1038"/>
    <w:rsid w:val="001B173C"/>
    <w:rsid w:val="001B2417"/>
    <w:rsid w:val="001B2599"/>
    <w:rsid w:val="001B2ADE"/>
    <w:rsid w:val="001B3AFE"/>
    <w:rsid w:val="001B3C4B"/>
    <w:rsid w:val="001B4243"/>
    <w:rsid w:val="001B42E7"/>
    <w:rsid w:val="001B461A"/>
    <w:rsid w:val="001B486D"/>
    <w:rsid w:val="001B4BF2"/>
    <w:rsid w:val="001B51A7"/>
    <w:rsid w:val="001B57F2"/>
    <w:rsid w:val="001B6092"/>
    <w:rsid w:val="001B6813"/>
    <w:rsid w:val="001B6F1C"/>
    <w:rsid w:val="001C1CBE"/>
    <w:rsid w:val="001C25E2"/>
    <w:rsid w:val="001C367A"/>
    <w:rsid w:val="001C3FBF"/>
    <w:rsid w:val="001C489C"/>
    <w:rsid w:val="001C5302"/>
    <w:rsid w:val="001C5723"/>
    <w:rsid w:val="001C5C16"/>
    <w:rsid w:val="001C5CEB"/>
    <w:rsid w:val="001C5ED2"/>
    <w:rsid w:val="001C630A"/>
    <w:rsid w:val="001C6FA2"/>
    <w:rsid w:val="001C72D3"/>
    <w:rsid w:val="001D0421"/>
    <w:rsid w:val="001D0489"/>
    <w:rsid w:val="001D08C5"/>
    <w:rsid w:val="001D1191"/>
    <w:rsid w:val="001D136A"/>
    <w:rsid w:val="001D19D3"/>
    <w:rsid w:val="001D2D17"/>
    <w:rsid w:val="001D2E14"/>
    <w:rsid w:val="001D37A8"/>
    <w:rsid w:val="001D3B21"/>
    <w:rsid w:val="001D5741"/>
    <w:rsid w:val="001D5B5C"/>
    <w:rsid w:val="001D5EB1"/>
    <w:rsid w:val="001D6A8D"/>
    <w:rsid w:val="001D6FEC"/>
    <w:rsid w:val="001D763C"/>
    <w:rsid w:val="001D7AE9"/>
    <w:rsid w:val="001E100A"/>
    <w:rsid w:val="001E11AB"/>
    <w:rsid w:val="001E1463"/>
    <w:rsid w:val="001E1663"/>
    <w:rsid w:val="001E1753"/>
    <w:rsid w:val="001E176C"/>
    <w:rsid w:val="001E192D"/>
    <w:rsid w:val="001E1A61"/>
    <w:rsid w:val="001E1F96"/>
    <w:rsid w:val="001E3E3D"/>
    <w:rsid w:val="001E3F3E"/>
    <w:rsid w:val="001E4B05"/>
    <w:rsid w:val="001E5236"/>
    <w:rsid w:val="001E56E1"/>
    <w:rsid w:val="001E5E0D"/>
    <w:rsid w:val="001E65B6"/>
    <w:rsid w:val="001E68F9"/>
    <w:rsid w:val="001E6D3D"/>
    <w:rsid w:val="001E79A6"/>
    <w:rsid w:val="001E7C6F"/>
    <w:rsid w:val="001F02AB"/>
    <w:rsid w:val="001F05DB"/>
    <w:rsid w:val="001F0FD8"/>
    <w:rsid w:val="001F136C"/>
    <w:rsid w:val="001F1C41"/>
    <w:rsid w:val="001F1C4D"/>
    <w:rsid w:val="001F1D6C"/>
    <w:rsid w:val="001F1F08"/>
    <w:rsid w:val="001F235B"/>
    <w:rsid w:val="001F23A2"/>
    <w:rsid w:val="001F27B5"/>
    <w:rsid w:val="001F2A0E"/>
    <w:rsid w:val="001F2F09"/>
    <w:rsid w:val="001F305A"/>
    <w:rsid w:val="001F3640"/>
    <w:rsid w:val="001F455F"/>
    <w:rsid w:val="001F47C1"/>
    <w:rsid w:val="001F4F8C"/>
    <w:rsid w:val="001F51DA"/>
    <w:rsid w:val="001F54CB"/>
    <w:rsid w:val="001F55A7"/>
    <w:rsid w:val="001F5734"/>
    <w:rsid w:val="001F6264"/>
    <w:rsid w:val="001F6E38"/>
    <w:rsid w:val="001F72E1"/>
    <w:rsid w:val="00200458"/>
    <w:rsid w:val="00200CC6"/>
    <w:rsid w:val="00201142"/>
    <w:rsid w:val="002015C4"/>
    <w:rsid w:val="00201E25"/>
    <w:rsid w:val="002023BD"/>
    <w:rsid w:val="0020275C"/>
    <w:rsid w:val="00203055"/>
    <w:rsid w:val="00203EC5"/>
    <w:rsid w:val="002041F6"/>
    <w:rsid w:val="00204306"/>
    <w:rsid w:val="0020484B"/>
    <w:rsid w:val="0020498D"/>
    <w:rsid w:val="002052E6"/>
    <w:rsid w:val="00205BE2"/>
    <w:rsid w:val="00206200"/>
    <w:rsid w:val="00206798"/>
    <w:rsid w:val="0020732B"/>
    <w:rsid w:val="00207A9D"/>
    <w:rsid w:val="00207CDD"/>
    <w:rsid w:val="0021154D"/>
    <w:rsid w:val="0021204B"/>
    <w:rsid w:val="00212B26"/>
    <w:rsid w:val="00213534"/>
    <w:rsid w:val="002137D1"/>
    <w:rsid w:val="0021385A"/>
    <w:rsid w:val="00213902"/>
    <w:rsid w:val="00213E95"/>
    <w:rsid w:val="00214837"/>
    <w:rsid w:val="00214B7E"/>
    <w:rsid w:val="00214CEE"/>
    <w:rsid w:val="00214E98"/>
    <w:rsid w:val="00214EAF"/>
    <w:rsid w:val="00214FB1"/>
    <w:rsid w:val="002154BA"/>
    <w:rsid w:val="0021579E"/>
    <w:rsid w:val="0021636B"/>
    <w:rsid w:val="00216681"/>
    <w:rsid w:val="00216A74"/>
    <w:rsid w:val="00217304"/>
    <w:rsid w:val="00217367"/>
    <w:rsid w:val="00217446"/>
    <w:rsid w:val="00217FC7"/>
    <w:rsid w:val="00220735"/>
    <w:rsid w:val="00221495"/>
    <w:rsid w:val="00221533"/>
    <w:rsid w:val="0022182C"/>
    <w:rsid w:val="0022199B"/>
    <w:rsid w:val="00221C90"/>
    <w:rsid w:val="002233B5"/>
    <w:rsid w:val="002236BC"/>
    <w:rsid w:val="00223808"/>
    <w:rsid w:val="00224606"/>
    <w:rsid w:val="002246BC"/>
    <w:rsid w:val="00224702"/>
    <w:rsid w:val="00225854"/>
    <w:rsid w:val="00225DCB"/>
    <w:rsid w:val="00226571"/>
    <w:rsid w:val="00226684"/>
    <w:rsid w:val="00226CBB"/>
    <w:rsid w:val="0022718E"/>
    <w:rsid w:val="00227A72"/>
    <w:rsid w:val="00227BF8"/>
    <w:rsid w:val="00227FB4"/>
    <w:rsid w:val="00227FFE"/>
    <w:rsid w:val="00230353"/>
    <w:rsid w:val="00230529"/>
    <w:rsid w:val="002309A1"/>
    <w:rsid w:val="002311EA"/>
    <w:rsid w:val="00231214"/>
    <w:rsid w:val="002316D6"/>
    <w:rsid w:val="00231A19"/>
    <w:rsid w:val="00231AF7"/>
    <w:rsid w:val="00231D0E"/>
    <w:rsid w:val="002324A4"/>
    <w:rsid w:val="00232D49"/>
    <w:rsid w:val="00232E77"/>
    <w:rsid w:val="002331A6"/>
    <w:rsid w:val="002334EC"/>
    <w:rsid w:val="00234581"/>
    <w:rsid w:val="002348EF"/>
    <w:rsid w:val="00234DFE"/>
    <w:rsid w:val="00235D7C"/>
    <w:rsid w:val="0023624F"/>
    <w:rsid w:val="00236BF0"/>
    <w:rsid w:val="002373E3"/>
    <w:rsid w:val="00237448"/>
    <w:rsid w:val="00237718"/>
    <w:rsid w:val="00237E2C"/>
    <w:rsid w:val="00240481"/>
    <w:rsid w:val="00240B58"/>
    <w:rsid w:val="00240C3F"/>
    <w:rsid w:val="00240F6C"/>
    <w:rsid w:val="002411B5"/>
    <w:rsid w:val="00241F30"/>
    <w:rsid w:val="00242D2E"/>
    <w:rsid w:val="00243185"/>
    <w:rsid w:val="002442A4"/>
    <w:rsid w:val="00244736"/>
    <w:rsid w:val="00244E17"/>
    <w:rsid w:val="002450D1"/>
    <w:rsid w:val="002459D1"/>
    <w:rsid w:val="0024645C"/>
    <w:rsid w:val="002467C5"/>
    <w:rsid w:val="002475CF"/>
    <w:rsid w:val="00250229"/>
    <w:rsid w:val="002506A8"/>
    <w:rsid w:val="00250B74"/>
    <w:rsid w:val="00251154"/>
    <w:rsid w:val="00251439"/>
    <w:rsid w:val="00251CA6"/>
    <w:rsid w:val="002522E9"/>
    <w:rsid w:val="002523A1"/>
    <w:rsid w:val="00252594"/>
    <w:rsid w:val="00252FB3"/>
    <w:rsid w:val="0025404F"/>
    <w:rsid w:val="0025429B"/>
    <w:rsid w:val="00254790"/>
    <w:rsid w:val="002553C0"/>
    <w:rsid w:val="00255405"/>
    <w:rsid w:val="002556AF"/>
    <w:rsid w:val="00255E9D"/>
    <w:rsid w:val="002567D9"/>
    <w:rsid w:val="00257BC6"/>
    <w:rsid w:val="002601F6"/>
    <w:rsid w:val="002607D5"/>
    <w:rsid w:val="0026111F"/>
    <w:rsid w:val="00261252"/>
    <w:rsid w:val="00261664"/>
    <w:rsid w:val="00262043"/>
    <w:rsid w:val="00262372"/>
    <w:rsid w:val="00262E3D"/>
    <w:rsid w:val="0026300E"/>
    <w:rsid w:val="0026377C"/>
    <w:rsid w:val="002644BC"/>
    <w:rsid w:val="00264860"/>
    <w:rsid w:val="00265191"/>
    <w:rsid w:val="002652E3"/>
    <w:rsid w:val="002653B6"/>
    <w:rsid w:val="002655D9"/>
    <w:rsid w:val="00265E88"/>
    <w:rsid w:val="002677EC"/>
    <w:rsid w:val="00267C17"/>
    <w:rsid w:val="002706CD"/>
    <w:rsid w:val="002707B7"/>
    <w:rsid w:val="002708CD"/>
    <w:rsid w:val="00270CB3"/>
    <w:rsid w:val="0027110B"/>
    <w:rsid w:val="00271243"/>
    <w:rsid w:val="002714F7"/>
    <w:rsid w:val="0027513D"/>
    <w:rsid w:val="00275403"/>
    <w:rsid w:val="002755A6"/>
    <w:rsid w:val="0027561A"/>
    <w:rsid w:val="002757FB"/>
    <w:rsid w:val="00276674"/>
    <w:rsid w:val="0027680B"/>
    <w:rsid w:val="00276AA1"/>
    <w:rsid w:val="00277120"/>
    <w:rsid w:val="0027790F"/>
    <w:rsid w:val="00277950"/>
    <w:rsid w:val="00277A58"/>
    <w:rsid w:val="002802C2"/>
    <w:rsid w:val="00280830"/>
    <w:rsid w:val="00280B02"/>
    <w:rsid w:val="00280F96"/>
    <w:rsid w:val="00281307"/>
    <w:rsid w:val="00281750"/>
    <w:rsid w:val="0028179F"/>
    <w:rsid w:val="00281B5F"/>
    <w:rsid w:val="0028237E"/>
    <w:rsid w:val="002828F1"/>
    <w:rsid w:val="0028358D"/>
    <w:rsid w:val="00283D88"/>
    <w:rsid w:val="0028442E"/>
    <w:rsid w:val="0028456A"/>
    <w:rsid w:val="0028472C"/>
    <w:rsid w:val="00286578"/>
    <w:rsid w:val="002866A2"/>
    <w:rsid w:val="00286850"/>
    <w:rsid w:val="00287197"/>
    <w:rsid w:val="002874C5"/>
    <w:rsid w:val="00287710"/>
    <w:rsid w:val="0028789E"/>
    <w:rsid w:val="0029073D"/>
    <w:rsid w:val="002907F7"/>
    <w:rsid w:val="00291052"/>
    <w:rsid w:val="002915A3"/>
    <w:rsid w:val="0029213E"/>
    <w:rsid w:val="00292DC5"/>
    <w:rsid w:val="00293343"/>
    <w:rsid w:val="00293841"/>
    <w:rsid w:val="00293FA2"/>
    <w:rsid w:val="00294507"/>
    <w:rsid w:val="00294E45"/>
    <w:rsid w:val="0029514D"/>
    <w:rsid w:val="002951CF"/>
    <w:rsid w:val="00295569"/>
    <w:rsid w:val="00295670"/>
    <w:rsid w:val="00295A37"/>
    <w:rsid w:val="00295BE6"/>
    <w:rsid w:val="002964CE"/>
    <w:rsid w:val="0029655A"/>
    <w:rsid w:val="00296F1D"/>
    <w:rsid w:val="00297A51"/>
    <w:rsid w:val="00297E98"/>
    <w:rsid w:val="002A06A6"/>
    <w:rsid w:val="002A074B"/>
    <w:rsid w:val="002A0CB7"/>
    <w:rsid w:val="002A0EE5"/>
    <w:rsid w:val="002A164F"/>
    <w:rsid w:val="002A1DAE"/>
    <w:rsid w:val="002A2393"/>
    <w:rsid w:val="002A34F9"/>
    <w:rsid w:val="002A3FCA"/>
    <w:rsid w:val="002A56BA"/>
    <w:rsid w:val="002A5704"/>
    <w:rsid w:val="002A5708"/>
    <w:rsid w:val="002A6006"/>
    <w:rsid w:val="002A62FC"/>
    <w:rsid w:val="002A681E"/>
    <w:rsid w:val="002A6861"/>
    <w:rsid w:val="002A6C66"/>
    <w:rsid w:val="002A7180"/>
    <w:rsid w:val="002A75C7"/>
    <w:rsid w:val="002A7FE6"/>
    <w:rsid w:val="002B00E7"/>
    <w:rsid w:val="002B0804"/>
    <w:rsid w:val="002B0D36"/>
    <w:rsid w:val="002B25A3"/>
    <w:rsid w:val="002B2F06"/>
    <w:rsid w:val="002B40E4"/>
    <w:rsid w:val="002B597C"/>
    <w:rsid w:val="002B5C12"/>
    <w:rsid w:val="002B5DC4"/>
    <w:rsid w:val="002B5F16"/>
    <w:rsid w:val="002B60F9"/>
    <w:rsid w:val="002B6207"/>
    <w:rsid w:val="002B64A2"/>
    <w:rsid w:val="002B679C"/>
    <w:rsid w:val="002B6E41"/>
    <w:rsid w:val="002B7119"/>
    <w:rsid w:val="002B757F"/>
    <w:rsid w:val="002B768D"/>
    <w:rsid w:val="002B76BC"/>
    <w:rsid w:val="002B7DF4"/>
    <w:rsid w:val="002B7F4E"/>
    <w:rsid w:val="002C0332"/>
    <w:rsid w:val="002C0C9E"/>
    <w:rsid w:val="002C15A3"/>
    <w:rsid w:val="002C2454"/>
    <w:rsid w:val="002C2506"/>
    <w:rsid w:val="002C26CF"/>
    <w:rsid w:val="002C27C9"/>
    <w:rsid w:val="002C2CC5"/>
    <w:rsid w:val="002C2D1F"/>
    <w:rsid w:val="002C3033"/>
    <w:rsid w:val="002C3820"/>
    <w:rsid w:val="002C3960"/>
    <w:rsid w:val="002C3CCB"/>
    <w:rsid w:val="002C3E12"/>
    <w:rsid w:val="002C4408"/>
    <w:rsid w:val="002C44EC"/>
    <w:rsid w:val="002C46C7"/>
    <w:rsid w:val="002C4AE0"/>
    <w:rsid w:val="002C4DCA"/>
    <w:rsid w:val="002C52BD"/>
    <w:rsid w:val="002D00E3"/>
    <w:rsid w:val="002D0E84"/>
    <w:rsid w:val="002D14F0"/>
    <w:rsid w:val="002D1788"/>
    <w:rsid w:val="002D1989"/>
    <w:rsid w:val="002D1AF6"/>
    <w:rsid w:val="002D1FA9"/>
    <w:rsid w:val="002D22F7"/>
    <w:rsid w:val="002D242B"/>
    <w:rsid w:val="002D2539"/>
    <w:rsid w:val="002D2F45"/>
    <w:rsid w:val="002D381D"/>
    <w:rsid w:val="002D387B"/>
    <w:rsid w:val="002D410E"/>
    <w:rsid w:val="002D4444"/>
    <w:rsid w:val="002D4CD5"/>
    <w:rsid w:val="002D50E6"/>
    <w:rsid w:val="002D5386"/>
    <w:rsid w:val="002D5737"/>
    <w:rsid w:val="002D5D06"/>
    <w:rsid w:val="002D6792"/>
    <w:rsid w:val="002D78A1"/>
    <w:rsid w:val="002D7BAC"/>
    <w:rsid w:val="002E01D0"/>
    <w:rsid w:val="002E0CE3"/>
    <w:rsid w:val="002E18AE"/>
    <w:rsid w:val="002E1F3A"/>
    <w:rsid w:val="002E20AD"/>
    <w:rsid w:val="002E2573"/>
    <w:rsid w:val="002E2781"/>
    <w:rsid w:val="002E2CAC"/>
    <w:rsid w:val="002E3B3E"/>
    <w:rsid w:val="002E4C21"/>
    <w:rsid w:val="002E5937"/>
    <w:rsid w:val="002E65D0"/>
    <w:rsid w:val="002E686B"/>
    <w:rsid w:val="002E6B73"/>
    <w:rsid w:val="002F0E07"/>
    <w:rsid w:val="002F12A2"/>
    <w:rsid w:val="002F16B4"/>
    <w:rsid w:val="002F1D20"/>
    <w:rsid w:val="002F24E4"/>
    <w:rsid w:val="002F25B5"/>
    <w:rsid w:val="002F2726"/>
    <w:rsid w:val="002F2D9F"/>
    <w:rsid w:val="002F2F46"/>
    <w:rsid w:val="002F52A4"/>
    <w:rsid w:val="002F52A7"/>
    <w:rsid w:val="002F5796"/>
    <w:rsid w:val="002F67F6"/>
    <w:rsid w:val="002F699C"/>
    <w:rsid w:val="002F749C"/>
    <w:rsid w:val="002F79B8"/>
    <w:rsid w:val="00300312"/>
    <w:rsid w:val="003009BA"/>
    <w:rsid w:val="00300C16"/>
    <w:rsid w:val="0030140F"/>
    <w:rsid w:val="00301B79"/>
    <w:rsid w:val="00301FEC"/>
    <w:rsid w:val="003030DF"/>
    <w:rsid w:val="00303D3A"/>
    <w:rsid w:val="00303D41"/>
    <w:rsid w:val="00305725"/>
    <w:rsid w:val="00306659"/>
    <w:rsid w:val="00306DDA"/>
    <w:rsid w:val="00307907"/>
    <w:rsid w:val="00307DED"/>
    <w:rsid w:val="00310101"/>
    <w:rsid w:val="00311088"/>
    <w:rsid w:val="00311BB6"/>
    <w:rsid w:val="00312069"/>
    <w:rsid w:val="0031334C"/>
    <w:rsid w:val="0031350E"/>
    <w:rsid w:val="00313746"/>
    <w:rsid w:val="00313DA8"/>
    <w:rsid w:val="003142F7"/>
    <w:rsid w:val="00314F99"/>
    <w:rsid w:val="00314FE0"/>
    <w:rsid w:val="003154C8"/>
    <w:rsid w:val="00315602"/>
    <w:rsid w:val="0031594C"/>
    <w:rsid w:val="00317073"/>
    <w:rsid w:val="00320AFB"/>
    <w:rsid w:val="00320EE8"/>
    <w:rsid w:val="003212FB"/>
    <w:rsid w:val="00321711"/>
    <w:rsid w:val="00322475"/>
    <w:rsid w:val="00322B4E"/>
    <w:rsid w:val="00323092"/>
    <w:rsid w:val="003234AE"/>
    <w:rsid w:val="00323E95"/>
    <w:rsid w:val="00324DFB"/>
    <w:rsid w:val="003256EC"/>
    <w:rsid w:val="0032590C"/>
    <w:rsid w:val="0032599F"/>
    <w:rsid w:val="00326F7E"/>
    <w:rsid w:val="00327293"/>
    <w:rsid w:val="0032733A"/>
    <w:rsid w:val="003301F7"/>
    <w:rsid w:val="003305BF"/>
    <w:rsid w:val="00331246"/>
    <w:rsid w:val="00331778"/>
    <w:rsid w:val="00331812"/>
    <w:rsid w:val="00332804"/>
    <w:rsid w:val="00332B1D"/>
    <w:rsid w:val="00333A09"/>
    <w:rsid w:val="00333FCC"/>
    <w:rsid w:val="003347E2"/>
    <w:rsid w:val="003353AB"/>
    <w:rsid w:val="00335586"/>
    <w:rsid w:val="00336544"/>
    <w:rsid w:val="0033656F"/>
    <w:rsid w:val="0033665D"/>
    <w:rsid w:val="00336F56"/>
    <w:rsid w:val="00337763"/>
    <w:rsid w:val="003378BA"/>
    <w:rsid w:val="00337E5B"/>
    <w:rsid w:val="0034015F"/>
    <w:rsid w:val="003407B8"/>
    <w:rsid w:val="00340AE0"/>
    <w:rsid w:val="003410E0"/>
    <w:rsid w:val="003421BF"/>
    <w:rsid w:val="00342389"/>
    <w:rsid w:val="0034275D"/>
    <w:rsid w:val="00343169"/>
    <w:rsid w:val="0034396A"/>
    <w:rsid w:val="00343A3E"/>
    <w:rsid w:val="0034491A"/>
    <w:rsid w:val="00345340"/>
    <w:rsid w:val="00345484"/>
    <w:rsid w:val="003455A0"/>
    <w:rsid w:val="00346ED1"/>
    <w:rsid w:val="003472DB"/>
    <w:rsid w:val="003472E0"/>
    <w:rsid w:val="00350114"/>
    <w:rsid w:val="003506FF"/>
    <w:rsid w:val="00350D33"/>
    <w:rsid w:val="003510CB"/>
    <w:rsid w:val="00351165"/>
    <w:rsid w:val="00351B2C"/>
    <w:rsid w:val="00352074"/>
    <w:rsid w:val="0035209F"/>
    <w:rsid w:val="00352A59"/>
    <w:rsid w:val="00353059"/>
    <w:rsid w:val="00353D4F"/>
    <w:rsid w:val="00354891"/>
    <w:rsid w:val="00354EEC"/>
    <w:rsid w:val="00355664"/>
    <w:rsid w:val="00355885"/>
    <w:rsid w:val="00355923"/>
    <w:rsid w:val="0035627F"/>
    <w:rsid w:val="0035689E"/>
    <w:rsid w:val="00356E6F"/>
    <w:rsid w:val="0035724C"/>
    <w:rsid w:val="00357654"/>
    <w:rsid w:val="00357C9E"/>
    <w:rsid w:val="003604ED"/>
    <w:rsid w:val="00360FB5"/>
    <w:rsid w:val="003610C3"/>
    <w:rsid w:val="0036120B"/>
    <w:rsid w:val="00361FB9"/>
    <w:rsid w:val="00363696"/>
    <w:rsid w:val="003636E7"/>
    <w:rsid w:val="003643BA"/>
    <w:rsid w:val="00365CC8"/>
    <w:rsid w:val="003662D8"/>
    <w:rsid w:val="003664A4"/>
    <w:rsid w:val="003667F8"/>
    <w:rsid w:val="003668C7"/>
    <w:rsid w:val="003675E7"/>
    <w:rsid w:val="00367C3C"/>
    <w:rsid w:val="00370A4C"/>
    <w:rsid w:val="00370DA2"/>
    <w:rsid w:val="0037141C"/>
    <w:rsid w:val="003716D3"/>
    <w:rsid w:val="003719A8"/>
    <w:rsid w:val="00371C11"/>
    <w:rsid w:val="00372070"/>
    <w:rsid w:val="00372110"/>
    <w:rsid w:val="003725ED"/>
    <w:rsid w:val="00373943"/>
    <w:rsid w:val="00373AA4"/>
    <w:rsid w:val="00373B63"/>
    <w:rsid w:val="00374DD6"/>
    <w:rsid w:val="00374F2F"/>
    <w:rsid w:val="0037566B"/>
    <w:rsid w:val="00375C98"/>
    <w:rsid w:val="003763B9"/>
    <w:rsid w:val="00376896"/>
    <w:rsid w:val="00376F78"/>
    <w:rsid w:val="003772D9"/>
    <w:rsid w:val="00377756"/>
    <w:rsid w:val="00377C53"/>
    <w:rsid w:val="0038097A"/>
    <w:rsid w:val="00381612"/>
    <w:rsid w:val="003822F8"/>
    <w:rsid w:val="00383789"/>
    <w:rsid w:val="00384412"/>
    <w:rsid w:val="0038466C"/>
    <w:rsid w:val="0038559E"/>
    <w:rsid w:val="00385BC0"/>
    <w:rsid w:val="00385C5B"/>
    <w:rsid w:val="0038784E"/>
    <w:rsid w:val="00390345"/>
    <w:rsid w:val="00390A3F"/>
    <w:rsid w:val="00390C6A"/>
    <w:rsid w:val="0039244C"/>
    <w:rsid w:val="003929BF"/>
    <w:rsid w:val="00392D4F"/>
    <w:rsid w:val="00392FA0"/>
    <w:rsid w:val="00393650"/>
    <w:rsid w:val="003952B6"/>
    <w:rsid w:val="00395786"/>
    <w:rsid w:val="00395CE6"/>
    <w:rsid w:val="00396040"/>
    <w:rsid w:val="00396391"/>
    <w:rsid w:val="0039696C"/>
    <w:rsid w:val="003969A5"/>
    <w:rsid w:val="0039781A"/>
    <w:rsid w:val="003A016C"/>
    <w:rsid w:val="003A065A"/>
    <w:rsid w:val="003A0664"/>
    <w:rsid w:val="003A1505"/>
    <w:rsid w:val="003A15B7"/>
    <w:rsid w:val="003A178D"/>
    <w:rsid w:val="003A1E95"/>
    <w:rsid w:val="003A204E"/>
    <w:rsid w:val="003A266A"/>
    <w:rsid w:val="003A27FE"/>
    <w:rsid w:val="003A3552"/>
    <w:rsid w:val="003A3855"/>
    <w:rsid w:val="003A386A"/>
    <w:rsid w:val="003A3E34"/>
    <w:rsid w:val="003A4A24"/>
    <w:rsid w:val="003A540E"/>
    <w:rsid w:val="003A5720"/>
    <w:rsid w:val="003A5B1A"/>
    <w:rsid w:val="003A6427"/>
    <w:rsid w:val="003A6780"/>
    <w:rsid w:val="003A79A6"/>
    <w:rsid w:val="003A7B37"/>
    <w:rsid w:val="003A7C7F"/>
    <w:rsid w:val="003B01FC"/>
    <w:rsid w:val="003B0310"/>
    <w:rsid w:val="003B098E"/>
    <w:rsid w:val="003B0E2B"/>
    <w:rsid w:val="003B101B"/>
    <w:rsid w:val="003B12BF"/>
    <w:rsid w:val="003B1B2F"/>
    <w:rsid w:val="003B1BB1"/>
    <w:rsid w:val="003B1E54"/>
    <w:rsid w:val="003B2906"/>
    <w:rsid w:val="003B2F29"/>
    <w:rsid w:val="003B49F3"/>
    <w:rsid w:val="003B5091"/>
    <w:rsid w:val="003B6B31"/>
    <w:rsid w:val="003B76D7"/>
    <w:rsid w:val="003B78C4"/>
    <w:rsid w:val="003B791E"/>
    <w:rsid w:val="003B7F3F"/>
    <w:rsid w:val="003C090C"/>
    <w:rsid w:val="003C1120"/>
    <w:rsid w:val="003C1893"/>
    <w:rsid w:val="003C277B"/>
    <w:rsid w:val="003C3720"/>
    <w:rsid w:val="003C387C"/>
    <w:rsid w:val="003C3B65"/>
    <w:rsid w:val="003C460C"/>
    <w:rsid w:val="003C5381"/>
    <w:rsid w:val="003C5F17"/>
    <w:rsid w:val="003C6DC2"/>
    <w:rsid w:val="003C709A"/>
    <w:rsid w:val="003C752C"/>
    <w:rsid w:val="003C79FC"/>
    <w:rsid w:val="003C7FF4"/>
    <w:rsid w:val="003D091E"/>
    <w:rsid w:val="003D0D03"/>
    <w:rsid w:val="003D1546"/>
    <w:rsid w:val="003D1A17"/>
    <w:rsid w:val="003D1B8C"/>
    <w:rsid w:val="003D1D9C"/>
    <w:rsid w:val="003D1FF4"/>
    <w:rsid w:val="003D2162"/>
    <w:rsid w:val="003D30BF"/>
    <w:rsid w:val="003D3E9D"/>
    <w:rsid w:val="003D44AB"/>
    <w:rsid w:val="003D49DE"/>
    <w:rsid w:val="003D4DDA"/>
    <w:rsid w:val="003D4DF1"/>
    <w:rsid w:val="003D4EFF"/>
    <w:rsid w:val="003D52A0"/>
    <w:rsid w:val="003D5719"/>
    <w:rsid w:val="003D5A6E"/>
    <w:rsid w:val="003D5DA4"/>
    <w:rsid w:val="003D5DC0"/>
    <w:rsid w:val="003D6425"/>
    <w:rsid w:val="003D64D8"/>
    <w:rsid w:val="003D668B"/>
    <w:rsid w:val="003D77E7"/>
    <w:rsid w:val="003E03AB"/>
    <w:rsid w:val="003E09F5"/>
    <w:rsid w:val="003E0DFD"/>
    <w:rsid w:val="003E1000"/>
    <w:rsid w:val="003E1205"/>
    <w:rsid w:val="003E183E"/>
    <w:rsid w:val="003E23F1"/>
    <w:rsid w:val="003E2EBA"/>
    <w:rsid w:val="003E3199"/>
    <w:rsid w:val="003E4A0D"/>
    <w:rsid w:val="003E4E06"/>
    <w:rsid w:val="003E56EE"/>
    <w:rsid w:val="003E5B76"/>
    <w:rsid w:val="003E5BE0"/>
    <w:rsid w:val="003E6A0A"/>
    <w:rsid w:val="003E7A6B"/>
    <w:rsid w:val="003E7C5E"/>
    <w:rsid w:val="003F0820"/>
    <w:rsid w:val="003F0FD9"/>
    <w:rsid w:val="003F1058"/>
    <w:rsid w:val="003F1C80"/>
    <w:rsid w:val="003F2481"/>
    <w:rsid w:val="003F2712"/>
    <w:rsid w:val="003F28B2"/>
    <w:rsid w:val="003F3AA6"/>
    <w:rsid w:val="003F474E"/>
    <w:rsid w:val="003F4D58"/>
    <w:rsid w:val="003F4DA3"/>
    <w:rsid w:val="003F569D"/>
    <w:rsid w:val="003F5BC3"/>
    <w:rsid w:val="003F5CE5"/>
    <w:rsid w:val="003F7440"/>
    <w:rsid w:val="003F747E"/>
    <w:rsid w:val="003F78C3"/>
    <w:rsid w:val="003F7EDB"/>
    <w:rsid w:val="004002E2"/>
    <w:rsid w:val="0040096C"/>
    <w:rsid w:val="00400F87"/>
    <w:rsid w:val="00401DA8"/>
    <w:rsid w:val="00401DFB"/>
    <w:rsid w:val="00402190"/>
    <w:rsid w:val="00402D44"/>
    <w:rsid w:val="004034AE"/>
    <w:rsid w:val="004044B6"/>
    <w:rsid w:val="0040522B"/>
    <w:rsid w:val="004052E5"/>
    <w:rsid w:val="0040586F"/>
    <w:rsid w:val="00406067"/>
    <w:rsid w:val="00406479"/>
    <w:rsid w:val="00406BEF"/>
    <w:rsid w:val="00406BF9"/>
    <w:rsid w:val="00406D39"/>
    <w:rsid w:val="00407CC7"/>
    <w:rsid w:val="00410BB1"/>
    <w:rsid w:val="004113B1"/>
    <w:rsid w:val="0041149A"/>
    <w:rsid w:val="004117A1"/>
    <w:rsid w:val="0041278D"/>
    <w:rsid w:val="00412B0E"/>
    <w:rsid w:val="0041385B"/>
    <w:rsid w:val="00414171"/>
    <w:rsid w:val="00414A3F"/>
    <w:rsid w:val="00414ACD"/>
    <w:rsid w:val="00415634"/>
    <w:rsid w:val="00415A58"/>
    <w:rsid w:val="004163B3"/>
    <w:rsid w:val="00416422"/>
    <w:rsid w:val="00416728"/>
    <w:rsid w:val="00416A42"/>
    <w:rsid w:val="00416BF7"/>
    <w:rsid w:val="00416F65"/>
    <w:rsid w:val="004170B5"/>
    <w:rsid w:val="004179E4"/>
    <w:rsid w:val="00417D0B"/>
    <w:rsid w:val="00417FAF"/>
    <w:rsid w:val="004207F0"/>
    <w:rsid w:val="00420BF3"/>
    <w:rsid w:val="00422129"/>
    <w:rsid w:val="004223FC"/>
    <w:rsid w:val="00423297"/>
    <w:rsid w:val="00423BD1"/>
    <w:rsid w:val="00424001"/>
    <w:rsid w:val="00424473"/>
    <w:rsid w:val="004244C9"/>
    <w:rsid w:val="0042554A"/>
    <w:rsid w:val="00425F06"/>
    <w:rsid w:val="0042696F"/>
    <w:rsid w:val="0042761C"/>
    <w:rsid w:val="004277D5"/>
    <w:rsid w:val="00427A3F"/>
    <w:rsid w:val="00430368"/>
    <w:rsid w:val="004310B6"/>
    <w:rsid w:val="004311FF"/>
    <w:rsid w:val="0043123B"/>
    <w:rsid w:val="0043194C"/>
    <w:rsid w:val="00431EE2"/>
    <w:rsid w:val="00431FBA"/>
    <w:rsid w:val="004332C7"/>
    <w:rsid w:val="0043338C"/>
    <w:rsid w:val="00433DEA"/>
    <w:rsid w:val="004340AC"/>
    <w:rsid w:val="004342A0"/>
    <w:rsid w:val="00434581"/>
    <w:rsid w:val="004346E8"/>
    <w:rsid w:val="004348B2"/>
    <w:rsid w:val="0043515B"/>
    <w:rsid w:val="00435B51"/>
    <w:rsid w:val="00435BDC"/>
    <w:rsid w:val="00436EF8"/>
    <w:rsid w:val="00437290"/>
    <w:rsid w:val="004373C4"/>
    <w:rsid w:val="00437A27"/>
    <w:rsid w:val="00437CED"/>
    <w:rsid w:val="00437F31"/>
    <w:rsid w:val="00437FF9"/>
    <w:rsid w:val="00440B9E"/>
    <w:rsid w:val="004410FB"/>
    <w:rsid w:val="00441D6C"/>
    <w:rsid w:val="004439AF"/>
    <w:rsid w:val="00443B2E"/>
    <w:rsid w:val="00444D70"/>
    <w:rsid w:val="004451E7"/>
    <w:rsid w:val="00445215"/>
    <w:rsid w:val="004452E1"/>
    <w:rsid w:val="00445354"/>
    <w:rsid w:val="00445D1F"/>
    <w:rsid w:val="00446036"/>
    <w:rsid w:val="00446C36"/>
    <w:rsid w:val="00447266"/>
    <w:rsid w:val="00447CFA"/>
    <w:rsid w:val="0045003A"/>
    <w:rsid w:val="004503FE"/>
    <w:rsid w:val="00450439"/>
    <w:rsid w:val="00450C18"/>
    <w:rsid w:val="00450D59"/>
    <w:rsid w:val="00450D84"/>
    <w:rsid w:val="00451078"/>
    <w:rsid w:val="004520E1"/>
    <w:rsid w:val="004528DC"/>
    <w:rsid w:val="004529D9"/>
    <w:rsid w:val="00453A12"/>
    <w:rsid w:val="00453CFE"/>
    <w:rsid w:val="00453E19"/>
    <w:rsid w:val="004545DF"/>
    <w:rsid w:val="0045477E"/>
    <w:rsid w:val="0045482F"/>
    <w:rsid w:val="00456A34"/>
    <w:rsid w:val="00456C62"/>
    <w:rsid w:val="00457443"/>
    <w:rsid w:val="004577F6"/>
    <w:rsid w:val="00457B82"/>
    <w:rsid w:val="00460298"/>
    <w:rsid w:val="004606A2"/>
    <w:rsid w:val="00460EB3"/>
    <w:rsid w:val="00461498"/>
    <w:rsid w:val="00461842"/>
    <w:rsid w:val="00464B77"/>
    <w:rsid w:val="00464BF1"/>
    <w:rsid w:val="00465963"/>
    <w:rsid w:val="0046630E"/>
    <w:rsid w:val="004664D6"/>
    <w:rsid w:val="00467BF6"/>
    <w:rsid w:val="00470F3D"/>
    <w:rsid w:val="00471A41"/>
    <w:rsid w:val="00471D22"/>
    <w:rsid w:val="00472329"/>
    <w:rsid w:val="0047292D"/>
    <w:rsid w:val="00472D5F"/>
    <w:rsid w:val="004734D3"/>
    <w:rsid w:val="004740FB"/>
    <w:rsid w:val="00474531"/>
    <w:rsid w:val="004748B2"/>
    <w:rsid w:val="00474B8B"/>
    <w:rsid w:val="00474F89"/>
    <w:rsid w:val="00475142"/>
    <w:rsid w:val="004767E1"/>
    <w:rsid w:val="0047695E"/>
    <w:rsid w:val="00477668"/>
    <w:rsid w:val="004777CC"/>
    <w:rsid w:val="00477835"/>
    <w:rsid w:val="004800AC"/>
    <w:rsid w:val="004806FF"/>
    <w:rsid w:val="00480D4A"/>
    <w:rsid w:val="00480DA4"/>
    <w:rsid w:val="00481932"/>
    <w:rsid w:val="00481F31"/>
    <w:rsid w:val="00482140"/>
    <w:rsid w:val="0048221B"/>
    <w:rsid w:val="0048226F"/>
    <w:rsid w:val="00482834"/>
    <w:rsid w:val="00483341"/>
    <w:rsid w:val="00483A19"/>
    <w:rsid w:val="00483C02"/>
    <w:rsid w:val="00484E22"/>
    <w:rsid w:val="00485207"/>
    <w:rsid w:val="00485DDD"/>
    <w:rsid w:val="004864EB"/>
    <w:rsid w:val="00486D7F"/>
    <w:rsid w:val="004871A1"/>
    <w:rsid w:val="00487501"/>
    <w:rsid w:val="00487A5D"/>
    <w:rsid w:val="00487C26"/>
    <w:rsid w:val="00487FCC"/>
    <w:rsid w:val="00490364"/>
    <w:rsid w:val="004917DF"/>
    <w:rsid w:val="00491AAF"/>
    <w:rsid w:val="00491CAD"/>
    <w:rsid w:val="004926F3"/>
    <w:rsid w:val="004927A8"/>
    <w:rsid w:val="00492AA1"/>
    <w:rsid w:val="00493AA6"/>
    <w:rsid w:val="00493DBC"/>
    <w:rsid w:val="00493EC4"/>
    <w:rsid w:val="00494B21"/>
    <w:rsid w:val="00494EF2"/>
    <w:rsid w:val="00495B3A"/>
    <w:rsid w:val="00496451"/>
    <w:rsid w:val="004965F3"/>
    <w:rsid w:val="004976DB"/>
    <w:rsid w:val="004976EC"/>
    <w:rsid w:val="00497A60"/>
    <w:rsid w:val="004A0AE0"/>
    <w:rsid w:val="004A216B"/>
    <w:rsid w:val="004A2656"/>
    <w:rsid w:val="004A2BFA"/>
    <w:rsid w:val="004A2E4E"/>
    <w:rsid w:val="004A30A7"/>
    <w:rsid w:val="004A36E4"/>
    <w:rsid w:val="004A4E6B"/>
    <w:rsid w:val="004A501D"/>
    <w:rsid w:val="004A50ED"/>
    <w:rsid w:val="004A54CC"/>
    <w:rsid w:val="004A601B"/>
    <w:rsid w:val="004A62BD"/>
    <w:rsid w:val="004A6313"/>
    <w:rsid w:val="004A7790"/>
    <w:rsid w:val="004A7A03"/>
    <w:rsid w:val="004B066F"/>
    <w:rsid w:val="004B0753"/>
    <w:rsid w:val="004B0C3D"/>
    <w:rsid w:val="004B0E2F"/>
    <w:rsid w:val="004B119A"/>
    <w:rsid w:val="004B1B92"/>
    <w:rsid w:val="004B1D0D"/>
    <w:rsid w:val="004B26A9"/>
    <w:rsid w:val="004B28B6"/>
    <w:rsid w:val="004B33E1"/>
    <w:rsid w:val="004B34BC"/>
    <w:rsid w:val="004B448C"/>
    <w:rsid w:val="004B4C89"/>
    <w:rsid w:val="004B4DB2"/>
    <w:rsid w:val="004B5CA1"/>
    <w:rsid w:val="004B5DE5"/>
    <w:rsid w:val="004B620B"/>
    <w:rsid w:val="004B6FC9"/>
    <w:rsid w:val="004B7853"/>
    <w:rsid w:val="004C09B0"/>
    <w:rsid w:val="004C0CD5"/>
    <w:rsid w:val="004C0FCC"/>
    <w:rsid w:val="004C1057"/>
    <w:rsid w:val="004C11BA"/>
    <w:rsid w:val="004C1851"/>
    <w:rsid w:val="004C1B6C"/>
    <w:rsid w:val="004C1CC5"/>
    <w:rsid w:val="004C2215"/>
    <w:rsid w:val="004C2780"/>
    <w:rsid w:val="004C3139"/>
    <w:rsid w:val="004C35D5"/>
    <w:rsid w:val="004C3756"/>
    <w:rsid w:val="004C3AEA"/>
    <w:rsid w:val="004C3BD6"/>
    <w:rsid w:val="004C3F36"/>
    <w:rsid w:val="004C40DB"/>
    <w:rsid w:val="004C4F7A"/>
    <w:rsid w:val="004C566C"/>
    <w:rsid w:val="004C62F8"/>
    <w:rsid w:val="004C737F"/>
    <w:rsid w:val="004C7D84"/>
    <w:rsid w:val="004C7E9C"/>
    <w:rsid w:val="004D0AA3"/>
    <w:rsid w:val="004D0CED"/>
    <w:rsid w:val="004D0CFB"/>
    <w:rsid w:val="004D0DC1"/>
    <w:rsid w:val="004D1316"/>
    <w:rsid w:val="004D15EA"/>
    <w:rsid w:val="004D2C8C"/>
    <w:rsid w:val="004D2F6F"/>
    <w:rsid w:val="004D3407"/>
    <w:rsid w:val="004D37E0"/>
    <w:rsid w:val="004D3824"/>
    <w:rsid w:val="004D4911"/>
    <w:rsid w:val="004D4C10"/>
    <w:rsid w:val="004D4C14"/>
    <w:rsid w:val="004D518E"/>
    <w:rsid w:val="004D6966"/>
    <w:rsid w:val="004D777B"/>
    <w:rsid w:val="004E0046"/>
    <w:rsid w:val="004E13D5"/>
    <w:rsid w:val="004E13E1"/>
    <w:rsid w:val="004E1CA4"/>
    <w:rsid w:val="004E21B1"/>
    <w:rsid w:val="004E28A0"/>
    <w:rsid w:val="004E2A9A"/>
    <w:rsid w:val="004E2CFB"/>
    <w:rsid w:val="004E3888"/>
    <w:rsid w:val="004E44C0"/>
    <w:rsid w:val="004E61A0"/>
    <w:rsid w:val="004E6A45"/>
    <w:rsid w:val="004E6B67"/>
    <w:rsid w:val="004F00F9"/>
    <w:rsid w:val="004F0110"/>
    <w:rsid w:val="004F05EE"/>
    <w:rsid w:val="004F08E9"/>
    <w:rsid w:val="004F14C0"/>
    <w:rsid w:val="004F1819"/>
    <w:rsid w:val="004F1A31"/>
    <w:rsid w:val="004F41AA"/>
    <w:rsid w:val="004F4792"/>
    <w:rsid w:val="004F4E1C"/>
    <w:rsid w:val="004F4F6B"/>
    <w:rsid w:val="004F6946"/>
    <w:rsid w:val="00500105"/>
    <w:rsid w:val="0050060A"/>
    <w:rsid w:val="005007E9"/>
    <w:rsid w:val="00500C74"/>
    <w:rsid w:val="00502111"/>
    <w:rsid w:val="0050312C"/>
    <w:rsid w:val="005031F4"/>
    <w:rsid w:val="0050369B"/>
    <w:rsid w:val="00504033"/>
    <w:rsid w:val="00504475"/>
    <w:rsid w:val="00504547"/>
    <w:rsid w:val="005046DB"/>
    <w:rsid w:val="005053ED"/>
    <w:rsid w:val="0050547C"/>
    <w:rsid w:val="005054BC"/>
    <w:rsid w:val="00505EE6"/>
    <w:rsid w:val="00505FDA"/>
    <w:rsid w:val="00506635"/>
    <w:rsid w:val="005068F0"/>
    <w:rsid w:val="005074A7"/>
    <w:rsid w:val="00510129"/>
    <w:rsid w:val="00510AB7"/>
    <w:rsid w:val="00511BF3"/>
    <w:rsid w:val="00511E37"/>
    <w:rsid w:val="00511F21"/>
    <w:rsid w:val="00511FC3"/>
    <w:rsid w:val="0051205F"/>
    <w:rsid w:val="00512131"/>
    <w:rsid w:val="00512153"/>
    <w:rsid w:val="005127DE"/>
    <w:rsid w:val="00513347"/>
    <w:rsid w:val="00513CC8"/>
    <w:rsid w:val="005147DF"/>
    <w:rsid w:val="00514C40"/>
    <w:rsid w:val="005157BE"/>
    <w:rsid w:val="00515A6A"/>
    <w:rsid w:val="00515EDE"/>
    <w:rsid w:val="0051613A"/>
    <w:rsid w:val="005162DB"/>
    <w:rsid w:val="005165A2"/>
    <w:rsid w:val="005168E6"/>
    <w:rsid w:val="00516997"/>
    <w:rsid w:val="00516DE7"/>
    <w:rsid w:val="005174B0"/>
    <w:rsid w:val="00517E28"/>
    <w:rsid w:val="00517FE8"/>
    <w:rsid w:val="005203B6"/>
    <w:rsid w:val="005207FD"/>
    <w:rsid w:val="00520871"/>
    <w:rsid w:val="00521575"/>
    <w:rsid w:val="00521790"/>
    <w:rsid w:val="0052196E"/>
    <w:rsid w:val="0052325D"/>
    <w:rsid w:val="00523B6E"/>
    <w:rsid w:val="00523DB3"/>
    <w:rsid w:val="00523FF3"/>
    <w:rsid w:val="005245E5"/>
    <w:rsid w:val="005252C7"/>
    <w:rsid w:val="005255A8"/>
    <w:rsid w:val="00525AF5"/>
    <w:rsid w:val="00525BB0"/>
    <w:rsid w:val="00525D36"/>
    <w:rsid w:val="00525F3F"/>
    <w:rsid w:val="00526909"/>
    <w:rsid w:val="005269C8"/>
    <w:rsid w:val="00526D34"/>
    <w:rsid w:val="0052724B"/>
    <w:rsid w:val="005302BB"/>
    <w:rsid w:val="00530908"/>
    <w:rsid w:val="0053099F"/>
    <w:rsid w:val="00530F44"/>
    <w:rsid w:val="00531657"/>
    <w:rsid w:val="00531932"/>
    <w:rsid w:val="00531B84"/>
    <w:rsid w:val="0053202A"/>
    <w:rsid w:val="005325E0"/>
    <w:rsid w:val="00533F3F"/>
    <w:rsid w:val="00533F45"/>
    <w:rsid w:val="005345BC"/>
    <w:rsid w:val="005354D1"/>
    <w:rsid w:val="00535D82"/>
    <w:rsid w:val="005361CF"/>
    <w:rsid w:val="0053656E"/>
    <w:rsid w:val="005366A6"/>
    <w:rsid w:val="00536B62"/>
    <w:rsid w:val="00536E04"/>
    <w:rsid w:val="0053700F"/>
    <w:rsid w:val="005379BC"/>
    <w:rsid w:val="00537D3F"/>
    <w:rsid w:val="00537E57"/>
    <w:rsid w:val="00540044"/>
    <w:rsid w:val="005402F0"/>
    <w:rsid w:val="00541DB8"/>
    <w:rsid w:val="00542470"/>
    <w:rsid w:val="00542564"/>
    <w:rsid w:val="00543E6B"/>
    <w:rsid w:val="005442DE"/>
    <w:rsid w:val="00544757"/>
    <w:rsid w:val="00544909"/>
    <w:rsid w:val="00544A6C"/>
    <w:rsid w:val="00544E74"/>
    <w:rsid w:val="00545C93"/>
    <w:rsid w:val="00545D55"/>
    <w:rsid w:val="005476F6"/>
    <w:rsid w:val="00547A0A"/>
    <w:rsid w:val="0055179F"/>
    <w:rsid w:val="00551E5E"/>
    <w:rsid w:val="00551ED4"/>
    <w:rsid w:val="005520E8"/>
    <w:rsid w:val="00552353"/>
    <w:rsid w:val="0055272A"/>
    <w:rsid w:val="00552C2D"/>
    <w:rsid w:val="0055367B"/>
    <w:rsid w:val="00553F60"/>
    <w:rsid w:val="00553FA9"/>
    <w:rsid w:val="00554420"/>
    <w:rsid w:val="005545FA"/>
    <w:rsid w:val="005547D7"/>
    <w:rsid w:val="00555092"/>
    <w:rsid w:val="00555700"/>
    <w:rsid w:val="00555EAC"/>
    <w:rsid w:val="005571A7"/>
    <w:rsid w:val="00557666"/>
    <w:rsid w:val="00560880"/>
    <w:rsid w:val="00560DEC"/>
    <w:rsid w:val="00561A98"/>
    <w:rsid w:val="005620AF"/>
    <w:rsid w:val="005622C8"/>
    <w:rsid w:val="00562CB8"/>
    <w:rsid w:val="00563758"/>
    <w:rsid w:val="00563F8F"/>
    <w:rsid w:val="00564C4E"/>
    <w:rsid w:val="00564E5F"/>
    <w:rsid w:val="00564FE6"/>
    <w:rsid w:val="0056515A"/>
    <w:rsid w:val="00566881"/>
    <w:rsid w:val="005675F4"/>
    <w:rsid w:val="005700F6"/>
    <w:rsid w:val="005701A8"/>
    <w:rsid w:val="00570F1D"/>
    <w:rsid w:val="00571B2D"/>
    <w:rsid w:val="00571F22"/>
    <w:rsid w:val="00572241"/>
    <w:rsid w:val="00572348"/>
    <w:rsid w:val="00572F75"/>
    <w:rsid w:val="00573A97"/>
    <w:rsid w:val="00573DED"/>
    <w:rsid w:val="00574DEE"/>
    <w:rsid w:val="005754AD"/>
    <w:rsid w:val="00575727"/>
    <w:rsid w:val="00576666"/>
    <w:rsid w:val="005766C5"/>
    <w:rsid w:val="00577F95"/>
    <w:rsid w:val="00581481"/>
    <w:rsid w:val="00581ACD"/>
    <w:rsid w:val="005826A0"/>
    <w:rsid w:val="0058320C"/>
    <w:rsid w:val="0058373D"/>
    <w:rsid w:val="00584072"/>
    <w:rsid w:val="005842CA"/>
    <w:rsid w:val="00584F97"/>
    <w:rsid w:val="005852EC"/>
    <w:rsid w:val="0058559F"/>
    <w:rsid w:val="005858D3"/>
    <w:rsid w:val="0058664E"/>
    <w:rsid w:val="005866C9"/>
    <w:rsid w:val="0058696C"/>
    <w:rsid w:val="00586CB3"/>
    <w:rsid w:val="0058701C"/>
    <w:rsid w:val="0058714D"/>
    <w:rsid w:val="00587532"/>
    <w:rsid w:val="00587620"/>
    <w:rsid w:val="00590102"/>
    <w:rsid w:val="00590399"/>
    <w:rsid w:val="005904C8"/>
    <w:rsid w:val="005905B1"/>
    <w:rsid w:val="00591937"/>
    <w:rsid w:val="00591D2F"/>
    <w:rsid w:val="0059265E"/>
    <w:rsid w:val="005926C3"/>
    <w:rsid w:val="00593CC8"/>
    <w:rsid w:val="00593DE2"/>
    <w:rsid w:val="00594E44"/>
    <w:rsid w:val="00595470"/>
    <w:rsid w:val="00595661"/>
    <w:rsid w:val="00595D50"/>
    <w:rsid w:val="00595D98"/>
    <w:rsid w:val="00596B82"/>
    <w:rsid w:val="00596CE8"/>
    <w:rsid w:val="005A0302"/>
    <w:rsid w:val="005A057B"/>
    <w:rsid w:val="005A0792"/>
    <w:rsid w:val="005A27B6"/>
    <w:rsid w:val="005A2ADE"/>
    <w:rsid w:val="005A2B21"/>
    <w:rsid w:val="005A3A94"/>
    <w:rsid w:val="005A4306"/>
    <w:rsid w:val="005A4792"/>
    <w:rsid w:val="005A61FF"/>
    <w:rsid w:val="005A6260"/>
    <w:rsid w:val="005A692D"/>
    <w:rsid w:val="005A6B4A"/>
    <w:rsid w:val="005A6C45"/>
    <w:rsid w:val="005A708D"/>
    <w:rsid w:val="005A71C5"/>
    <w:rsid w:val="005A746C"/>
    <w:rsid w:val="005A7472"/>
    <w:rsid w:val="005A75C5"/>
    <w:rsid w:val="005B08E9"/>
    <w:rsid w:val="005B2ECA"/>
    <w:rsid w:val="005B3012"/>
    <w:rsid w:val="005B32F7"/>
    <w:rsid w:val="005B4DD3"/>
    <w:rsid w:val="005B549C"/>
    <w:rsid w:val="005B5AAB"/>
    <w:rsid w:val="005B5CF2"/>
    <w:rsid w:val="005B706C"/>
    <w:rsid w:val="005B783A"/>
    <w:rsid w:val="005C098B"/>
    <w:rsid w:val="005C09EB"/>
    <w:rsid w:val="005C140D"/>
    <w:rsid w:val="005C198A"/>
    <w:rsid w:val="005C1997"/>
    <w:rsid w:val="005C1C14"/>
    <w:rsid w:val="005C2305"/>
    <w:rsid w:val="005C2685"/>
    <w:rsid w:val="005C2CEC"/>
    <w:rsid w:val="005C2DCF"/>
    <w:rsid w:val="005C2E6F"/>
    <w:rsid w:val="005C3551"/>
    <w:rsid w:val="005C3CF3"/>
    <w:rsid w:val="005C437C"/>
    <w:rsid w:val="005C4CE7"/>
    <w:rsid w:val="005C4ECF"/>
    <w:rsid w:val="005C5C82"/>
    <w:rsid w:val="005C5E5F"/>
    <w:rsid w:val="005C6AF7"/>
    <w:rsid w:val="005C6FC4"/>
    <w:rsid w:val="005C74B0"/>
    <w:rsid w:val="005C77DE"/>
    <w:rsid w:val="005C78F2"/>
    <w:rsid w:val="005C7D74"/>
    <w:rsid w:val="005D00BD"/>
    <w:rsid w:val="005D07B1"/>
    <w:rsid w:val="005D0EC6"/>
    <w:rsid w:val="005D0EED"/>
    <w:rsid w:val="005D17F8"/>
    <w:rsid w:val="005D1E9B"/>
    <w:rsid w:val="005D229E"/>
    <w:rsid w:val="005D256F"/>
    <w:rsid w:val="005D2F0A"/>
    <w:rsid w:val="005D347D"/>
    <w:rsid w:val="005D3CAA"/>
    <w:rsid w:val="005D4011"/>
    <w:rsid w:val="005D43B3"/>
    <w:rsid w:val="005D4C17"/>
    <w:rsid w:val="005D505A"/>
    <w:rsid w:val="005D5480"/>
    <w:rsid w:val="005D54DE"/>
    <w:rsid w:val="005D56BA"/>
    <w:rsid w:val="005D5767"/>
    <w:rsid w:val="005D64B9"/>
    <w:rsid w:val="005D6FE6"/>
    <w:rsid w:val="005E05B4"/>
    <w:rsid w:val="005E0BD4"/>
    <w:rsid w:val="005E10F9"/>
    <w:rsid w:val="005E1A5E"/>
    <w:rsid w:val="005E21B9"/>
    <w:rsid w:val="005E3217"/>
    <w:rsid w:val="005E3305"/>
    <w:rsid w:val="005E40C8"/>
    <w:rsid w:val="005E4215"/>
    <w:rsid w:val="005E42EF"/>
    <w:rsid w:val="005E438C"/>
    <w:rsid w:val="005E559F"/>
    <w:rsid w:val="005E6F63"/>
    <w:rsid w:val="005E73A6"/>
    <w:rsid w:val="005E79FD"/>
    <w:rsid w:val="005E7A8D"/>
    <w:rsid w:val="005F0CFD"/>
    <w:rsid w:val="005F0DFB"/>
    <w:rsid w:val="005F0EFB"/>
    <w:rsid w:val="005F1051"/>
    <w:rsid w:val="005F1C34"/>
    <w:rsid w:val="005F1E5B"/>
    <w:rsid w:val="005F27A5"/>
    <w:rsid w:val="005F2BCE"/>
    <w:rsid w:val="005F3C3C"/>
    <w:rsid w:val="005F457E"/>
    <w:rsid w:val="005F4C01"/>
    <w:rsid w:val="005F4E0B"/>
    <w:rsid w:val="005F5465"/>
    <w:rsid w:val="005F5811"/>
    <w:rsid w:val="005F5E7E"/>
    <w:rsid w:val="005F63AF"/>
    <w:rsid w:val="005F6992"/>
    <w:rsid w:val="005F7363"/>
    <w:rsid w:val="005F7468"/>
    <w:rsid w:val="005F7783"/>
    <w:rsid w:val="00601486"/>
    <w:rsid w:val="00601732"/>
    <w:rsid w:val="00602640"/>
    <w:rsid w:val="0060407B"/>
    <w:rsid w:val="00604982"/>
    <w:rsid w:val="00604E48"/>
    <w:rsid w:val="00605094"/>
    <w:rsid w:val="0060578E"/>
    <w:rsid w:val="00605B15"/>
    <w:rsid w:val="00607250"/>
    <w:rsid w:val="006077A0"/>
    <w:rsid w:val="0061058E"/>
    <w:rsid w:val="00610B93"/>
    <w:rsid w:val="00611607"/>
    <w:rsid w:val="00612146"/>
    <w:rsid w:val="006129F8"/>
    <w:rsid w:val="006145FB"/>
    <w:rsid w:val="00614C2A"/>
    <w:rsid w:val="006153E8"/>
    <w:rsid w:val="0061554B"/>
    <w:rsid w:val="0061698C"/>
    <w:rsid w:val="00616AF2"/>
    <w:rsid w:val="00616B32"/>
    <w:rsid w:val="00617AD6"/>
    <w:rsid w:val="00617F77"/>
    <w:rsid w:val="0062040E"/>
    <w:rsid w:val="006209F4"/>
    <w:rsid w:val="00620A24"/>
    <w:rsid w:val="00620F74"/>
    <w:rsid w:val="006216E7"/>
    <w:rsid w:val="00621755"/>
    <w:rsid w:val="006217AF"/>
    <w:rsid w:val="006217B2"/>
    <w:rsid w:val="00621B99"/>
    <w:rsid w:val="00621CA0"/>
    <w:rsid w:val="006224BB"/>
    <w:rsid w:val="0062264A"/>
    <w:rsid w:val="006230A5"/>
    <w:rsid w:val="0062400A"/>
    <w:rsid w:val="006244F1"/>
    <w:rsid w:val="00625406"/>
    <w:rsid w:val="0062555A"/>
    <w:rsid w:val="00625653"/>
    <w:rsid w:val="00625A50"/>
    <w:rsid w:val="00626305"/>
    <w:rsid w:val="006264C8"/>
    <w:rsid w:val="00627478"/>
    <w:rsid w:val="006301D4"/>
    <w:rsid w:val="006302EE"/>
    <w:rsid w:val="006310A4"/>
    <w:rsid w:val="00631B81"/>
    <w:rsid w:val="00631BA8"/>
    <w:rsid w:val="00631FA6"/>
    <w:rsid w:val="00632210"/>
    <w:rsid w:val="006324B7"/>
    <w:rsid w:val="00633C47"/>
    <w:rsid w:val="006348C1"/>
    <w:rsid w:val="00634A13"/>
    <w:rsid w:val="00634ABD"/>
    <w:rsid w:val="00634CCF"/>
    <w:rsid w:val="00634E17"/>
    <w:rsid w:val="00634E50"/>
    <w:rsid w:val="00635620"/>
    <w:rsid w:val="00635B23"/>
    <w:rsid w:val="0063631C"/>
    <w:rsid w:val="00640318"/>
    <w:rsid w:val="00640984"/>
    <w:rsid w:val="00640C43"/>
    <w:rsid w:val="006418E0"/>
    <w:rsid w:val="00641CE8"/>
    <w:rsid w:val="006428FF"/>
    <w:rsid w:val="00642FAD"/>
    <w:rsid w:val="006430B8"/>
    <w:rsid w:val="006432B5"/>
    <w:rsid w:val="00643A8B"/>
    <w:rsid w:val="00643DC7"/>
    <w:rsid w:val="006441DA"/>
    <w:rsid w:val="00644DAB"/>
    <w:rsid w:val="0064538E"/>
    <w:rsid w:val="0064634C"/>
    <w:rsid w:val="0064740F"/>
    <w:rsid w:val="00647F24"/>
    <w:rsid w:val="00650016"/>
    <w:rsid w:val="006512BC"/>
    <w:rsid w:val="00651E59"/>
    <w:rsid w:val="00651F43"/>
    <w:rsid w:val="006522DD"/>
    <w:rsid w:val="00653610"/>
    <w:rsid w:val="0065460F"/>
    <w:rsid w:val="0065530C"/>
    <w:rsid w:val="0065532E"/>
    <w:rsid w:val="00655EBF"/>
    <w:rsid w:val="00657619"/>
    <w:rsid w:val="00657968"/>
    <w:rsid w:val="00660030"/>
    <w:rsid w:val="00660203"/>
    <w:rsid w:val="0066030E"/>
    <w:rsid w:val="00662AE0"/>
    <w:rsid w:val="00662E4E"/>
    <w:rsid w:val="00663095"/>
    <w:rsid w:val="0066405C"/>
    <w:rsid w:val="00664CC7"/>
    <w:rsid w:val="00665061"/>
    <w:rsid w:val="00665615"/>
    <w:rsid w:val="00665A61"/>
    <w:rsid w:val="00665B8E"/>
    <w:rsid w:val="00665CC7"/>
    <w:rsid w:val="0066731B"/>
    <w:rsid w:val="0066759D"/>
    <w:rsid w:val="006676B0"/>
    <w:rsid w:val="0067042C"/>
    <w:rsid w:val="0067048A"/>
    <w:rsid w:val="0067137E"/>
    <w:rsid w:val="00671AB7"/>
    <w:rsid w:val="00672823"/>
    <w:rsid w:val="00672B61"/>
    <w:rsid w:val="0067424F"/>
    <w:rsid w:val="006746D8"/>
    <w:rsid w:val="00674723"/>
    <w:rsid w:val="00674E20"/>
    <w:rsid w:val="006750F2"/>
    <w:rsid w:val="00675E4A"/>
    <w:rsid w:val="00675EDA"/>
    <w:rsid w:val="00675F02"/>
    <w:rsid w:val="00676133"/>
    <w:rsid w:val="0067663F"/>
    <w:rsid w:val="00676AE5"/>
    <w:rsid w:val="00676C48"/>
    <w:rsid w:val="00677576"/>
    <w:rsid w:val="00677E42"/>
    <w:rsid w:val="0068046E"/>
    <w:rsid w:val="00681D14"/>
    <w:rsid w:val="00682A83"/>
    <w:rsid w:val="00682E94"/>
    <w:rsid w:val="006833A7"/>
    <w:rsid w:val="00683974"/>
    <w:rsid w:val="006843EE"/>
    <w:rsid w:val="006846C5"/>
    <w:rsid w:val="0068529B"/>
    <w:rsid w:val="00685F53"/>
    <w:rsid w:val="006867A9"/>
    <w:rsid w:val="006870FF"/>
    <w:rsid w:val="006872DA"/>
    <w:rsid w:val="006878BA"/>
    <w:rsid w:val="00687B40"/>
    <w:rsid w:val="006905D1"/>
    <w:rsid w:val="0069081B"/>
    <w:rsid w:val="0069111B"/>
    <w:rsid w:val="00692C2F"/>
    <w:rsid w:val="00693378"/>
    <w:rsid w:val="00693875"/>
    <w:rsid w:val="00693D44"/>
    <w:rsid w:val="0069417D"/>
    <w:rsid w:val="006942AA"/>
    <w:rsid w:val="00694926"/>
    <w:rsid w:val="00694A57"/>
    <w:rsid w:val="0069591C"/>
    <w:rsid w:val="006971FE"/>
    <w:rsid w:val="006A1F73"/>
    <w:rsid w:val="006A21A5"/>
    <w:rsid w:val="006A2515"/>
    <w:rsid w:val="006A3FE1"/>
    <w:rsid w:val="006A44D7"/>
    <w:rsid w:val="006A4522"/>
    <w:rsid w:val="006A4638"/>
    <w:rsid w:val="006A4DFF"/>
    <w:rsid w:val="006A5298"/>
    <w:rsid w:val="006A58A9"/>
    <w:rsid w:val="006A63D1"/>
    <w:rsid w:val="006A6403"/>
    <w:rsid w:val="006A67CC"/>
    <w:rsid w:val="006A6B15"/>
    <w:rsid w:val="006B008B"/>
    <w:rsid w:val="006B11EF"/>
    <w:rsid w:val="006B128F"/>
    <w:rsid w:val="006B1693"/>
    <w:rsid w:val="006B18DA"/>
    <w:rsid w:val="006B1AB8"/>
    <w:rsid w:val="006B20F2"/>
    <w:rsid w:val="006B2436"/>
    <w:rsid w:val="006B3248"/>
    <w:rsid w:val="006B384A"/>
    <w:rsid w:val="006B458E"/>
    <w:rsid w:val="006B46C6"/>
    <w:rsid w:val="006B4E17"/>
    <w:rsid w:val="006B4E58"/>
    <w:rsid w:val="006B4FE6"/>
    <w:rsid w:val="006B5355"/>
    <w:rsid w:val="006B54F7"/>
    <w:rsid w:val="006B5AF9"/>
    <w:rsid w:val="006B5FD1"/>
    <w:rsid w:val="006B6544"/>
    <w:rsid w:val="006B6587"/>
    <w:rsid w:val="006B6C5C"/>
    <w:rsid w:val="006B717F"/>
    <w:rsid w:val="006B7251"/>
    <w:rsid w:val="006B7766"/>
    <w:rsid w:val="006B77AA"/>
    <w:rsid w:val="006B7DA5"/>
    <w:rsid w:val="006C027C"/>
    <w:rsid w:val="006C06AF"/>
    <w:rsid w:val="006C0744"/>
    <w:rsid w:val="006C09FE"/>
    <w:rsid w:val="006C0BB2"/>
    <w:rsid w:val="006C21C9"/>
    <w:rsid w:val="006C37B8"/>
    <w:rsid w:val="006C48BB"/>
    <w:rsid w:val="006C5421"/>
    <w:rsid w:val="006C611F"/>
    <w:rsid w:val="006C6DE1"/>
    <w:rsid w:val="006C733E"/>
    <w:rsid w:val="006C78AF"/>
    <w:rsid w:val="006C7917"/>
    <w:rsid w:val="006C79D9"/>
    <w:rsid w:val="006C7DEC"/>
    <w:rsid w:val="006D02B6"/>
    <w:rsid w:val="006D2415"/>
    <w:rsid w:val="006D2FE8"/>
    <w:rsid w:val="006D331C"/>
    <w:rsid w:val="006D3EDB"/>
    <w:rsid w:val="006D54AC"/>
    <w:rsid w:val="006D61D4"/>
    <w:rsid w:val="006D68EA"/>
    <w:rsid w:val="006D6F92"/>
    <w:rsid w:val="006D7069"/>
    <w:rsid w:val="006D73CC"/>
    <w:rsid w:val="006D7C3E"/>
    <w:rsid w:val="006E003C"/>
    <w:rsid w:val="006E0961"/>
    <w:rsid w:val="006E16EC"/>
    <w:rsid w:val="006E176B"/>
    <w:rsid w:val="006E1771"/>
    <w:rsid w:val="006E1AA0"/>
    <w:rsid w:val="006E1B9F"/>
    <w:rsid w:val="006E2128"/>
    <w:rsid w:val="006E2FC3"/>
    <w:rsid w:val="006E3520"/>
    <w:rsid w:val="006E3B9C"/>
    <w:rsid w:val="006E40F6"/>
    <w:rsid w:val="006E4F62"/>
    <w:rsid w:val="006E567C"/>
    <w:rsid w:val="006E584F"/>
    <w:rsid w:val="006E59FC"/>
    <w:rsid w:val="006E656C"/>
    <w:rsid w:val="006E673A"/>
    <w:rsid w:val="006F085D"/>
    <w:rsid w:val="006F08E6"/>
    <w:rsid w:val="006F1056"/>
    <w:rsid w:val="006F1100"/>
    <w:rsid w:val="006F1171"/>
    <w:rsid w:val="006F165F"/>
    <w:rsid w:val="006F20E4"/>
    <w:rsid w:val="006F216D"/>
    <w:rsid w:val="006F2371"/>
    <w:rsid w:val="006F23D0"/>
    <w:rsid w:val="006F2CE7"/>
    <w:rsid w:val="006F31AC"/>
    <w:rsid w:val="006F36AC"/>
    <w:rsid w:val="006F37F1"/>
    <w:rsid w:val="006F389D"/>
    <w:rsid w:val="006F44E3"/>
    <w:rsid w:val="006F4950"/>
    <w:rsid w:val="006F49E0"/>
    <w:rsid w:val="006F4F12"/>
    <w:rsid w:val="006F5008"/>
    <w:rsid w:val="006F5212"/>
    <w:rsid w:val="006F528C"/>
    <w:rsid w:val="006F53A0"/>
    <w:rsid w:val="006F5AF3"/>
    <w:rsid w:val="006F706F"/>
    <w:rsid w:val="006F747E"/>
    <w:rsid w:val="006F74F6"/>
    <w:rsid w:val="007001F2"/>
    <w:rsid w:val="00700338"/>
    <w:rsid w:val="007004C4"/>
    <w:rsid w:val="00700BAE"/>
    <w:rsid w:val="00701149"/>
    <w:rsid w:val="007017ED"/>
    <w:rsid w:val="00701958"/>
    <w:rsid w:val="00702F1B"/>
    <w:rsid w:val="0070358A"/>
    <w:rsid w:val="00703610"/>
    <w:rsid w:val="007039F8"/>
    <w:rsid w:val="00703B96"/>
    <w:rsid w:val="007043B2"/>
    <w:rsid w:val="007056F8"/>
    <w:rsid w:val="00705741"/>
    <w:rsid w:val="00705B8E"/>
    <w:rsid w:val="0070648D"/>
    <w:rsid w:val="00706C1D"/>
    <w:rsid w:val="00707064"/>
    <w:rsid w:val="00707115"/>
    <w:rsid w:val="00707259"/>
    <w:rsid w:val="007076FA"/>
    <w:rsid w:val="00707BF9"/>
    <w:rsid w:val="00707D31"/>
    <w:rsid w:val="0071014C"/>
    <w:rsid w:val="007102D3"/>
    <w:rsid w:val="00710B31"/>
    <w:rsid w:val="0071105B"/>
    <w:rsid w:val="00711426"/>
    <w:rsid w:val="00711D09"/>
    <w:rsid w:val="00712235"/>
    <w:rsid w:val="00712CDA"/>
    <w:rsid w:val="00712DFF"/>
    <w:rsid w:val="007136F1"/>
    <w:rsid w:val="007136FA"/>
    <w:rsid w:val="00713A93"/>
    <w:rsid w:val="00714610"/>
    <w:rsid w:val="00714819"/>
    <w:rsid w:val="00714C15"/>
    <w:rsid w:val="00716931"/>
    <w:rsid w:val="00716BF0"/>
    <w:rsid w:val="007174A0"/>
    <w:rsid w:val="007176E4"/>
    <w:rsid w:val="007205C3"/>
    <w:rsid w:val="007208D0"/>
    <w:rsid w:val="00720968"/>
    <w:rsid w:val="00720C47"/>
    <w:rsid w:val="00720FC8"/>
    <w:rsid w:val="00721424"/>
    <w:rsid w:val="00721ABF"/>
    <w:rsid w:val="00721C02"/>
    <w:rsid w:val="00721E86"/>
    <w:rsid w:val="00722579"/>
    <w:rsid w:val="0072330D"/>
    <w:rsid w:val="00723786"/>
    <w:rsid w:val="007238FA"/>
    <w:rsid w:val="0072404E"/>
    <w:rsid w:val="007247E2"/>
    <w:rsid w:val="00725BAC"/>
    <w:rsid w:val="00725DC2"/>
    <w:rsid w:val="00725F7F"/>
    <w:rsid w:val="0072627F"/>
    <w:rsid w:val="007262EB"/>
    <w:rsid w:val="00726F19"/>
    <w:rsid w:val="00726FD8"/>
    <w:rsid w:val="007273D1"/>
    <w:rsid w:val="00727BDE"/>
    <w:rsid w:val="00730B84"/>
    <w:rsid w:val="00731731"/>
    <w:rsid w:val="00731B3E"/>
    <w:rsid w:val="00731BFF"/>
    <w:rsid w:val="00732037"/>
    <w:rsid w:val="0073246D"/>
    <w:rsid w:val="00732C4D"/>
    <w:rsid w:val="00732EE8"/>
    <w:rsid w:val="00733025"/>
    <w:rsid w:val="00734624"/>
    <w:rsid w:val="00734C00"/>
    <w:rsid w:val="00734E72"/>
    <w:rsid w:val="007360BC"/>
    <w:rsid w:val="007369D3"/>
    <w:rsid w:val="00736A57"/>
    <w:rsid w:val="00736C95"/>
    <w:rsid w:val="00736E75"/>
    <w:rsid w:val="007375E2"/>
    <w:rsid w:val="007378DB"/>
    <w:rsid w:val="00737984"/>
    <w:rsid w:val="007402BB"/>
    <w:rsid w:val="00740505"/>
    <w:rsid w:val="00740CC6"/>
    <w:rsid w:val="007414BC"/>
    <w:rsid w:val="00742065"/>
    <w:rsid w:val="007423EE"/>
    <w:rsid w:val="00742750"/>
    <w:rsid w:val="007427E9"/>
    <w:rsid w:val="00742BA7"/>
    <w:rsid w:val="007434E4"/>
    <w:rsid w:val="00743664"/>
    <w:rsid w:val="00744BCD"/>
    <w:rsid w:val="00745C97"/>
    <w:rsid w:val="00745EF5"/>
    <w:rsid w:val="0074613A"/>
    <w:rsid w:val="0074678F"/>
    <w:rsid w:val="007469BA"/>
    <w:rsid w:val="00746C0A"/>
    <w:rsid w:val="0074745B"/>
    <w:rsid w:val="00747BA6"/>
    <w:rsid w:val="00747C13"/>
    <w:rsid w:val="00750001"/>
    <w:rsid w:val="00750638"/>
    <w:rsid w:val="00751C57"/>
    <w:rsid w:val="00753331"/>
    <w:rsid w:val="007533C5"/>
    <w:rsid w:val="00753530"/>
    <w:rsid w:val="00754353"/>
    <w:rsid w:val="007545C8"/>
    <w:rsid w:val="00755305"/>
    <w:rsid w:val="00755375"/>
    <w:rsid w:val="0075595E"/>
    <w:rsid w:val="00755B1D"/>
    <w:rsid w:val="00756610"/>
    <w:rsid w:val="007571F0"/>
    <w:rsid w:val="007575C7"/>
    <w:rsid w:val="00760A1E"/>
    <w:rsid w:val="00761350"/>
    <w:rsid w:val="00761DEC"/>
    <w:rsid w:val="00762523"/>
    <w:rsid w:val="0076273D"/>
    <w:rsid w:val="00762A90"/>
    <w:rsid w:val="00762B00"/>
    <w:rsid w:val="00762F87"/>
    <w:rsid w:val="0076415C"/>
    <w:rsid w:val="00764694"/>
    <w:rsid w:val="00765752"/>
    <w:rsid w:val="00765C9B"/>
    <w:rsid w:val="00767316"/>
    <w:rsid w:val="00767706"/>
    <w:rsid w:val="00767CCC"/>
    <w:rsid w:val="007702ED"/>
    <w:rsid w:val="0077064E"/>
    <w:rsid w:val="0077108E"/>
    <w:rsid w:val="00771FC1"/>
    <w:rsid w:val="007720C5"/>
    <w:rsid w:val="007723D6"/>
    <w:rsid w:val="00772955"/>
    <w:rsid w:val="0077297D"/>
    <w:rsid w:val="00772C4E"/>
    <w:rsid w:val="00772E79"/>
    <w:rsid w:val="0077302F"/>
    <w:rsid w:val="007738F8"/>
    <w:rsid w:val="00774875"/>
    <w:rsid w:val="007755F6"/>
    <w:rsid w:val="00775E48"/>
    <w:rsid w:val="00776031"/>
    <w:rsid w:val="00776095"/>
    <w:rsid w:val="00776DF7"/>
    <w:rsid w:val="00776FA6"/>
    <w:rsid w:val="0077707E"/>
    <w:rsid w:val="00777318"/>
    <w:rsid w:val="00777748"/>
    <w:rsid w:val="007777B9"/>
    <w:rsid w:val="0077784A"/>
    <w:rsid w:val="00780114"/>
    <w:rsid w:val="007801E3"/>
    <w:rsid w:val="00780449"/>
    <w:rsid w:val="00781E5E"/>
    <w:rsid w:val="007825BB"/>
    <w:rsid w:val="00783196"/>
    <w:rsid w:val="0078402A"/>
    <w:rsid w:val="00784888"/>
    <w:rsid w:val="00784B16"/>
    <w:rsid w:val="00785704"/>
    <w:rsid w:val="00785FD9"/>
    <w:rsid w:val="0078681A"/>
    <w:rsid w:val="00786938"/>
    <w:rsid w:val="00786D0B"/>
    <w:rsid w:val="00787031"/>
    <w:rsid w:val="00787470"/>
    <w:rsid w:val="007879B0"/>
    <w:rsid w:val="00787D7B"/>
    <w:rsid w:val="007907EA"/>
    <w:rsid w:val="00790B53"/>
    <w:rsid w:val="00791091"/>
    <w:rsid w:val="00791231"/>
    <w:rsid w:val="00791F72"/>
    <w:rsid w:val="00792445"/>
    <w:rsid w:val="00792636"/>
    <w:rsid w:val="00793346"/>
    <w:rsid w:val="00794371"/>
    <w:rsid w:val="0079487E"/>
    <w:rsid w:val="00794A01"/>
    <w:rsid w:val="00795125"/>
    <w:rsid w:val="0079553D"/>
    <w:rsid w:val="00795AF9"/>
    <w:rsid w:val="00795C84"/>
    <w:rsid w:val="00795DF5"/>
    <w:rsid w:val="00796590"/>
    <w:rsid w:val="0079662F"/>
    <w:rsid w:val="007967E0"/>
    <w:rsid w:val="00796BA1"/>
    <w:rsid w:val="00797DF2"/>
    <w:rsid w:val="007A1746"/>
    <w:rsid w:val="007A18F2"/>
    <w:rsid w:val="007A1AF2"/>
    <w:rsid w:val="007A2087"/>
    <w:rsid w:val="007A2247"/>
    <w:rsid w:val="007A231C"/>
    <w:rsid w:val="007A2419"/>
    <w:rsid w:val="007A2494"/>
    <w:rsid w:val="007A36BD"/>
    <w:rsid w:val="007A3A53"/>
    <w:rsid w:val="007A3E9E"/>
    <w:rsid w:val="007A45DC"/>
    <w:rsid w:val="007A5005"/>
    <w:rsid w:val="007A58C7"/>
    <w:rsid w:val="007A6AEF"/>
    <w:rsid w:val="007A7185"/>
    <w:rsid w:val="007A74E1"/>
    <w:rsid w:val="007A7B40"/>
    <w:rsid w:val="007B0CF0"/>
    <w:rsid w:val="007B1388"/>
    <w:rsid w:val="007B1AD6"/>
    <w:rsid w:val="007B1FC5"/>
    <w:rsid w:val="007B2A90"/>
    <w:rsid w:val="007B33DF"/>
    <w:rsid w:val="007B390E"/>
    <w:rsid w:val="007B42B3"/>
    <w:rsid w:val="007B47D8"/>
    <w:rsid w:val="007B4842"/>
    <w:rsid w:val="007B53E1"/>
    <w:rsid w:val="007B55F6"/>
    <w:rsid w:val="007B5B0F"/>
    <w:rsid w:val="007B6412"/>
    <w:rsid w:val="007B6C1A"/>
    <w:rsid w:val="007B6FC8"/>
    <w:rsid w:val="007B7525"/>
    <w:rsid w:val="007B7CB8"/>
    <w:rsid w:val="007C0558"/>
    <w:rsid w:val="007C0607"/>
    <w:rsid w:val="007C062D"/>
    <w:rsid w:val="007C0CC6"/>
    <w:rsid w:val="007C0DBD"/>
    <w:rsid w:val="007C14EF"/>
    <w:rsid w:val="007C1554"/>
    <w:rsid w:val="007C161C"/>
    <w:rsid w:val="007C1BF6"/>
    <w:rsid w:val="007C358C"/>
    <w:rsid w:val="007C36E5"/>
    <w:rsid w:val="007C3EE1"/>
    <w:rsid w:val="007C459D"/>
    <w:rsid w:val="007C514A"/>
    <w:rsid w:val="007C5289"/>
    <w:rsid w:val="007C528A"/>
    <w:rsid w:val="007C5AA8"/>
    <w:rsid w:val="007C5DC8"/>
    <w:rsid w:val="007C5E11"/>
    <w:rsid w:val="007C66BB"/>
    <w:rsid w:val="007C6BC4"/>
    <w:rsid w:val="007C6FA0"/>
    <w:rsid w:val="007C7058"/>
    <w:rsid w:val="007C769A"/>
    <w:rsid w:val="007C76CF"/>
    <w:rsid w:val="007D0727"/>
    <w:rsid w:val="007D1140"/>
    <w:rsid w:val="007D1F7C"/>
    <w:rsid w:val="007D25DD"/>
    <w:rsid w:val="007D3860"/>
    <w:rsid w:val="007D3FD5"/>
    <w:rsid w:val="007D52C1"/>
    <w:rsid w:val="007D6A59"/>
    <w:rsid w:val="007E0754"/>
    <w:rsid w:val="007E0971"/>
    <w:rsid w:val="007E0EF5"/>
    <w:rsid w:val="007E1066"/>
    <w:rsid w:val="007E1A53"/>
    <w:rsid w:val="007E2011"/>
    <w:rsid w:val="007E22C6"/>
    <w:rsid w:val="007E291E"/>
    <w:rsid w:val="007E2E96"/>
    <w:rsid w:val="007E339A"/>
    <w:rsid w:val="007E33DC"/>
    <w:rsid w:val="007E3686"/>
    <w:rsid w:val="007E36CB"/>
    <w:rsid w:val="007E4000"/>
    <w:rsid w:val="007E4F2F"/>
    <w:rsid w:val="007E531F"/>
    <w:rsid w:val="007E534D"/>
    <w:rsid w:val="007E54E6"/>
    <w:rsid w:val="007E58CE"/>
    <w:rsid w:val="007E60D4"/>
    <w:rsid w:val="007E6F15"/>
    <w:rsid w:val="007E713F"/>
    <w:rsid w:val="007E7668"/>
    <w:rsid w:val="007E7933"/>
    <w:rsid w:val="007E7BFE"/>
    <w:rsid w:val="007E7EEB"/>
    <w:rsid w:val="007E7FFD"/>
    <w:rsid w:val="007F08DF"/>
    <w:rsid w:val="007F0924"/>
    <w:rsid w:val="007F1488"/>
    <w:rsid w:val="007F14C8"/>
    <w:rsid w:val="007F183B"/>
    <w:rsid w:val="007F1B98"/>
    <w:rsid w:val="007F254B"/>
    <w:rsid w:val="007F285C"/>
    <w:rsid w:val="007F42C6"/>
    <w:rsid w:val="007F4312"/>
    <w:rsid w:val="007F5147"/>
    <w:rsid w:val="007F5EF9"/>
    <w:rsid w:val="007F610A"/>
    <w:rsid w:val="007F7511"/>
    <w:rsid w:val="007F7C0E"/>
    <w:rsid w:val="0080108C"/>
    <w:rsid w:val="0080170A"/>
    <w:rsid w:val="008017E0"/>
    <w:rsid w:val="00801B04"/>
    <w:rsid w:val="00801E6E"/>
    <w:rsid w:val="00802A8E"/>
    <w:rsid w:val="00802CFD"/>
    <w:rsid w:val="00802D75"/>
    <w:rsid w:val="008034B9"/>
    <w:rsid w:val="0080395D"/>
    <w:rsid w:val="0080397D"/>
    <w:rsid w:val="00803B77"/>
    <w:rsid w:val="00803D00"/>
    <w:rsid w:val="0080529B"/>
    <w:rsid w:val="00805505"/>
    <w:rsid w:val="008055F9"/>
    <w:rsid w:val="00805A14"/>
    <w:rsid w:val="0080631B"/>
    <w:rsid w:val="00807478"/>
    <w:rsid w:val="0080761D"/>
    <w:rsid w:val="00807624"/>
    <w:rsid w:val="0080768A"/>
    <w:rsid w:val="00807E06"/>
    <w:rsid w:val="00810BF4"/>
    <w:rsid w:val="00810F63"/>
    <w:rsid w:val="00811103"/>
    <w:rsid w:val="00811B66"/>
    <w:rsid w:val="008121DF"/>
    <w:rsid w:val="00812666"/>
    <w:rsid w:val="00812C94"/>
    <w:rsid w:val="008133DB"/>
    <w:rsid w:val="008137FC"/>
    <w:rsid w:val="00813D6B"/>
    <w:rsid w:val="00814056"/>
    <w:rsid w:val="0081435A"/>
    <w:rsid w:val="00815F00"/>
    <w:rsid w:val="008168B7"/>
    <w:rsid w:val="008173AD"/>
    <w:rsid w:val="00817F8C"/>
    <w:rsid w:val="0082066F"/>
    <w:rsid w:val="008206EC"/>
    <w:rsid w:val="008207F2"/>
    <w:rsid w:val="0082132C"/>
    <w:rsid w:val="0082172A"/>
    <w:rsid w:val="00821D43"/>
    <w:rsid w:val="00822C1B"/>
    <w:rsid w:val="00822CC4"/>
    <w:rsid w:val="00822E46"/>
    <w:rsid w:val="00823E67"/>
    <w:rsid w:val="00823F91"/>
    <w:rsid w:val="008243D3"/>
    <w:rsid w:val="008252A2"/>
    <w:rsid w:val="008255F3"/>
    <w:rsid w:val="00825AF6"/>
    <w:rsid w:val="00825CC3"/>
    <w:rsid w:val="0082711C"/>
    <w:rsid w:val="00827512"/>
    <w:rsid w:val="00827A95"/>
    <w:rsid w:val="00827CF2"/>
    <w:rsid w:val="00827E09"/>
    <w:rsid w:val="0083067B"/>
    <w:rsid w:val="0083198F"/>
    <w:rsid w:val="00831CCB"/>
    <w:rsid w:val="00831D9F"/>
    <w:rsid w:val="008325FE"/>
    <w:rsid w:val="008342D5"/>
    <w:rsid w:val="0083441D"/>
    <w:rsid w:val="00834C99"/>
    <w:rsid w:val="00834EF8"/>
    <w:rsid w:val="008351CA"/>
    <w:rsid w:val="00836B78"/>
    <w:rsid w:val="0083744E"/>
    <w:rsid w:val="00837BC1"/>
    <w:rsid w:val="008402DE"/>
    <w:rsid w:val="0084041E"/>
    <w:rsid w:val="008405EA"/>
    <w:rsid w:val="00840733"/>
    <w:rsid w:val="00840D75"/>
    <w:rsid w:val="0084111B"/>
    <w:rsid w:val="00841BA0"/>
    <w:rsid w:val="0084206B"/>
    <w:rsid w:val="008422CF"/>
    <w:rsid w:val="00843D35"/>
    <w:rsid w:val="0084441F"/>
    <w:rsid w:val="00844DEF"/>
    <w:rsid w:val="008466DE"/>
    <w:rsid w:val="008476C2"/>
    <w:rsid w:val="00847BF1"/>
    <w:rsid w:val="00850047"/>
    <w:rsid w:val="00850C7C"/>
    <w:rsid w:val="00850F98"/>
    <w:rsid w:val="00852937"/>
    <w:rsid w:val="00852C52"/>
    <w:rsid w:val="00853798"/>
    <w:rsid w:val="008539D8"/>
    <w:rsid w:val="00853FEE"/>
    <w:rsid w:val="0085459C"/>
    <w:rsid w:val="008545FD"/>
    <w:rsid w:val="008546CC"/>
    <w:rsid w:val="00854B92"/>
    <w:rsid w:val="00854D54"/>
    <w:rsid w:val="00855F19"/>
    <w:rsid w:val="00856216"/>
    <w:rsid w:val="008565FF"/>
    <w:rsid w:val="00856CC8"/>
    <w:rsid w:val="008570EB"/>
    <w:rsid w:val="00857C8B"/>
    <w:rsid w:val="0086169B"/>
    <w:rsid w:val="00861F51"/>
    <w:rsid w:val="00863499"/>
    <w:rsid w:val="00864786"/>
    <w:rsid w:val="00864B74"/>
    <w:rsid w:val="008655DD"/>
    <w:rsid w:val="00865756"/>
    <w:rsid w:val="00865920"/>
    <w:rsid w:val="00865D6B"/>
    <w:rsid w:val="00866171"/>
    <w:rsid w:val="008672EA"/>
    <w:rsid w:val="008675BC"/>
    <w:rsid w:val="00867B9F"/>
    <w:rsid w:val="00867D0B"/>
    <w:rsid w:val="0087081E"/>
    <w:rsid w:val="00870E26"/>
    <w:rsid w:val="00870ED0"/>
    <w:rsid w:val="0087207E"/>
    <w:rsid w:val="00873185"/>
    <w:rsid w:val="008731CD"/>
    <w:rsid w:val="00873491"/>
    <w:rsid w:val="00873668"/>
    <w:rsid w:val="00873B57"/>
    <w:rsid w:val="00873BB5"/>
    <w:rsid w:val="00874008"/>
    <w:rsid w:val="00874A54"/>
    <w:rsid w:val="008750D0"/>
    <w:rsid w:val="00876340"/>
    <w:rsid w:val="00876DF0"/>
    <w:rsid w:val="00877044"/>
    <w:rsid w:val="00877C60"/>
    <w:rsid w:val="00877D4F"/>
    <w:rsid w:val="00877E19"/>
    <w:rsid w:val="00880D29"/>
    <w:rsid w:val="00881D1B"/>
    <w:rsid w:val="008821AA"/>
    <w:rsid w:val="0088247A"/>
    <w:rsid w:val="008829C1"/>
    <w:rsid w:val="008829D5"/>
    <w:rsid w:val="00882F68"/>
    <w:rsid w:val="008830BD"/>
    <w:rsid w:val="00883468"/>
    <w:rsid w:val="0088348F"/>
    <w:rsid w:val="00883641"/>
    <w:rsid w:val="00883790"/>
    <w:rsid w:val="00883DE2"/>
    <w:rsid w:val="0088452B"/>
    <w:rsid w:val="00884760"/>
    <w:rsid w:val="00885212"/>
    <w:rsid w:val="0088593B"/>
    <w:rsid w:val="0088640F"/>
    <w:rsid w:val="0088646D"/>
    <w:rsid w:val="008873E4"/>
    <w:rsid w:val="00887438"/>
    <w:rsid w:val="00887D0D"/>
    <w:rsid w:val="0089051A"/>
    <w:rsid w:val="00890D85"/>
    <w:rsid w:val="00890E57"/>
    <w:rsid w:val="008912DE"/>
    <w:rsid w:val="008916CB"/>
    <w:rsid w:val="008929EB"/>
    <w:rsid w:val="00893769"/>
    <w:rsid w:val="008939DB"/>
    <w:rsid w:val="00894158"/>
    <w:rsid w:val="0089490D"/>
    <w:rsid w:val="008949D9"/>
    <w:rsid w:val="00894E51"/>
    <w:rsid w:val="00894E9A"/>
    <w:rsid w:val="00895799"/>
    <w:rsid w:val="008957FF"/>
    <w:rsid w:val="0089583E"/>
    <w:rsid w:val="00895CA6"/>
    <w:rsid w:val="00895CCF"/>
    <w:rsid w:val="0089704E"/>
    <w:rsid w:val="008A0C26"/>
    <w:rsid w:val="008A0CDD"/>
    <w:rsid w:val="008A0F03"/>
    <w:rsid w:val="008A1134"/>
    <w:rsid w:val="008A1151"/>
    <w:rsid w:val="008A1AC5"/>
    <w:rsid w:val="008A3182"/>
    <w:rsid w:val="008A3F83"/>
    <w:rsid w:val="008A4824"/>
    <w:rsid w:val="008A4CA4"/>
    <w:rsid w:val="008A4CCE"/>
    <w:rsid w:val="008A4E12"/>
    <w:rsid w:val="008A5582"/>
    <w:rsid w:val="008A5756"/>
    <w:rsid w:val="008A619F"/>
    <w:rsid w:val="008A69AC"/>
    <w:rsid w:val="008A6B1B"/>
    <w:rsid w:val="008A6B7F"/>
    <w:rsid w:val="008B0413"/>
    <w:rsid w:val="008B04A9"/>
    <w:rsid w:val="008B0968"/>
    <w:rsid w:val="008B0C28"/>
    <w:rsid w:val="008B0F71"/>
    <w:rsid w:val="008B104E"/>
    <w:rsid w:val="008B1186"/>
    <w:rsid w:val="008B1776"/>
    <w:rsid w:val="008B1B11"/>
    <w:rsid w:val="008B1C43"/>
    <w:rsid w:val="008B1FC2"/>
    <w:rsid w:val="008B2954"/>
    <w:rsid w:val="008B3103"/>
    <w:rsid w:val="008B4438"/>
    <w:rsid w:val="008B4865"/>
    <w:rsid w:val="008B4ABB"/>
    <w:rsid w:val="008B4D9B"/>
    <w:rsid w:val="008B55D7"/>
    <w:rsid w:val="008B58A9"/>
    <w:rsid w:val="008B5D70"/>
    <w:rsid w:val="008B7A69"/>
    <w:rsid w:val="008B7E66"/>
    <w:rsid w:val="008C0E14"/>
    <w:rsid w:val="008C1821"/>
    <w:rsid w:val="008C1A26"/>
    <w:rsid w:val="008C1FB3"/>
    <w:rsid w:val="008C29DE"/>
    <w:rsid w:val="008C2A68"/>
    <w:rsid w:val="008C2B0C"/>
    <w:rsid w:val="008C2F58"/>
    <w:rsid w:val="008C3112"/>
    <w:rsid w:val="008C34F0"/>
    <w:rsid w:val="008C3E47"/>
    <w:rsid w:val="008C412C"/>
    <w:rsid w:val="008C4D17"/>
    <w:rsid w:val="008C4EC7"/>
    <w:rsid w:val="008C5743"/>
    <w:rsid w:val="008C5B95"/>
    <w:rsid w:val="008C5F6B"/>
    <w:rsid w:val="008C6567"/>
    <w:rsid w:val="008C6B6F"/>
    <w:rsid w:val="008C764E"/>
    <w:rsid w:val="008D0041"/>
    <w:rsid w:val="008D0D64"/>
    <w:rsid w:val="008D1451"/>
    <w:rsid w:val="008D1E07"/>
    <w:rsid w:val="008D332D"/>
    <w:rsid w:val="008D36C9"/>
    <w:rsid w:val="008D44E1"/>
    <w:rsid w:val="008D4579"/>
    <w:rsid w:val="008D5743"/>
    <w:rsid w:val="008D5884"/>
    <w:rsid w:val="008D58D5"/>
    <w:rsid w:val="008D5A8D"/>
    <w:rsid w:val="008D5C8F"/>
    <w:rsid w:val="008D6ED8"/>
    <w:rsid w:val="008D77D6"/>
    <w:rsid w:val="008E0D4E"/>
    <w:rsid w:val="008E1548"/>
    <w:rsid w:val="008E2508"/>
    <w:rsid w:val="008E2BAD"/>
    <w:rsid w:val="008E2CF1"/>
    <w:rsid w:val="008E3E45"/>
    <w:rsid w:val="008E3F91"/>
    <w:rsid w:val="008E4062"/>
    <w:rsid w:val="008E40E6"/>
    <w:rsid w:val="008E46BE"/>
    <w:rsid w:val="008E4FC1"/>
    <w:rsid w:val="008E55E7"/>
    <w:rsid w:val="008E5A88"/>
    <w:rsid w:val="008E5D0D"/>
    <w:rsid w:val="008E5F2E"/>
    <w:rsid w:val="008E61E6"/>
    <w:rsid w:val="008E747A"/>
    <w:rsid w:val="008E7DFE"/>
    <w:rsid w:val="008F0221"/>
    <w:rsid w:val="008F082A"/>
    <w:rsid w:val="008F0965"/>
    <w:rsid w:val="008F0B9F"/>
    <w:rsid w:val="008F0CDF"/>
    <w:rsid w:val="008F1173"/>
    <w:rsid w:val="008F131C"/>
    <w:rsid w:val="008F16B7"/>
    <w:rsid w:val="008F179D"/>
    <w:rsid w:val="008F2076"/>
    <w:rsid w:val="008F219E"/>
    <w:rsid w:val="008F26C0"/>
    <w:rsid w:val="008F27EF"/>
    <w:rsid w:val="008F2FF6"/>
    <w:rsid w:val="008F3287"/>
    <w:rsid w:val="008F34A5"/>
    <w:rsid w:val="008F3B7F"/>
    <w:rsid w:val="008F42E7"/>
    <w:rsid w:val="008F43C8"/>
    <w:rsid w:val="008F47FD"/>
    <w:rsid w:val="008F4C07"/>
    <w:rsid w:val="008F4EE3"/>
    <w:rsid w:val="008F4FB9"/>
    <w:rsid w:val="008F4FBC"/>
    <w:rsid w:val="008F4FCB"/>
    <w:rsid w:val="008F53DE"/>
    <w:rsid w:val="008F596D"/>
    <w:rsid w:val="008F59AB"/>
    <w:rsid w:val="008F59F4"/>
    <w:rsid w:val="008F5C2F"/>
    <w:rsid w:val="008F6453"/>
    <w:rsid w:val="008F6AE9"/>
    <w:rsid w:val="008F7C3D"/>
    <w:rsid w:val="00900CDF"/>
    <w:rsid w:val="009016E4"/>
    <w:rsid w:val="009027DF"/>
    <w:rsid w:val="00902FEA"/>
    <w:rsid w:val="00903C60"/>
    <w:rsid w:val="00904D18"/>
    <w:rsid w:val="00904DE0"/>
    <w:rsid w:val="0090586E"/>
    <w:rsid w:val="0090611A"/>
    <w:rsid w:val="00906422"/>
    <w:rsid w:val="00906939"/>
    <w:rsid w:val="00906A17"/>
    <w:rsid w:val="00906F5D"/>
    <w:rsid w:val="00906F78"/>
    <w:rsid w:val="0090710F"/>
    <w:rsid w:val="009076B9"/>
    <w:rsid w:val="009079F3"/>
    <w:rsid w:val="00910663"/>
    <w:rsid w:val="009110FF"/>
    <w:rsid w:val="00911818"/>
    <w:rsid w:val="009126D0"/>
    <w:rsid w:val="00912F56"/>
    <w:rsid w:val="00913463"/>
    <w:rsid w:val="009134C8"/>
    <w:rsid w:val="00913DA1"/>
    <w:rsid w:val="00913DB0"/>
    <w:rsid w:val="00913DE6"/>
    <w:rsid w:val="00913FB5"/>
    <w:rsid w:val="00914121"/>
    <w:rsid w:val="009142EC"/>
    <w:rsid w:val="0091443B"/>
    <w:rsid w:val="009144FE"/>
    <w:rsid w:val="00914CA6"/>
    <w:rsid w:val="0091587C"/>
    <w:rsid w:val="00915AE8"/>
    <w:rsid w:val="00916EF2"/>
    <w:rsid w:val="00916F09"/>
    <w:rsid w:val="0091717A"/>
    <w:rsid w:val="00917A6F"/>
    <w:rsid w:val="00917E8E"/>
    <w:rsid w:val="00920770"/>
    <w:rsid w:val="00920C54"/>
    <w:rsid w:val="00920F8E"/>
    <w:rsid w:val="0092123A"/>
    <w:rsid w:val="00921488"/>
    <w:rsid w:val="00921FCD"/>
    <w:rsid w:val="009229AD"/>
    <w:rsid w:val="009231FD"/>
    <w:rsid w:val="009240EF"/>
    <w:rsid w:val="0092514A"/>
    <w:rsid w:val="0092546B"/>
    <w:rsid w:val="009255A7"/>
    <w:rsid w:val="00925787"/>
    <w:rsid w:val="009261F5"/>
    <w:rsid w:val="009265F5"/>
    <w:rsid w:val="009266A4"/>
    <w:rsid w:val="00926C09"/>
    <w:rsid w:val="009271E9"/>
    <w:rsid w:val="00931845"/>
    <w:rsid w:val="00931864"/>
    <w:rsid w:val="00931C5F"/>
    <w:rsid w:val="00931FD6"/>
    <w:rsid w:val="00931FDD"/>
    <w:rsid w:val="00932F7F"/>
    <w:rsid w:val="00933368"/>
    <w:rsid w:val="009333DA"/>
    <w:rsid w:val="00933865"/>
    <w:rsid w:val="00934544"/>
    <w:rsid w:val="00934849"/>
    <w:rsid w:val="00934F65"/>
    <w:rsid w:val="00935694"/>
    <w:rsid w:val="0093581C"/>
    <w:rsid w:val="00935823"/>
    <w:rsid w:val="00936421"/>
    <w:rsid w:val="00936858"/>
    <w:rsid w:val="00937881"/>
    <w:rsid w:val="00940284"/>
    <w:rsid w:val="00940385"/>
    <w:rsid w:val="009404B5"/>
    <w:rsid w:val="00940FFB"/>
    <w:rsid w:val="00942089"/>
    <w:rsid w:val="009423DE"/>
    <w:rsid w:val="00943A2C"/>
    <w:rsid w:val="009442F8"/>
    <w:rsid w:val="00944586"/>
    <w:rsid w:val="009447CE"/>
    <w:rsid w:val="00945A2B"/>
    <w:rsid w:val="00946038"/>
    <w:rsid w:val="00946661"/>
    <w:rsid w:val="00946743"/>
    <w:rsid w:val="00947413"/>
    <w:rsid w:val="00947567"/>
    <w:rsid w:val="00947B7D"/>
    <w:rsid w:val="00950262"/>
    <w:rsid w:val="00950570"/>
    <w:rsid w:val="00952211"/>
    <w:rsid w:val="0095430B"/>
    <w:rsid w:val="00955675"/>
    <w:rsid w:val="00956756"/>
    <w:rsid w:val="00956B6A"/>
    <w:rsid w:val="009573AC"/>
    <w:rsid w:val="009574AC"/>
    <w:rsid w:val="00957705"/>
    <w:rsid w:val="00957772"/>
    <w:rsid w:val="00957F05"/>
    <w:rsid w:val="0096022A"/>
    <w:rsid w:val="00961806"/>
    <w:rsid w:val="00961950"/>
    <w:rsid w:val="009622D5"/>
    <w:rsid w:val="0096250D"/>
    <w:rsid w:val="0096289D"/>
    <w:rsid w:val="00962D38"/>
    <w:rsid w:val="009634DD"/>
    <w:rsid w:val="00963544"/>
    <w:rsid w:val="00963E09"/>
    <w:rsid w:val="00964227"/>
    <w:rsid w:val="009648D7"/>
    <w:rsid w:val="00964A77"/>
    <w:rsid w:val="009654D3"/>
    <w:rsid w:val="009659CA"/>
    <w:rsid w:val="00965CB8"/>
    <w:rsid w:val="00966048"/>
    <w:rsid w:val="00966E1A"/>
    <w:rsid w:val="0096720A"/>
    <w:rsid w:val="00967518"/>
    <w:rsid w:val="009679AC"/>
    <w:rsid w:val="00967C96"/>
    <w:rsid w:val="00967D44"/>
    <w:rsid w:val="00970596"/>
    <w:rsid w:val="00971057"/>
    <w:rsid w:val="0097111B"/>
    <w:rsid w:val="00971CD9"/>
    <w:rsid w:val="00972625"/>
    <w:rsid w:val="0097262A"/>
    <w:rsid w:val="00973A0A"/>
    <w:rsid w:val="009743FB"/>
    <w:rsid w:val="00974768"/>
    <w:rsid w:val="00974931"/>
    <w:rsid w:val="00974D0D"/>
    <w:rsid w:val="00974DC1"/>
    <w:rsid w:val="00975A10"/>
    <w:rsid w:val="00975CAD"/>
    <w:rsid w:val="009760C1"/>
    <w:rsid w:val="009760FA"/>
    <w:rsid w:val="0097663C"/>
    <w:rsid w:val="009766BA"/>
    <w:rsid w:val="00977E6E"/>
    <w:rsid w:val="00980D5C"/>
    <w:rsid w:val="0098167D"/>
    <w:rsid w:val="00981B1B"/>
    <w:rsid w:val="00982296"/>
    <w:rsid w:val="009825C6"/>
    <w:rsid w:val="00982788"/>
    <w:rsid w:val="00982834"/>
    <w:rsid w:val="00982F51"/>
    <w:rsid w:val="00983211"/>
    <w:rsid w:val="00983BC0"/>
    <w:rsid w:val="0098437D"/>
    <w:rsid w:val="00984DAA"/>
    <w:rsid w:val="0098531B"/>
    <w:rsid w:val="00985A7C"/>
    <w:rsid w:val="0098601C"/>
    <w:rsid w:val="0098667D"/>
    <w:rsid w:val="0098764E"/>
    <w:rsid w:val="0099029F"/>
    <w:rsid w:val="00990422"/>
    <w:rsid w:val="00990DE8"/>
    <w:rsid w:val="00990FC0"/>
    <w:rsid w:val="00991916"/>
    <w:rsid w:val="009931D8"/>
    <w:rsid w:val="0099394D"/>
    <w:rsid w:val="00994572"/>
    <w:rsid w:val="009945EF"/>
    <w:rsid w:val="00994AC9"/>
    <w:rsid w:val="00995424"/>
    <w:rsid w:val="00995711"/>
    <w:rsid w:val="00995AE9"/>
    <w:rsid w:val="0099610F"/>
    <w:rsid w:val="00996177"/>
    <w:rsid w:val="00996626"/>
    <w:rsid w:val="00996694"/>
    <w:rsid w:val="009A028D"/>
    <w:rsid w:val="009A039A"/>
    <w:rsid w:val="009A03BD"/>
    <w:rsid w:val="009A0BA2"/>
    <w:rsid w:val="009A1EA3"/>
    <w:rsid w:val="009A209F"/>
    <w:rsid w:val="009A2F5E"/>
    <w:rsid w:val="009A3474"/>
    <w:rsid w:val="009A38D8"/>
    <w:rsid w:val="009A3959"/>
    <w:rsid w:val="009A3CE9"/>
    <w:rsid w:val="009A5186"/>
    <w:rsid w:val="009A5420"/>
    <w:rsid w:val="009A572B"/>
    <w:rsid w:val="009A5EF7"/>
    <w:rsid w:val="009A5F76"/>
    <w:rsid w:val="009A6881"/>
    <w:rsid w:val="009A6AAF"/>
    <w:rsid w:val="009A797E"/>
    <w:rsid w:val="009A7CDF"/>
    <w:rsid w:val="009B0703"/>
    <w:rsid w:val="009B0837"/>
    <w:rsid w:val="009B1256"/>
    <w:rsid w:val="009B1260"/>
    <w:rsid w:val="009B1494"/>
    <w:rsid w:val="009B17F4"/>
    <w:rsid w:val="009B1EF7"/>
    <w:rsid w:val="009B21ED"/>
    <w:rsid w:val="009B289D"/>
    <w:rsid w:val="009B29C9"/>
    <w:rsid w:val="009B2D9C"/>
    <w:rsid w:val="009B34AE"/>
    <w:rsid w:val="009B3842"/>
    <w:rsid w:val="009B39BB"/>
    <w:rsid w:val="009B4081"/>
    <w:rsid w:val="009B4C1B"/>
    <w:rsid w:val="009B64B5"/>
    <w:rsid w:val="009B7AE2"/>
    <w:rsid w:val="009B7E06"/>
    <w:rsid w:val="009C0CE3"/>
    <w:rsid w:val="009C0F39"/>
    <w:rsid w:val="009C10D6"/>
    <w:rsid w:val="009C13D5"/>
    <w:rsid w:val="009C18A5"/>
    <w:rsid w:val="009C2099"/>
    <w:rsid w:val="009C27D6"/>
    <w:rsid w:val="009C3218"/>
    <w:rsid w:val="009C4604"/>
    <w:rsid w:val="009C47A0"/>
    <w:rsid w:val="009C5238"/>
    <w:rsid w:val="009C5851"/>
    <w:rsid w:val="009C59D9"/>
    <w:rsid w:val="009C64AF"/>
    <w:rsid w:val="009C671A"/>
    <w:rsid w:val="009C6CC6"/>
    <w:rsid w:val="009C6CF6"/>
    <w:rsid w:val="009C70C3"/>
    <w:rsid w:val="009C72F7"/>
    <w:rsid w:val="009D033D"/>
    <w:rsid w:val="009D07DF"/>
    <w:rsid w:val="009D1AA5"/>
    <w:rsid w:val="009D37FF"/>
    <w:rsid w:val="009D414F"/>
    <w:rsid w:val="009D48EA"/>
    <w:rsid w:val="009D49E3"/>
    <w:rsid w:val="009D5389"/>
    <w:rsid w:val="009D61E2"/>
    <w:rsid w:val="009D6460"/>
    <w:rsid w:val="009D7488"/>
    <w:rsid w:val="009E00FA"/>
    <w:rsid w:val="009E14E8"/>
    <w:rsid w:val="009E18E1"/>
    <w:rsid w:val="009E2579"/>
    <w:rsid w:val="009E2D66"/>
    <w:rsid w:val="009E2D81"/>
    <w:rsid w:val="009E30C9"/>
    <w:rsid w:val="009E3BD7"/>
    <w:rsid w:val="009E487F"/>
    <w:rsid w:val="009E4C55"/>
    <w:rsid w:val="009E51D8"/>
    <w:rsid w:val="009E5221"/>
    <w:rsid w:val="009E5341"/>
    <w:rsid w:val="009E64CE"/>
    <w:rsid w:val="009E7134"/>
    <w:rsid w:val="009E7A37"/>
    <w:rsid w:val="009E7CA3"/>
    <w:rsid w:val="009F0025"/>
    <w:rsid w:val="009F1238"/>
    <w:rsid w:val="009F1A73"/>
    <w:rsid w:val="009F1F62"/>
    <w:rsid w:val="009F2729"/>
    <w:rsid w:val="009F27B4"/>
    <w:rsid w:val="009F2848"/>
    <w:rsid w:val="009F316F"/>
    <w:rsid w:val="009F3579"/>
    <w:rsid w:val="009F3984"/>
    <w:rsid w:val="009F3EC6"/>
    <w:rsid w:val="009F4EE3"/>
    <w:rsid w:val="009F5762"/>
    <w:rsid w:val="009F5F21"/>
    <w:rsid w:val="009F6E5C"/>
    <w:rsid w:val="009F7233"/>
    <w:rsid w:val="009F7ABE"/>
    <w:rsid w:val="009F7BE1"/>
    <w:rsid w:val="00A00553"/>
    <w:rsid w:val="00A00A21"/>
    <w:rsid w:val="00A01788"/>
    <w:rsid w:val="00A02891"/>
    <w:rsid w:val="00A03DD5"/>
    <w:rsid w:val="00A03EFB"/>
    <w:rsid w:val="00A04571"/>
    <w:rsid w:val="00A045C2"/>
    <w:rsid w:val="00A04694"/>
    <w:rsid w:val="00A04C3A"/>
    <w:rsid w:val="00A04FA7"/>
    <w:rsid w:val="00A050B6"/>
    <w:rsid w:val="00A05282"/>
    <w:rsid w:val="00A053A1"/>
    <w:rsid w:val="00A05A3F"/>
    <w:rsid w:val="00A05A41"/>
    <w:rsid w:val="00A062AD"/>
    <w:rsid w:val="00A06CB3"/>
    <w:rsid w:val="00A072FB"/>
    <w:rsid w:val="00A074CA"/>
    <w:rsid w:val="00A07ABD"/>
    <w:rsid w:val="00A07C69"/>
    <w:rsid w:val="00A07EE2"/>
    <w:rsid w:val="00A100AE"/>
    <w:rsid w:val="00A10CD2"/>
    <w:rsid w:val="00A1152A"/>
    <w:rsid w:val="00A118A6"/>
    <w:rsid w:val="00A11B64"/>
    <w:rsid w:val="00A11F87"/>
    <w:rsid w:val="00A11F96"/>
    <w:rsid w:val="00A1289E"/>
    <w:rsid w:val="00A12EE5"/>
    <w:rsid w:val="00A138DC"/>
    <w:rsid w:val="00A13E31"/>
    <w:rsid w:val="00A1412A"/>
    <w:rsid w:val="00A15FCF"/>
    <w:rsid w:val="00A16246"/>
    <w:rsid w:val="00A162C8"/>
    <w:rsid w:val="00A16B91"/>
    <w:rsid w:val="00A16BD6"/>
    <w:rsid w:val="00A16D60"/>
    <w:rsid w:val="00A16E9D"/>
    <w:rsid w:val="00A170C2"/>
    <w:rsid w:val="00A1716C"/>
    <w:rsid w:val="00A17E0C"/>
    <w:rsid w:val="00A17FE9"/>
    <w:rsid w:val="00A207D7"/>
    <w:rsid w:val="00A20EFF"/>
    <w:rsid w:val="00A21162"/>
    <w:rsid w:val="00A22BE6"/>
    <w:rsid w:val="00A22C10"/>
    <w:rsid w:val="00A22D31"/>
    <w:rsid w:val="00A23B0F"/>
    <w:rsid w:val="00A23B7B"/>
    <w:rsid w:val="00A23C18"/>
    <w:rsid w:val="00A23C35"/>
    <w:rsid w:val="00A24266"/>
    <w:rsid w:val="00A2434F"/>
    <w:rsid w:val="00A24618"/>
    <w:rsid w:val="00A24758"/>
    <w:rsid w:val="00A24FC1"/>
    <w:rsid w:val="00A255AC"/>
    <w:rsid w:val="00A2580E"/>
    <w:rsid w:val="00A25D2B"/>
    <w:rsid w:val="00A26C26"/>
    <w:rsid w:val="00A26D5E"/>
    <w:rsid w:val="00A27350"/>
    <w:rsid w:val="00A3068D"/>
    <w:rsid w:val="00A30B43"/>
    <w:rsid w:val="00A30B7F"/>
    <w:rsid w:val="00A32533"/>
    <w:rsid w:val="00A32BCB"/>
    <w:rsid w:val="00A33836"/>
    <w:rsid w:val="00A33963"/>
    <w:rsid w:val="00A33C4E"/>
    <w:rsid w:val="00A34EB5"/>
    <w:rsid w:val="00A34FC5"/>
    <w:rsid w:val="00A3550F"/>
    <w:rsid w:val="00A3590E"/>
    <w:rsid w:val="00A35A81"/>
    <w:rsid w:val="00A36239"/>
    <w:rsid w:val="00A364FB"/>
    <w:rsid w:val="00A3676A"/>
    <w:rsid w:val="00A36A6E"/>
    <w:rsid w:val="00A40CFC"/>
    <w:rsid w:val="00A40D38"/>
    <w:rsid w:val="00A41919"/>
    <w:rsid w:val="00A41C00"/>
    <w:rsid w:val="00A428CA"/>
    <w:rsid w:val="00A42B30"/>
    <w:rsid w:val="00A43F47"/>
    <w:rsid w:val="00A45C08"/>
    <w:rsid w:val="00A46607"/>
    <w:rsid w:val="00A4662F"/>
    <w:rsid w:val="00A4675C"/>
    <w:rsid w:val="00A4715A"/>
    <w:rsid w:val="00A47568"/>
    <w:rsid w:val="00A500BB"/>
    <w:rsid w:val="00A50D0F"/>
    <w:rsid w:val="00A50F55"/>
    <w:rsid w:val="00A510C1"/>
    <w:rsid w:val="00A5189D"/>
    <w:rsid w:val="00A525DE"/>
    <w:rsid w:val="00A533BC"/>
    <w:rsid w:val="00A533D2"/>
    <w:rsid w:val="00A536B5"/>
    <w:rsid w:val="00A537A1"/>
    <w:rsid w:val="00A53B8D"/>
    <w:rsid w:val="00A54A0A"/>
    <w:rsid w:val="00A54B47"/>
    <w:rsid w:val="00A557F2"/>
    <w:rsid w:val="00A55840"/>
    <w:rsid w:val="00A55953"/>
    <w:rsid w:val="00A55998"/>
    <w:rsid w:val="00A55A19"/>
    <w:rsid w:val="00A57E52"/>
    <w:rsid w:val="00A600E9"/>
    <w:rsid w:val="00A60832"/>
    <w:rsid w:val="00A60AB1"/>
    <w:rsid w:val="00A60E50"/>
    <w:rsid w:val="00A61255"/>
    <w:rsid w:val="00A61EB0"/>
    <w:rsid w:val="00A63859"/>
    <w:rsid w:val="00A63F11"/>
    <w:rsid w:val="00A64180"/>
    <w:rsid w:val="00A655C6"/>
    <w:rsid w:val="00A66303"/>
    <w:rsid w:val="00A66A3A"/>
    <w:rsid w:val="00A66E83"/>
    <w:rsid w:val="00A6722A"/>
    <w:rsid w:val="00A674AD"/>
    <w:rsid w:val="00A6767F"/>
    <w:rsid w:val="00A67BFD"/>
    <w:rsid w:val="00A67C08"/>
    <w:rsid w:val="00A67C29"/>
    <w:rsid w:val="00A67E20"/>
    <w:rsid w:val="00A708A8"/>
    <w:rsid w:val="00A727AD"/>
    <w:rsid w:val="00A729D9"/>
    <w:rsid w:val="00A72BDB"/>
    <w:rsid w:val="00A736A0"/>
    <w:rsid w:val="00A74199"/>
    <w:rsid w:val="00A7456F"/>
    <w:rsid w:val="00A74E96"/>
    <w:rsid w:val="00A756C4"/>
    <w:rsid w:val="00A7653A"/>
    <w:rsid w:val="00A767E5"/>
    <w:rsid w:val="00A76E5A"/>
    <w:rsid w:val="00A77225"/>
    <w:rsid w:val="00A77ED1"/>
    <w:rsid w:val="00A828A9"/>
    <w:rsid w:val="00A828C3"/>
    <w:rsid w:val="00A83450"/>
    <w:rsid w:val="00A8358B"/>
    <w:rsid w:val="00A83651"/>
    <w:rsid w:val="00A83C06"/>
    <w:rsid w:val="00A84497"/>
    <w:rsid w:val="00A847E7"/>
    <w:rsid w:val="00A84AA6"/>
    <w:rsid w:val="00A84C32"/>
    <w:rsid w:val="00A850F8"/>
    <w:rsid w:val="00A85382"/>
    <w:rsid w:val="00A85F85"/>
    <w:rsid w:val="00A866A4"/>
    <w:rsid w:val="00A86EA3"/>
    <w:rsid w:val="00A90321"/>
    <w:rsid w:val="00A90922"/>
    <w:rsid w:val="00A91196"/>
    <w:rsid w:val="00A91D01"/>
    <w:rsid w:val="00A91F83"/>
    <w:rsid w:val="00A92761"/>
    <w:rsid w:val="00A93E52"/>
    <w:rsid w:val="00A94072"/>
    <w:rsid w:val="00A9417D"/>
    <w:rsid w:val="00A943A9"/>
    <w:rsid w:val="00A945F9"/>
    <w:rsid w:val="00A94B58"/>
    <w:rsid w:val="00A94EA2"/>
    <w:rsid w:val="00A95597"/>
    <w:rsid w:val="00A95629"/>
    <w:rsid w:val="00A957F7"/>
    <w:rsid w:val="00A95A41"/>
    <w:rsid w:val="00A962B8"/>
    <w:rsid w:val="00A9711E"/>
    <w:rsid w:val="00A973A5"/>
    <w:rsid w:val="00A97517"/>
    <w:rsid w:val="00A9785F"/>
    <w:rsid w:val="00AA0B6E"/>
    <w:rsid w:val="00AA0CC7"/>
    <w:rsid w:val="00AA13EA"/>
    <w:rsid w:val="00AA145E"/>
    <w:rsid w:val="00AA1649"/>
    <w:rsid w:val="00AA1C66"/>
    <w:rsid w:val="00AA278D"/>
    <w:rsid w:val="00AA2CCE"/>
    <w:rsid w:val="00AA3426"/>
    <w:rsid w:val="00AA4028"/>
    <w:rsid w:val="00AA42CC"/>
    <w:rsid w:val="00AA4AE1"/>
    <w:rsid w:val="00AA5247"/>
    <w:rsid w:val="00AA57C0"/>
    <w:rsid w:val="00AA5B47"/>
    <w:rsid w:val="00AA5FDC"/>
    <w:rsid w:val="00AA6052"/>
    <w:rsid w:val="00AA654D"/>
    <w:rsid w:val="00AA7B8B"/>
    <w:rsid w:val="00AB0DF2"/>
    <w:rsid w:val="00AB0F26"/>
    <w:rsid w:val="00AB1E8C"/>
    <w:rsid w:val="00AB3C65"/>
    <w:rsid w:val="00AB3DCF"/>
    <w:rsid w:val="00AB433F"/>
    <w:rsid w:val="00AB4BD9"/>
    <w:rsid w:val="00AB4C9D"/>
    <w:rsid w:val="00AB5897"/>
    <w:rsid w:val="00AB5B1A"/>
    <w:rsid w:val="00AB674B"/>
    <w:rsid w:val="00AB7FEE"/>
    <w:rsid w:val="00AC0C84"/>
    <w:rsid w:val="00AC0DE2"/>
    <w:rsid w:val="00AC15C3"/>
    <w:rsid w:val="00AC18A9"/>
    <w:rsid w:val="00AC2373"/>
    <w:rsid w:val="00AC2608"/>
    <w:rsid w:val="00AC26C1"/>
    <w:rsid w:val="00AC35F0"/>
    <w:rsid w:val="00AC41F3"/>
    <w:rsid w:val="00AC450C"/>
    <w:rsid w:val="00AC47D1"/>
    <w:rsid w:val="00AC4DC8"/>
    <w:rsid w:val="00AC5122"/>
    <w:rsid w:val="00AC577E"/>
    <w:rsid w:val="00AC59EA"/>
    <w:rsid w:val="00AC59EF"/>
    <w:rsid w:val="00AC6383"/>
    <w:rsid w:val="00AC66C1"/>
    <w:rsid w:val="00AC71E0"/>
    <w:rsid w:val="00AC73AC"/>
    <w:rsid w:val="00AD0566"/>
    <w:rsid w:val="00AD0B58"/>
    <w:rsid w:val="00AD144E"/>
    <w:rsid w:val="00AD17F9"/>
    <w:rsid w:val="00AD212C"/>
    <w:rsid w:val="00AD2193"/>
    <w:rsid w:val="00AD2AB3"/>
    <w:rsid w:val="00AD3587"/>
    <w:rsid w:val="00AD53C9"/>
    <w:rsid w:val="00AD6276"/>
    <w:rsid w:val="00AD670C"/>
    <w:rsid w:val="00AD6831"/>
    <w:rsid w:val="00AD6A7C"/>
    <w:rsid w:val="00AD7859"/>
    <w:rsid w:val="00AD790B"/>
    <w:rsid w:val="00AD79B4"/>
    <w:rsid w:val="00AD7CA4"/>
    <w:rsid w:val="00AE07B3"/>
    <w:rsid w:val="00AE0BFC"/>
    <w:rsid w:val="00AE1EC1"/>
    <w:rsid w:val="00AE24BD"/>
    <w:rsid w:val="00AE2773"/>
    <w:rsid w:val="00AE30E2"/>
    <w:rsid w:val="00AE4E2D"/>
    <w:rsid w:val="00AE54B7"/>
    <w:rsid w:val="00AE6417"/>
    <w:rsid w:val="00AE67A9"/>
    <w:rsid w:val="00AF0BB5"/>
    <w:rsid w:val="00AF0E51"/>
    <w:rsid w:val="00AF207F"/>
    <w:rsid w:val="00AF21C9"/>
    <w:rsid w:val="00AF268F"/>
    <w:rsid w:val="00AF2B84"/>
    <w:rsid w:val="00AF31F1"/>
    <w:rsid w:val="00AF3271"/>
    <w:rsid w:val="00AF37FE"/>
    <w:rsid w:val="00AF4241"/>
    <w:rsid w:val="00AF47F8"/>
    <w:rsid w:val="00AF48DD"/>
    <w:rsid w:val="00AF575A"/>
    <w:rsid w:val="00AF5D93"/>
    <w:rsid w:val="00AF628A"/>
    <w:rsid w:val="00AF6542"/>
    <w:rsid w:val="00AF6866"/>
    <w:rsid w:val="00AF6876"/>
    <w:rsid w:val="00AF7B7B"/>
    <w:rsid w:val="00B006DE"/>
    <w:rsid w:val="00B00A20"/>
    <w:rsid w:val="00B00B30"/>
    <w:rsid w:val="00B00E49"/>
    <w:rsid w:val="00B00F7E"/>
    <w:rsid w:val="00B0295F"/>
    <w:rsid w:val="00B02A69"/>
    <w:rsid w:val="00B03232"/>
    <w:rsid w:val="00B04947"/>
    <w:rsid w:val="00B04F3B"/>
    <w:rsid w:val="00B05332"/>
    <w:rsid w:val="00B055B5"/>
    <w:rsid w:val="00B05B16"/>
    <w:rsid w:val="00B05C31"/>
    <w:rsid w:val="00B074E0"/>
    <w:rsid w:val="00B10583"/>
    <w:rsid w:val="00B10A9F"/>
    <w:rsid w:val="00B11DAC"/>
    <w:rsid w:val="00B1206B"/>
    <w:rsid w:val="00B12A1E"/>
    <w:rsid w:val="00B12CF1"/>
    <w:rsid w:val="00B12EB4"/>
    <w:rsid w:val="00B13B8D"/>
    <w:rsid w:val="00B13C47"/>
    <w:rsid w:val="00B13D9E"/>
    <w:rsid w:val="00B1457A"/>
    <w:rsid w:val="00B1480D"/>
    <w:rsid w:val="00B15F36"/>
    <w:rsid w:val="00B200CB"/>
    <w:rsid w:val="00B2036D"/>
    <w:rsid w:val="00B20597"/>
    <w:rsid w:val="00B20825"/>
    <w:rsid w:val="00B20AA2"/>
    <w:rsid w:val="00B20CE0"/>
    <w:rsid w:val="00B21AE4"/>
    <w:rsid w:val="00B220F7"/>
    <w:rsid w:val="00B221D9"/>
    <w:rsid w:val="00B227CF"/>
    <w:rsid w:val="00B22AA2"/>
    <w:rsid w:val="00B22F1F"/>
    <w:rsid w:val="00B232BF"/>
    <w:rsid w:val="00B2331F"/>
    <w:rsid w:val="00B23C8F"/>
    <w:rsid w:val="00B247F6"/>
    <w:rsid w:val="00B24C80"/>
    <w:rsid w:val="00B250FF"/>
    <w:rsid w:val="00B25F5D"/>
    <w:rsid w:val="00B276FB"/>
    <w:rsid w:val="00B27A49"/>
    <w:rsid w:val="00B30250"/>
    <w:rsid w:val="00B309A9"/>
    <w:rsid w:val="00B30CFE"/>
    <w:rsid w:val="00B316F3"/>
    <w:rsid w:val="00B32A8F"/>
    <w:rsid w:val="00B32B78"/>
    <w:rsid w:val="00B32EB6"/>
    <w:rsid w:val="00B32F96"/>
    <w:rsid w:val="00B339E6"/>
    <w:rsid w:val="00B33A9C"/>
    <w:rsid w:val="00B34725"/>
    <w:rsid w:val="00B3495C"/>
    <w:rsid w:val="00B34E3A"/>
    <w:rsid w:val="00B35FF4"/>
    <w:rsid w:val="00B36112"/>
    <w:rsid w:val="00B3667A"/>
    <w:rsid w:val="00B36BF2"/>
    <w:rsid w:val="00B36DCC"/>
    <w:rsid w:val="00B36DE3"/>
    <w:rsid w:val="00B40456"/>
    <w:rsid w:val="00B40934"/>
    <w:rsid w:val="00B4096C"/>
    <w:rsid w:val="00B40BA6"/>
    <w:rsid w:val="00B40EF2"/>
    <w:rsid w:val="00B41416"/>
    <w:rsid w:val="00B41B7F"/>
    <w:rsid w:val="00B421A0"/>
    <w:rsid w:val="00B4288F"/>
    <w:rsid w:val="00B4299F"/>
    <w:rsid w:val="00B43179"/>
    <w:rsid w:val="00B431A5"/>
    <w:rsid w:val="00B4330D"/>
    <w:rsid w:val="00B44647"/>
    <w:rsid w:val="00B4530B"/>
    <w:rsid w:val="00B45407"/>
    <w:rsid w:val="00B45A96"/>
    <w:rsid w:val="00B45B08"/>
    <w:rsid w:val="00B45E4A"/>
    <w:rsid w:val="00B460A5"/>
    <w:rsid w:val="00B47206"/>
    <w:rsid w:val="00B47624"/>
    <w:rsid w:val="00B476C3"/>
    <w:rsid w:val="00B47CD8"/>
    <w:rsid w:val="00B50699"/>
    <w:rsid w:val="00B5092C"/>
    <w:rsid w:val="00B50F83"/>
    <w:rsid w:val="00B5176C"/>
    <w:rsid w:val="00B519B9"/>
    <w:rsid w:val="00B51B70"/>
    <w:rsid w:val="00B51C3C"/>
    <w:rsid w:val="00B5251D"/>
    <w:rsid w:val="00B527B5"/>
    <w:rsid w:val="00B528A4"/>
    <w:rsid w:val="00B52D0F"/>
    <w:rsid w:val="00B5359C"/>
    <w:rsid w:val="00B54B51"/>
    <w:rsid w:val="00B54FAF"/>
    <w:rsid w:val="00B55409"/>
    <w:rsid w:val="00B5616C"/>
    <w:rsid w:val="00B563BC"/>
    <w:rsid w:val="00B57A17"/>
    <w:rsid w:val="00B57D3B"/>
    <w:rsid w:val="00B6057A"/>
    <w:rsid w:val="00B608EA"/>
    <w:rsid w:val="00B60B45"/>
    <w:rsid w:val="00B60C36"/>
    <w:rsid w:val="00B6114E"/>
    <w:rsid w:val="00B6132D"/>
    <w:rsid w:val="00B61599"/>
    <w:rsid w:val="00B61B3E"/>
    <w:rsid w:val="00B61D91"/>
    <w:rsid w:val="00B61E6D"/>
    <w:rsid w:val="00B61F04"/>
    <w:rsid w:val="00B61F13"/>
    <w:rsid w:val="00B6222F"/>
    <w:rsid w:val="00B6251D"/>
    <w:rsid w:val="00B62933"/>
    <w:rsid w:val="00B62A5D"/>
    <w:rsid w:val="00B62FF8"/>
    <w:rsid w:val="00B63C08"/>
    <w:rsid w:val="00B64487"/>
    <w:rsid w:val="00B6585C"/>
    <w:rsid w:val="00B65B71"/>
    <w:rsid w:val="00B66908"/>
    <w:rsid w:val="00B66B53"/>
    <w:rsid w:val="00B66C02"/>
    <w:rsid w:val="00B66D65"/>
    <w:rsid w:val="00B6717B"/>
    <w:rsid w:val="00B67400"/>
    <w:rsid w:val="00B674AA"/>
    <w:rsid w:val="00B6771E"/>
    <w:rsid w:val="00B704C3"/>
    <w:rsid w:val="00B7054C"/>
    <w:rsid w:val="00B716B2"/>
    <w:rsid w:val="00B71A43"/>
    <w:rsid w:val="00B722FE"/>
    <w:rsid w:val="00B7261A"/>
    <w:rsid w:val="00B73018"/>
    <w:rsid w:val="00B7301B"/>
    <w:rsid w:val="00B73026"/>
    <w:rsid w:val="00B73237"/>
    <w:rsid w:val="00B73291"/>
    <w:rsid w:val="00B738C0"/>
    <w:rsid w:val="00B7407C"/>
    <w:rsid w:val="00B74347"/>
    <w:rsid w:val="00B7508E"/>
    <w:rsid w:val="00B759D9"/>
    <w:rsid w:val="00B76114"/>
    <w:rsid w:val="00B7634E"/>
    <w:rsid w:val="00B77613"/>
    <w:rsid w:val="00B77B96"/>
    <w:rsid w:val="00B8090D"/>
    <w:rsid w:val="00B81A3B"/>
    <w:rsid w:val="00B81B86"/>
    <w:rsid w:val="00B82950"/>
    <w:rsid w:val="00B8310F"/>
    <w:rsid w:val="00B834A2"/>
    <w:rsid w:val="00B836F8"/>
    <w:rsid w:val="00B838D0"/>
    <w:rsid w:val="00B839F3"/>
    <w:rsid w:val="00B83BD2"/>
    <w:rsid w:val="00B83CC1"/>
    <w:rsid w:val="00B83FE9"/>
    <w:rsid w:val="00B84882"/>
    <w:rsid w:val="00B84C5D"/>
    <w:rsid w:val="00B859EB"/>
    <w:rsid w:val="00B8689E"/>
    <w:rsid w:val="00B8704B"/>
    <w:rsid w:val="00B87C74"/>
    <w:rsid w:val="00B9011E"/>
    <w:rsid w:val="00B9138D"/>
    <w:rsid w:val="00B91AA2"/>
    <w:rsid w:val="00B91F78"/>
    <w:rsid w:val="00B921FA"/>
    <w:rsid w:val="00B92FA6"/>
    <w:rsid w:val="00B93079"/>
    <w:rsid w:val="00B933D0"/>
    <w:rsid w:val="00B935B1"/>
    <w:rsid w:val="00B937E1"/>
    <w:rsid w:val="00B93D66"/>
    <w:rsid w:val="00B94011"/>
    <w:rsid w:val="00B945B4"/>
    <w:rsid w:val="00B95174"/>
    <w:rsid w:val="00B95505"/>
    <w:rsid w:val="00B956D3"/>
    <w:rsid w:val="00B95F3A"/>
    <w:rsid w:val="00B96368"/>
    <w:rsid w:val="00B96491"/>
    <w:rsid w:val="00B96B88"/>
    <w:rsid w:val="00B9723C"/>
    <w:rsid w:val="00B97C62"/>
    <w:rsid w:val="00BA2E93"/>
    <w:rsid w:val="00BA3581"/>
    <w:rsid w:val="00BA35D1"/>
    <w:rsid w:val="00BA36FC"/>
    <w:rsid w:val="00BA3C92"/>
    <w:rsid w:val="00BA417B"/>
    <w:rsid w:val="00BA4824"/>
    <w:rsid w:val="00BA5831"/>
    <w:rsid w:val="00BA5A99"/>
    <w:rsid w:val="00BA5C07"/>
    <w:rsid w:val="00BA6BE2"/>
    <w:rsid w:val="00BB005F"/>
    <w:rsid w:val="00BB00B0"/>
    <w:rsid w:val="00BB1841"/>
    <w:rsid w:val="00BB1E50"/>
    <w:rsid w:val="00BB20BE"/>
    <w:rsid w:val="00BB22D3"/>
    <w:rsid w:val="00BB253A"/>
    <w:rsid w:val="00BB26A5"/>
    <w:rsid w:val="00BB2D14"/>
    <w:rsid w:val="00BB3207"/>
    <w:rsid w:val="00BB327F"/>
    <w:rsid w:val="00BB3550"/>
    <w:rsid w:val="00BB3956"/>
    <w:rsid w:val="00BB3B6A"/>
    <w:rsid w:val="00BB3E1A"/>
    <w:rsid w:val="00BB4093"/>
    <w:rsid w:val="00BB4B64"/>
    <w:rsid w:val="00BB59F9"/>
    <w:rsid w:val="00BB5B6C"/>
    <w:rsid w:val="00BB5E4D"/>
    <w:rsid w:val="00BB5F10"/>
    <w:rsid w:val="00BB6649"/>
    <w:rsid w:val="00BB664D"/>
    <w:rsid w:val="00BB68E6"/>
    <w:rsid w:val="00BB6EEE"/>
    <w:rsid w:val="00BC06B5"/>
    <w:rsid w:val="00BC0921"/>
    <w:rsid w:val="00BC0CB1"/>
    <w:rsid w:val="00BC1468"/>
    <w:rsid w:val="00BC14ED"/>
    <w:rsid w:val="00BC152F"/>
    <w:rsid w:val="00BC1AD6"/>
    <w:rsid w:val="00BC20E2"/>
    <w:rsid w:val="00BC28A2"/>
    <w:rsid w:val="00BC3038"/>
    <w:rsid w:val="00BC3607"/>
    <w:rsid w:val="00BC4352"/>
    <w:rsid w:val="00BC4409"/>
    <w:rsid w:val="00BC45AC"/>
    <w:rsid w:val="00BC4FE9"/>
    <w:rsid w:val="00BC55DC"/>
    <w:rsid w:val="00BC55FD"/>
    <w:rsid w:val="00BC5A85"/>
    <w:rsid w:val="00BC5D02"/>
    <w:rsid w:val="00BC65EE"/>
    <w:rsid w:val="00BC6A53"/>
    <w:rsid w:val="00BC7344"/>
    <w:rsid w:val="00BC7925"/>
    <w:rsid w:val="00BC79DA"/>
    <w:rsid w:val="00BD01DA"/>
    <w:rsid w:val="00BD0225"/>
    <w:rsid w:val="00BD05DB"/>
    <w:rsid w:val="00BD0968"/>
    <w:rsid w:val="00BD0AB8"/>
    <w:rsid w:val="00BD0C38"/>
    <w:rsid w:val="00BD0D31"/>
    <w:rsid w:val="00BD12AB"/>
    <w:rsid w:val="00BD1D92"/>
    <w:rsid w:val="00BD2EC0"/>
    <w:rsid w:val="00BD5119"/>
    <w:rsid w:val="00BD5BA8"/>
    <w:rsid w:val="00BD63AA"/>
    <w:rsid w:val="00BD6619"/>
    <w:rsid w:val="00BD67F0"/>
    <w:rsid w:val="00BD6AD9"/>
    <w:rsid w:val="00BD7231"/>
    <w:rsid w:val="00BD7F8A"/>
    <w:rsid w:val="00BE00AA"/>
    <w:rsid w:val="00BE0734"/>
    <w:rsid w:val="00BE0AF0"/>
    <w:rsid w:val="00BE0D70"/>
    <w:rsid w:val="00BE0E75"/>
    <w:rsid w:val="00BE1B42"/>
    <w:rsid w:val="00BE1EE7"/>
    <w:rsid w:val="00BE2685"/>
    <w:rsid w:val="00BE2730"/>
    <w:rsid w:val="00BE29DA"/>
    <w:rsid w:val="00BE3546"/>
    <w:rsid w:val="00BE45A0"/>
    <w:rsid w:val="00BE4729"/>
    <w:rsid w:val="00BE48BF"/>
    <w:rsid w:val="00BE4EC4"/>
    <w:rsid w:val="00BE50D1"/>
    <w:rsid w:val="00BE52CB"/>
    <w:rsid w:val="00BE5465"/>
    <w:rsid w:val="00BE598C"/>
    <w:rsid w:val="00BE5E9F"/>
    <w:rsid w:val="00BE640F"/>
    <w:rsid w:val="00BE6BF1"/>
    <w:rsid w:val="00BE6C8F"/>
    <w:rsid w:val="00BE6D26"/>
    <w:rsid w:val="00BF0522"/>
    <w:rsid w:val="00BF0606"/>
    <w:rsid w:val="00BF1552"/>
    <w:rsid w:val="00BF1D6A"/>
    <w:rsid w:val="00BF1DCA"/>
    <w:rsid w:val="00BF2254"/>
    <w:rsid w:val="00BF226C"/>
    <w:rsid w:val="00BF2709"/>
    <w:rsid w:val="00BF284D"/>
    <w:rsid w:val="00BF32B6"/>
    <w:rsid w:val="00BF3C37"/>
    <w:rsid w:val="00BF43DC"/>
    <w:rsid w:val="00BF4D5B"/>
    <w:rsid w:val="00BF51F1"/>
    <w:rsid w:val="00BF5321"/>
    <w:rsid w:val="00BF5EAF"/>
    <w:rsid w:val="00BF61F5"/>
    <w:rsid w:val="00BF637E"/>
    <w:rsid w:val="00BF6EA0"/>
    <w:rsid w:val="00BF7014"/>
    <w:rsid w:val="00BF7028"/>
    <w:rsid w:val="00BF70AE"/>
    <w:rsid w:val="00BF74B1"/>
    <w:rsid w:val="00BF78C7"/>
    <w:rsid w:val="00BF7E94"/>
    <w:rsid w:val="00C0049A"/>
    <w:rsid w:val="00C009AB"/>
    <w:rsid w:val="00C00A8E"/>
    <w:rsid w:val="00C016CA"/>
    <w:rsid w:val="00C01F21"/>
    <w:rsid w:val="00C02702"/>
    <w:rsid w:val="00C02733"/>
    <w:rsid w:val="00C03BBB"/>
    <w:rsid w:val="00C03C3E"/>
    <w:rsid w:val="00C03F48"/>
    <w:rsid w:val="00C04470"/>
    <w:rsid w:val="00C047F9"/>
    <w:rsid w:val="00C050E4"/>
    <w:rsid w:val="00C05660"/>
    <w:rsid w:val="00C0588C"/>
    <w:rsid w:val="00C059BA"/>
    <w:rsid w:val="00C060DF"/>
    <w:rsid w:val="00C06A4B"/>
    <w:rsid w:val="00C06D02"/>
    <w:rsid w:val="00C06F66"/>
    <w:rsid w:val="00C07B75"/>
    <w:rsid w:val="00C07F6F"/>
    <w:rsid w:val="00C1054E"/>
    <w:rsid w:val="00C109EB"/>
    <w:rsid w:val="00C10E7B"/>
    <w:rsid w:val="00C1174F"/>
    <w:rsid w:val="00C1184C"/>
    <w:rsid w:val="00C12C4C"/>
    <w:rsid w:val="00C13822"/>
    <w:rsid w:val="00C14236"/>
    <w:rsid w:val="00C1465E"/>
    <w:rsid w:val="00C150D6"/>
    <w:rsid w:val="00C151B4"/>
    <w:rsid w:val="00C15FEC"/>
    <w:rsid w:val="00C16512"/>
    <w:rsid w:val="00C1665F"/>
    <w:rsid w:val="00C1761B"/>
    <w:rsid w:val="00C203CA"/>
    <w:rsid w:val="00C208C0"/>
    <w:rsid w:val="00C209AB"/>
    <w:rsid w:val="00C20D9F"/>
    <w:rsid w:val="00C213EF"/>
    <w:rsid w:val="00C22E36"/>
    <w:rsid w:val="00C22E95"/>
    <w:rsid w:val="00C23948"/>
    <w:rsid w:val="00C24174"/>
    <w:rsid w:val="00C24F67"/>
    <w:rsid w:val="00C25210"/>
    <w:rsid w:val="00C2609A"/>
    <w:rsid w:val="00C26A8B"/>
    <w:rsid w:val="00C271EF"/>
    <w:rsid w:val="00C27881"/>
    <w:rsid w:val="00C27B6C"/>
    <w:rsid w:val="00C3009C"/>
    <w:rsid w:val="00C3119D"/>
    <w:rsid w:val="00C31245"/>
    <w:rsid w:val="00C31A14"/>
    <w:rsid w:val="00C33B10"/>
    <w:rsid w:val="00C345A5"/>
    <w:rsid w:val="00C34600"/>
    <w:rsid w:val="00C34E8E"/>
    <w:rsid w:val="00C34FA1"/>
    <w:rsid w:val="00C355B8"/>
    <w:rsid w:val="00C35EA0"/>
    <w:rsid w:val="00C36C44"/>
    <w:rsid w:val="00C371B1"/>
    <w:rsid w:val="00C37F42"/>
    <w:rsid w:val="00C40348"/>
    <w:rsid w:val="00C40E1A"/>
    <w:rsid w:val="00C41C98"/>
    <w:rsid w:val="00C41F04"/>
    <w:rsid w:val="00C4243F"/>
    <w:rsid w:val="00C42E7F"/>
    <w:rsid w:val="00C42F81"/>
    <w:rsid w:val="00C4397E"/>
    <w:rsid w:val="00C44C57"/>
    <w:rsid w:val="00C4565E"/>
    <w:rsid w:val="00C45678"/>
    <w:rsid w:val="00C45692"/>
    <w:rsid w:val="00C45A19"/>
    <w:rsid w:val="00C45A2A"/>
    <w:rsid w:val="00C46319"/>
    <w:rsid w:val="00C465D9"/>
    <w:rsid w:val="00C47365"/>
    <w:rsid w:val="00C47460"/>
    <w:rsid w:val="00C476F6"/>
    <w:rsid w:val="00C50AD5"/>
    <w:rsid w:val="00C50C1C"/>
    <w:rsid w:val="00C519F8"/>
    <w:rsid w:val="00C51D1B"/>
    <w:rsid w:val="00C5207D"/>
    <w:rsid w:val="00C52C07"/>
    <w:rsid w:val="00C52C9B"/>
    <w:rsid w:val="00C534C3"/>
    <w:rsid w:val="00C535E0"/>
    <w:rsid w:val="00C53ED6"/>
    <w:rsid w:val="00C5411A"/>
    <w:rsid w:val="00C54187"/>
    <w:rsid w:val="00C556B2"/>
    <w:rsid w:val="00C55C5C"/>
    <w:rsid w:val="00C56552"/>
    <w:rsid w:val="00C575A6"/>
    <w:rsid w:val="00C57A15"/>
    <w:rsid w:val="00C57D1C"/>
    <w:rsid w:val="00C57DEA"/>
    <w:rsid w:val="00C6032F"/>
    <w:rsid w:val="00C60559"/>
    <w:rsid w:val="00C60AA3"/>
    <w:rsid w:val="00C60F94"/>
    <w:rsid w:val="00C6190A"/>
    <w:rsid w:val="00C62A88"/>
    <w:rsid w:val="00C62D5F"/>
    <w:rsid w:val="00C63B53"/>
    <w:rsid w:val="00C63BF5"/>
    <w:rsid w:val="00C648F2"/>
    <w:rsid w:val="00C65BA7"/>
    <w:rsid w:val="00C66528"/>
    <w:rsid w:val="00C6652A"/>
    <w:rsid w:val="00C66860"/>
    <w:rsid w:val="00C6759F"/>
    <w:rsid w:val="00C67CC7"/>
    <w:rsid w:val="00C67D58"/>
    <w:rsid w:val="00C70F9E"/>
    <w:rsid w:val="00C715BF"/>
    <w:rsid w:val="00C721C9"/>
    <w:rsid w:val="00C7229A"/>
    <w:rsid w:val="00C72571"/>
    <w:rsid w:val="00C73050"/>
    <w:rsid w:val="00C73376"/>
    <w:rsid w:val="00C73F4F"/>
    <w:rsid w:val="00C74999"/>
    <w:rsid w:val="00C74CA9"/>
    <w:rsid w:val="00C74F6C"/>
    <w:rsid w:val="00C751C8"/>
    <w:rsid w:val="00C76122"/>
    <w:rsid w:val="00C7667A"/>
    <w:rsid w:val="00C76AFE"/>
    <w:rsid w:val="00C76C82"/>
    <w:rsid w:val="00C77DED"/>
    <w:rsid w:val="00C80606"/>
    <w:rsid w:val="00C8127E"/>
    <w:rsid w:val="00C81305"/>
    <w:rsid w:val="00C814FF"/>
    <w:rsid w:val="00C818D9"/>
    <w:rsid w:val="00C81C15"/>
    <w:rsid w:val="00C82101"/>
    <w:rsid w:val="00C8243F"/>
    <w:rsid w:val="00C824D0"/>
    <w:rsid w:val="00C82BF5"/>
    <w:rsid w:val="00C82FB6"/>
    <w:rsid w:val="00C83063"/>
    <w:rsid w:val="00C83390"/>
    <w:rsid w:val="00C83427"/>
    <w:rsid w:val="00C8378E"/>
    <w:rsid w:val="00C8399E"/>
    <w:rsid w:val="00C83E08"/>
    <w:rsid w:val="00C84B9A"/>
    <w:rsid w:val="00C8504C"/>
    <w:rsid w:val="00C85D9D"/>
    <w:rsid w:val="00C868C1"/>
    <w:rsid w:val="00C86C12"/>
    <w:rsid w:val="00C86DC4"/>
    <w:rsid w:val="00C87833"/>
    <w:rsid w:val="00C87CDD"/>
    <w:rsid w:val="00C87E9F"/>
    <w:rsid w:val="00C90708"/>
    <w:rsid w:val="00C909F8"/>
    <w:rsid w:val="00C912CE"/>
    <w:rsid w:val="00C919D8"/>
    <w:rsid w:val="00C94074"/>
    <w:rsid w:val="00C94276"/>
    <w:rsid w:val="00C9715E"/>
    <w:rsid w:val="00C971A7"/>
    <w:rsid w:val="00C97925"/>
    <w:rsid w:val="00C97EF0"/>
    <w:rsid w:val="00CA01E6"/>
    <w:rsid w:val="00CA033E"/>
    <w:rsid w:val="00CA0E33"/>
    <w:rsid w:val="00CA1645"/>
    <w:rsid w:val="00CA1705"/>
    <w:rsid w:val="00CA24B4"/>
    <w:rsid w:val="00CA2CDC"/>
    <w:rsid w:val="00CA447C"/>
    <w:rsid w:val="00CA5068"/>
    <w:rsid w:val="00CA59B7"/>
    <w:rsid w:val="00CA5C5B"/>
    <w:rsid w:val="00CA6575"/>
    <w:rsid w:val="00CA72FA"/>
    <w:rsid w:val="00CA7685"/>
    <w:rsid w:val="00CB06DD"/>
    <w:rsid w:val="00CB08F2"/>
    <w:rsid w:val="00CB099E"/>
    <w:rsid w:val="00CB1F8E"/>
    <w:rsid w:val="00CB3305"/>
    <w:rsid w:val="00CB357A"/>
    <w:rsid w:val="00CB4D9B"/>
    <w:rsid w:val="00CB5951"/>
    <w:rsid w:val="00CB5953"/>
    <w:rsid w:val="00CB5EB6"/>
    <w:rsid w:val="00CB656C"/>
    <w:rsid w:val="00CB69C0"/>
    <w:rsid w:val="00CB74ED"/>
    <w:rsid w:val="00CB791F"/>
    <w:rsid w:val="00CC075D"/>
    <w:rsid w:val="00CC23F9"/>
    <w:rsid w:val="00CC35A6"/>
    <w:rsid w:val="00CC3602"/>
    <w:rsid w:val="00CC3847"/>
    <w:rsid w:val="00CC3965"/>
    <w:rsid w:val="00CC39D4"/>
    <w:rsid w:val="00CC409D"/>
    <w:rsid w:val="00CC43B8"/>
    <w:rsid w:val="00CC4D56"/>
    <w:rsid w:val="00CC4FA6"/>
    <w:rsid w:val="00CC5CA8"/>
    <w:rsid w:val="00CC6029"/>
    <w:rsid w:val="00CC62E3"/>
    <w:rsid w:val="00CC64E6"/>
    <w:rsid w:val="00CC6958"/>
    <w:rsid w:val="00CC7180"/>
    <w:rsid w:val="00CC775D"/>
    <w:rsid w:val="00CD03CC"/>
    <w:rsid w:val="00CD04BB"/>
    <w:rsid w:val="00CD0C1C"/>
    <w:rsid w:val="00CD1A5F"/>
    <w:rsid w:val="00CD1BF7"/>
    <w:rsid w:val="00CD1E04"/>
    <w:rsid w:val="00CD2143"/>
    <w:rsid w:val="00CD2746"/>
    <w:rsid w:val="00CD2A5B"/>
    <w:rsid w:val="00CD2D83"/>
    <w:rsid w:val="00CD342E"/>
    <w:rsid w:val="00CD3A78"/>
    <w:rsid w:val="00CD41AA"/>
    <w:rsid w:val="00CD485F"/>
    <w:rsid w:val="00CD4D3F"/>
    <w:rsid w:val="00CD53D9"/>
    <w:rsid w:val="00CD6011"/>
    <w:rsid w:val="00CD635B"/>
    <w:rsid w:val="00CD6A1B"/>
    <w:rsid w:val="00CD755E"/>
    <w:rsid w:val="00CD79CE"/>
    <w:rsid w:val="00CD7D45"/>
    <w:rsid w:val="00CD7E85"/>
    <w:rsid w:val="00CE0C82"/>
    <w:rsid w:val="00CE15FD"/>
    <w:rsid w:val="00CE18C0"/>
    <w:rsid w:val="00CE1B65"/>
    <w:rsid w:val="00CE202D"/>
    <w:rsid w:val="00CE234A"/>
    <w:rsid w:val="00CE273C"/>
    <w:rsid w:val="00CE28C0"/>
    <w:rsid w:val="00CE55D7"/>
    <w:rsid w:val="00CE5B6E"/>
    <w:rsid w:val="00CF130F"/>
    <w:rsid w:val="00CF1797"/>
    <w:rsid w:val="00CF2A24"/>
    <w:rsid w:val="00CF2A81"/>
    <w:rsid w:val="00CF2BE2"/>
    <w:rsid w:val="00CF2E96"/>
    <w:rsid w:val="00CF36C8"/>
    <w:rsid w:val="00CF3BB2"/>
    <w:rsid w:val="00CF4217"/>
    <w:rsid w:val="00CF4641"/>
    <w:rsid w:val="00CF539E"/>
    <w:rsid w:val="00CF56E2"/>
    <w:rsid w:val="00CF6BDF"/>
    <w:rsid w:val="00CF7215"/>
    <w:rsid w:val="00CF7253"/>
    <w:rsid w:val="00CF761B"/>
    <w:rsid w:val="00CF77FA"/>
    <w:rsid w:val="00D01394"/>
    <w:rsid w:val="00D01548"/>
    <w:rsid w:val="00D0208C"/>
    <w:rsid w:val="00D020A0"/>
    <w:rsid w:val="00D03A0D"/>
    <w:rsid w:val="00D03CFE"/>
    <w:rsid w:val="00D04691"/>
    <w:rsid w:val="00D05154"/>
    <w:rsid w:val="00D05BB1"/>
    <w:rsid w:val="00D0693D"/>
    <w:rsid w:val="00D07DC8"/>
    <w:rsid w:val="00D10047"/>
    <w:rsid w:val="00D11205"/>
    <w:rsid w:val="00D11A27"/>
    <w:rsid w:val="00D11FCB"/>
    <w:rsid w:val="00D1211F"/>
    <w:rsid w:val="00D12932"/>
    <w:rsid w:val="00D12A73"/>
    <w:rsid w:val="00D12F12"/>
    <w:rsid w:val="00D13E3D"/>
    <w:rsid w:val="00D13E94"/>
    <w:rsid w:val="00D14D57"/>
    <w:rsid w:val="00D15180"/>
    <w:rsid w:val="00D153F9"/>
    <w:rsid w:val="00D15BDC"/>
    <w:rsid w:val="00D161D5"/>
    <w:rsid w:val="00D17406"/>
    <w:rsid w:val="00D17C2C"/>
    <w:rsid w:val="00D17FC8"/>
    <w:rsid w:val="00D200F3"/>
    <w:rsid w:val="00D20155"/>
    <w:rsid w:val="00D2022A"/>
    <w:rsid w:val="00D202C7"/>
    <w:rsid w:val="00D20677"/>
    <w:rsid w:val="00D216EE"/>
    <w:rsid w:val="00D219A7"/>
    <w:rsid w:val="00D21C53"/>
    <w:rsid w:val="00D21FD7"/>
    <w:rsid w:val="00D224D9"/>
    <w:rsid w:val="00D22EF4"/>
    <w:rsid w:val="00D232E3"/>
    <w:rsid w:val="00D2378B"/>
    <w:rsid w:val="00D239FD"/>
    <w:rsid w:val="00D23C1A"/>
    <w:rsid w:val="00D2438E"/>
    <w:rsid w:val="00D254EB"/>
    <w:rsid w:val="00D25A96"/>
    <w:rsid w:val="00D25CFA"/>
    <w:rsid w:val="00D25E12"/>
    <w:rsid w:val="00D26666"/>
    <w:rsid w:val="00D27BCF"/>
    <w:rsid w:val="00D30153"/>
    <w:rsid w:val="00D319FF"/>
    <w:rsid w:val="00D31D83"/>
    <w:rsid w:val="00D3231C"/>
    <w:rsid w:val="00D32984"/>
    <w:rsid w:val="00D32C17"/>
    <w:rsid w:val="00D32C8F"/>
    <w:rsid w:val="00D33636"/>
    <w:rsid w:val="00D33955"/>
    <w:rsid w:val="00D33AED"/>
    <w:rsid w:val="00D33D85"/>
    <w:rsid w:val="00D34531"/>
    <w:rsid w:val="00D34C97"/>
    <w:rsid w:val="00D35854"/>
    <w:rsid w:val="00D367B8"/>
    <w:rsid w:val="00D36D52"/>
    <w:rsid w:val="00D37635"/>
    <w:rsid w:val="00D3797D"/>
    <w:rsid w:val="00D40164"/>
    <w:rsid w:val="00D4027A"/>
    <w:rsid w:val="00D4147E"/>
    <w:rsid w:val="00D41620"/>
    <w:rsid w:val="00D41698"/>
    <w:rsid w:val="00D41814"/>
    <w:rsid w:val="00D41B61"/>
    <w:rsid w:val="00D4298B"/>
    <w:rsid w:val="00D42DA2"/>
    <w:rsid w:val="00D42DB3"/>
    <w:rsid w:val="00D443B8"/>
    <w:rsid w:val="00D45599"/>
    <w:rsid w:val="00D4576D"/>
    <w:rsid w:val="00D45A37"/>
    <w:rsid w:val="00D45F96"/>
    <w:rsid w:val="00D46404"/>
    <w:rsid w:val="00D4691C"/>
    <w:rsid w:val="00D470FB"/>
    <w:rsid w:val="00D471D8"/>
    <w:rsid w:val="00D47221"/>
    <w:rsid w:val="00D472F5"/>
    <w:rsid w:val="00D47779"/>
    <w:rsid w:val="00D50E71"/>
    <w:rsid w:val="00D5169B"/>
    <w:rsid w:val="00D52182"/>
    <w:rsid w:val="00D52B1A"/>
    <w:rsid w:val="00D52E93"/>
    <w:rsid w:val="00D5371C"/>
    <w:rsid w:val="00D53776"/>
    <w:rsid w:val="00D53A98"/>
    <w:rsid w:val="00D545A4"/>
    <w:rsid w:val="00D546D8"/>
    <w:rsid w:val="00D54AD6"/>
    <w:rsid w:val="00D54C66"/>
    <w:rsid w:val="00D54F16"/>
    <w:rsid w:val="00D551D2"/>
    <w:rsid w:val="00D56993"/>
    <w:rsid w:val="00D57F88"/>
    <w:rsid w:val="00D60188"/>
    <w:rsid w:val="00D60631"/>
    <w:rsid w:val="00D60D26"/>
    <w:rsid w:val="00D629A2"/>
    <w:rsid w:val="00D62F5E"/>
    <w:rsid w:val="00D633AE"/>
    <w:rsid w:val="00D63461"/>
    <w:rsid w:val="00D63A82"/>
    <w:rsid w:val="00D6437A"/>
    <w:rsid w:val="00D6472E"/>
    <w:rsid w:val="00D652DE"/>
    <w:rsid w:val="00D661EF"/>
    <w:rsid w:val="00D66B52"/>
    <w:rsid w:val="00D66D62"/>
    <w:rsid w:val="00D676D1"/>
    <w:rsid w:val="00D677BB"/>
    <w:rsid w:val="00D67AAE"/>
    <w:rsid w:val="00D67B3F"/>
    <w:rsid w:val="00D705DC"/>
    <w:rsid w:val="00D709AB"/>
    <w:rsid w:val="00D710CA"/>
    <w:rsid w:val="00D7211C"/>
    <w:rsid w:val="00D72C1B"/>
    <w:rsid w:val="00D72D09"/>
    <w:rsid w:val="00D749F7"/>
    <w:rsid w:val="00D75131"/>
    <w:rsid w:val="00D75167"/>
    <w:rsid w:val="00D76F64"/>
    <w:rsid w:val="00D7787E"/>
    <w:rsid w:val="00D77D8C"/>
    <w:rsid w:val="00D8152A"/>
    <w:rsid w:val="00D82B96"/>
    <w:rsid w:val="00D833E5"/>
    <w:rsid w:val="00D83A14"/>
    <w:rsid w:val="00D84565"/>
    <w:rsid w:val="00D847C0"/>
    <w:rsid w:val="00D848C8"/>
    <w:rsid w:val="00D855E9"/>
    <w:rsid w:val="00D859B9"/>
    <w:rsid w:val="00D85A19"/>
    <w:rsid w:val="00D8633F"/>
    <w:rsid w:val="00D863CE"/>
    <w:rsid w:val="00D869D1"/>
    <w:rsid w:val="00D86FD7"/>
    <w:rsid w:val="00D87A13"/>
    <w:rsid w:val="00D9099B"/>
    <w:rsid w:val="00D922F4"/>
    <w:rsid w:val="00D92325"/>
    <w:rsid w:val="00D92446"/>
    <w:rsid w:val="00D92E93"/>
    <w:rsid w:val="00D92EA9"/>
    <w:rsid w:val="00D9319E"/>
    <w:rsid w:val="00D945B5"/>
    <w:rsid w:val="00D94DEE"/>
    <w:rsid w:val="00D94F89"/>
    <w:rsid w:val="00D95020"/>
    <w:rsid w:val="00D95B1D"/>
    <w:rsid w:val="00D9609D"/>
    <w:rsid w:val="00D964FB"/>
    <w:rsid w:val="00D96653"/>
    <w:rsid w:val="00D96981"/>
    <w:rsid w:val="00D97343"/>
    <w:rsid w:val="00DA000A"/>
    <w:rsid w:val="00DA01CD"/>
    <w:rsid w:val="00DA0964"/>
    <w:rsid w:val="00DA1910"/>
    <w:rsid w:val="00DA2463"/>
    <w:rsid w:val="00DA2B10"/>
    <w:rsid w:val="00DA2C10"/>
    <w:rsid w:val="00DA2F17"/>
    <w:rsid w:val="00DA3B32"/>
    <w:rsid w:val="00DA4635"/>
    <w:rsid w:val="00DA54D1"/>
    <w:rsid w:val="00DA5526"/>
    <w:rsid w:val="00DA572E"/>
    <w:rsid w:val="00DA6307"/>
    <w:rsid w:val="00DA7027"/>
    <w:rsid w:val="00DA72B5"/>
    <w:rsid w:val="00DB0983"/>
    <w:rsid w:val="00DB0B15"/>
    <w:rsid w:val="00DB11B9"/>
    <w:rsid w:val="00DB14DC"/>
    <w:rsid w:val="00DB2838"/>
    <w:rsid w:val="00DB37D4"/>
    <w:rsid w:val="00DB4194"/>
    <w:rsid w:val="00DB54F1"/>
    <w:rsid w:val="00DB5DE6"/>
    <w:rsid w:val="00DB5E38"/>
    <w:rsid w:val="00DB619E"/>
    <w:rsid w:val="00DB6538"/>
    <w:rsid w:val="00DB6FCA"/>
    <w:rsid w:val="00DB7003"/>
    <w:rsid w:val="00DB705B"/>
    <w:rsid w:val="00DB720F"/>
    <w:rsid w:val="00DB7AF1"/>
    <w:rsid w:val="00DB7F80"/>
    <w:rsid w:val="00DC0342"/>
    <w:rsid w:val="00DC0B2E"/>
    <w:rsid w:val="00DC109D"/>
    <w:rsid w:val="00DC132A"/>
    <w:rsid w:val="00DC1AF6"/>
    <w:rsid w:val="00DC1B41"/>
    <w:rsid w:val="00DC1D4D"/>
    <w:rsid w:val="00DC3595"/>
    <w:rsid w:val="00DC372A"/>
    <w:rsid w:val="00DC3FA4"/>
    <w:rsid w:val="00DC4828"/>
    <w:rsid w:val="00DC4991"/>
    <w:rsid w:val="00DC5044"/>
    <w:rsid w:val="00DC5590"/>
    <w:rsid w:val="00DC6A91"/>
    <w:rsid w:val="00DC712C"/>
    <w:rsid w:val="00DC7545"/>
    <w:rsid w:val="00DC79F4"/>
    <w:rsid w:val="00DC7B3D"/>
    <w:rsid w:val="00DC7F4A"/>
    <w:rsid w:val="00DD0E81"/>
    <w:rsid w:val="00DD233A"/>
    <w:rsid w:val="00DD2454"/>
    <w:rsid w:val="00DD32C0"/>
    <w:rsid w:val="00DD3B3D"/>
    <w:rsid w:val="00DD3C20"/>
    <w:rsid w:val="00DD43CA"/>
    <w:rsid w:val="00DD45A8"/>
    <w:rsid w:val="00DD4824"/>
    <w:rsid w:val="00DD4D16"/>
    <w:rsid w:val="00DD50DD"/>
    <w:rsid w:val="00DD5B04"/>
    <w:rsid w:val="00DD63F8"/>
    <w:rsid w:val="00DD6A87"/>
    <w:rsid w:val="00DD6F0E"/>
    <w:rsid w:val="00DD74C6"/>
    <w:rsid w:val="00DE098A"/>
    <w:rsid w:val="00DE09A6"/>
    <w:rsid w:val="00DE0D5E"/>
    <w:rsid w:val="00DE1346"/>
    <w:rsid w:val="00DE1356"/>
    <w:rsid w:val="00DE1B92"/>
    <w:rsid w:val="00DE2427"/>
    <w:rsid w:val="00DE3527"/>
    <w:rsid w:val="00DE413F"/>
    <w:rsid w:val="00DE4500"/>
    <w:rsid w:val="00DE5074"/>
    <w:rsid w:val="00DE5221"/>
    <w:rsid w:val="00DE5AE2"/>
    <w:rsid w:val="00DE5C2C"/>
    <w:rsid w:val="00DE5DD1"/>
    <w:rsid w:val="00DE64C5"/>
    <w:rsid w:val="00DE6594"/>
    <w:rsid w:val="00DE66DE"/>
    <w:rsid w:val="00DE6DD5"/>
    <w:rsid w:val="00DE7811"/>
    <w:rsid w:val="00DE7D27"/>
    <w:rsid w:val="00DF0CF2"/>
    <w:rsid w:val="00DF104A"/>
    <w:rsid w:val="00DF138B"/>
    <w:rsid w:val="00DF1ED4"/>
    <w:rsid w:val="00DF222D"/>
    <w:rsid w:val="00DF2D3D"/>
    <w:rsid w:val="00DF2DB2"/>
    <w:rsid w:val="00DF36DA"/>
    <w:rsid w:val="00DF3CA2"/>
    <w:rsid w:val="00DF462F"/>
    <w:rsid w:val="00DF4D6D"/>
    <w:rsid w:val="00DF5430"/>
    <w:rsid w:val="00DF56F1"/>
    <w:rsid w:val="00DF5A3B"/>
    <w:rsid w:val="00DF633C"/>
    <w:rsid w:val="00DF6353"/>
    <w:rsid w:val="00DF6385"/>
    <w:rsid w:val="00DF6532"/>
    <w:rsid w:val="00DF6AD7"/>
    <w:rsid w:val="00DF7084"/>
    <w:rsid w:val="00DF782B"/>
    <w:rsid w:val="00DF7BC2"/>
    <w:rsid w:val="00E002DA"/>
    <w:rsid w:val="00E004E0"/>
    <w:rsid w:val="00E00BD8"/>
    <w:rsid w:val="00E01213"/>
    <w:rsid w:val="00E0122B"/>
    <w:rsid w:val="00E01845"/>
    <w:rsid w:val="00E018C9"/>
    <w:rsid w:val="00E01CC7"/>
    <w:rsid w:val="00E02D49"/>
    <w:rsid w:val="00E03129"/>
    <w:rsid w:val="00E039A0"/>
    <w:rsid w:val="00E043FC"/>
    <w:rsid w:val="00E051C9"/>
    <w:rsid w:val="00E05ED4"/>
    <w:rsid w:val="00E05F08"/>
    <w:rsid w:val="00E064F5"/>
    <w:rsid w:val="00E06B1E"/>
    <w:rsid w:val="00E074F6"/>
    <w:rsid w:val="00E07E2B"/>
    <w:rsid w:val="00E103DB"/>
    <w:rsid w:val="00E106B3"/>
    <w:rsid w:val="00E1164C"/>
    <w:rsid w:val="00E128B4"/>
    <w:rsid w:val="00E13112"/>
    <w:rsid w:val="00E132BC"/>
    <w:rsid w:val="00E13674"/>
    <w:rsid w:val="00E13989"/>
    <w:rsid w:val="00E14DFA"/>
    <w:rsid w:val="00E15BF3"/>
    <w:rsid w:val="00E15DCB"/>
    <w:rsid w:val="00E16464"/>
    <w:rsid w:val="00E16547"/>
    <w:rsid w:val="00E177CF"/>
    <w:rsid w:val="00E17A85"/>
    <w:rsid w:val="00E17ADF"/>
    <w:rsid w:val="00E20382"/>
    <w:rsid w:val="00E209F7"/>
    <w:rsid w:val="00E20C31"/>
    <w:rsid w:val="00E20D7E"/>
    <w:rsid w:val="00E21C96"/>
    <w:rsid w:val="00E21F9A"/>
    <w:rsid w:val="00E2235D"/>
    <w:rsid w:val="00E2290B"/>
    <w:rsid w:val="00E23087"/>
    <w:rsid w:val="00E23103"/>
    <w:rsid w:val="00E23DD1"/>
    <w:rsid w:val="00E240C2"/>
    <w:rsid w:val="00E2432A"/>
    <w:rsid w:val="00E2497D"/>
    <w:rsid w:val="00E24996"/>
    <w:rsid w:val="00E253A3"/>
    <w:rsid w:val="00E25537"/>
    <w:rsid w:val="00E256C0"/>
    <w:rsid w:val="00E26252"/>
    <w:rsid w:val="00E26C6E"/>
    <w:rsid w:val="00E27282"/>
    <w:rsid w:val="00E278A0"/>
    <w:rsid w:val="00E27967"/>
    <w:rsid w:val="00E30776"/>
    <w:rsid w:val="00E308BB"/>
    <w:rsid w:val="00E326C9"/>
    <w:rsid w:val="00E330F6"/>
    <w:rsid w:val="00E3337E"/>
    <w:rsid w:val="00E33A30"/>
    <w:rsid w:val="00E348E0"/>
    <w:rsid w:val="00E35AA9"/>
    <w:rsid w:val="00E3649B"/>
    <w:rsid w:val="00E36551"/>
    <w:rsid w:val="00E36647"/>
    <w:rsid w:val="00E368AD"/>
    <w:rsid w:val="00E372F8"/>
    <w:rsid w:val="00E40FDD"/>
    <w:rsid w:val="00E41504"/>
    <w:rsid w:val="00E422CD"/>
    <w:rsid w:val="00E429A5"/>
    <w:rsid w:val="00E4377C"/>
    <w:rsid w:val="00E43C11"/>
    <w:rsid w:val="00E44793"/>
    <w:rsid w:val="00E449FD"/>
    <w:rsid w:val="00E44CB9"/>
    <w:rsid w:val="00E44D57"/>
    <w:rsid w:val="00E45055"/>
    <w:rsid w:val="00E459C0"/>
    <w:rsid w:val="00E45F23"/>
    <w:rsid w:val="00E46461"/>
    <w:rsid w:val="00E46D04"/>
    <w:rsid w:val="00E46FC0"/>
    <w:rsid w:val="00E47797"/>
    <w:rsid w:val="00E47D78"/>
    <w:rsid w:val="00E516AE"/>
    <w:rsid w:val="00E51BD3"/>
    <w:rsid w:val="00E5247E"/>
    <w:rsid w:val="00E52689"/>
    <w:rsid w:val="00E5276B"/>
    <w:rsid w:val="00E52B69"/>
    <w:rsid w:val="00E537C4"/>
    <w:rsid w:val="00E53A50"/>
    <w:rsid w:val="00E55247"/>
    <w:rsid w:val="00E560BF"/>
    <w:rsid w:val="00E56331"/>
    <w:rsid w:val="00E5680C"/>
    <w:rsid w:val="00E56D92"/>
    <w:rsid w:val="00E57DF3"/>
    <w:rsid w:val="00E603BB"/>
    <w:rsid w:val="00E60A7F"/>
    <w:rsid w:val="00E60C24"/>
    <w:rsid w:val="00E617DE"/>
    <w:rsid w:val="00E61CCA"/>
    <w:rsid w:val="00E628B0"/>
    <w:rsid w:val="00E62AEB"/>
    <w:rsid w:val="00E6346D"/>
    <w:rsid w:val="00E639D8"/>
    <w:rsid w:val="00E64485"/>
    <w:rsid w:val="00E64BCB"/>
    <w:rsid w:val="00E64BEE"/>
    <w:rsid w:val="00E64FE9"/>
    <w:rsid w:val="00E6733D"/>
    <w:rsid w:val="00E70284"/>
    <w:rsid w:val="00E706AB"/>
    <w:rsid w:val="00E70B37"/>
    <w:rsid w:val="00E719B7"/>
    <w:rsid w:val="00E727A0"/>
    <w:rsid w:val="00E73191"/>
    <w:rsid w:val="00E73F96"/>
    <w:rsid w:val="00E743CA"/>
    <w:rsid w:val="00E74B46"/>
    <w:rsid w:val="00E74FB9"/>
    <w:rsid w:val="00E761B3"/>
    <w:rsid w:val="00E76F5C"/>
    <w:rsid w:val="00E77960"/>
    <w:rsid w:val="00E806EE"/>
    <w:rsid w:val="00E80ABA"/>
    <w:rsid w:val="00E80B6E"/>
    <w:rsid w:val="00E812BF"/>
    <w:rsid w:val="00E81668"/>
    <w:rsid w:val="00E81954"/>
    <w:rsid w:val="00E81DCE"/>
    <w:rsid w:val="00E81FA1"/>
    <w:rsid w:val="00E82731"/>
    <w:rsid w:val="00E82C6D"/>
    <w:rsid w:val="00E82F9A"/>
    <w:rsid w:val="00E82FFC"/>
    <w:rsid w:val="00E83020"/>
    <w:rsid w:val="00E83BF9"/>
    <w:rsid w:val="00E83E18"/>
    <w:rsid w:val="00E84015"/>
    <w:rsid w:val="00E84415"/>
    <w:rsid w:val="00E850D1"/>
    <w:rsid w:val="00E85795"/>
    <w:rsid w:val="00E8598F"/>
    <w:rsid w:val="00E860E2"/>
    <w:rsid w:val="00E862C1"/>
    <w:rsid w:val="00E870BB"/>
    <w:rsid w:val="00E873A3"/>
    <w:rsid w:val="00E90769"/>
    <w:rsid w:val="00E9085E"/>
    <w:rsid w:val="00E90AF8"/>
    <w:rsid w:val="00E911A7"/>
    <w:rsid w:val="00E9141E"/>
    <w:rsid w:val="00E914D0"/>
    <w:rsid w:val="00E916DC"/>
    <w:rsid w:val="00E9191B"/>
    <w:rsid w:val="00E9235F"/>
    <w:rsid w:val="00E92371"/>
    <w:rsid w:val="00E92A55"/>
    <w:rsid w:val="00E9373A"/>
    <w:rsid w:val="00E93742"/>
    <w:rsid w:val="00E93D1B"/>
    <w:rsid w:val="00E93FE9"/>
    <w:rsid w:val="00E9446D"/>
    <w:rsid w:val="00E94A6F"/>
    <w:rsid w:val="00E94B6E"/>
    <w:rsid w:val="00E958E2"/>
    <w:rsid w:val="00E95ADA"/>
    <w:rsid w:val="00E95BF6"/>
    <w:rsid w:val="00E9742C"/>
    <w:rsid w:val="00EA1267"/>
    <w:rsid w:val="00EA187F"/>
    <w:rsid w:val="00EA21E0"/>
    <w:rsid w:val="00EA3171"/>
    <w:rsid w:val="00EA34E8"/>
    <w:rsid w:val="00EA3759"/>
    <w:rsid w:val="00EA380E"/>
    <w:rsid w:val="00EA3B54"/>
    <w:rsid w:val="00EA3C1E"/>
    <w:rsid w:val="00EA5AB4"/>
    <w:rsid w:val="00EA6227"/>
    <w:rsid w:val="00EA6703"/>
    <w:rsid w:val="00EA7160"/>
    <w:rsid w:val="00EA71D1"/>
    <w:rsid w:val="00EA74DA"/>
    <w:rsid w:val="00EB0109"/>
    <w:rsid w:val="00EB0206"/>
    <w:rsid w:val="00EB041A"/>
    <w:rsid w:val="00EB06D1"/>
    <w:rsid w:val="00EB0B7A"/>
    <w:rsid w:val="00EB149E"/>
    <w:rsid w:val="00EB1C2B"/>
    <w:rsid w:val="00EB26FE"/>
    <w:rsid w:val="00EB2AC8"/>
    <w:rsid w:val="00EB2D79"/>
    <w:rsid w:val="00EB3E53"/>
    <w:rsid w:val="00EB425A"/>
    <w:rsid w:val="00EB4265"/>
    <w:rsid w:val="00EB445A"/>
    <w:rsid w:val="00EB44DB"/>
    <w:rsid w:val="00EB50E4"/>
    <w:rsid w:val="00EB517C"/>
    <w:rsid w:val="00EB5390"/>
    <w:rsid w:val="00EB56B7"/>
    <w:rsid w:val="00EB5EC2"/>
    <w:rsid w:val="00EB6BCF"/>
    <w:rsid w:val="00EB6C5A"/>
    <w:rsid w:val="00EB767D"/>
    <w:rsid w:val="00EB771D"/>
    <w:rsid w:val="00EB7855"/>
    <w:rsid w:val="00EB7C60"/>
    <w:rsid w:val="00EC01DD"/>
    <w:rsid w:val="00EC0803"/>
    <w:rsid w:val="00EC0A9E"/>
    <w:rsid w:val="00EC0B1C"/>
    <w:rsid w:val="00EC0EE9"/>
    <w:rsid w:val="00EC1351"/>
    <w:rsid w:val="00EC14FE"/>
    <w:rsid w:val="00EC213E"/>
    <w:rsid w:val="00EC2D90"/>
    <w:rsid w:val="00EC2F7C"/>
    <w:rsid w:val="00EC32E1"/>
    <w:rsid w:val="00EC3476"/>
    <w:rsid w:val="00EC3C9B"/>
    <w:rsid w:val="00EC44E7"/>
    <w:rsid w:val="00EC5595"/>
    <w:rsid w:val="00EC58A2"/>
    <w:rsid w:val="00EC5ADA"/>
    <w:rsid w:val="00EC600F"/>
    <w:rsid w:val="00EC6058"/>
    <w:rsid w:val="00EC65D8"/>
    <w:rsid w:val="00EC6782"/>
    <w:rsid w:val="00EC6821"/>
    <w:rsid w:val="00EC699D"/>
    <w:rsid w:val="00EC7B69"/>
    <w:rsid w:val="00ED0EA3"/>
    <w:rsid w:val="00ED18D0"/>
    <w:rsid w:val="00ED264A"/>
    <w:rsid w:val="00ED2652"/>
    <w:rsid w:val="00ED368F"/>
    <w:rsid w:val="00ED4E2C"/>
    <w:rsid w:val="00ED4E86"/>
    <w:rsid w:val="00ED5377"/>
    <w:rsid w:val="00ED6A61"/>
    <w:rsid w:val="00ED6E8A"/>
    <w:rsid w:val="00EE05BC"/>
    <w:rsid w:val="00EE0BA4"/>
    <w:rsid w:val="00EE15C5"/>
    <w:rsid w:val="00EE1613"/>
    <w:rsid w:val="00EE1B9D"/>
    <w:rsid w:val="00EE279B"/>
    <w:rsid w:val="00EE2E30"/>
    <w:rsid w:val="00EE2EEC"/>
    <w:rsid w:val="00EE44C6"/>
    <w:rsid w:val="00EE5598"/>
    <w:rsid w:val="00EE55FC"/>
    <w:rsid w:val="00EE5704"/>
    <w:rsid w:val="00EE5ABE"/>
    <w:rsid w:val="00EE655E"/>
    <w:rsid w:val="00EE6736"/>
    <w:rsid w:val="00EE6939"/>
    <w:rsid w:val="00EE758B"/>
    <w:rsid w:val="00EE77FD"/>
    <w:rsid w:val="00EF0129"/>
    <w:rsid w:val="00EF046B"/>
    <w:rsid w:val="00EF0A36"/>
    <w:rsid w:val="00EF0E02"/>
    <w:rsid w:val="00EF0E60"/>
    <w:rsid w:val="00EF1062"/>
    <w:rsid w:val="00EF128E"/>
    <w:rsid w:val="00EF275D"/>
    <w:rsid w:val="00EF36D8"/>
    <w:rsid w:val="00EF37CF"/>
    <w:rsid w:val="00EF4017"/>
    <w:rsid w:val="00EF4566"/>
    <w:rsid w:val="00EF4950"/>
    <w:rsid w:val="00EF498E"/>
    <w:rsid w:val="00EF4E5A"/>
    <w:rsid w:val="00EF5378"/>
    <w:rsid w:val="00EF55FD"/>
    <w:rsid w:val="00EF57C0"/>
    <w:rsid w:val="00EF592C"/>
    <w:rsid w:val="00EF63AF"/>
    <w:rsid w:val="00EF6C06"/>
    <w:rsid w:val="00EF7E23"/>
    <w:rsid w:val="00F003D5"/>
    <w:rsid w:val="00F003EF"/>
    <w:rsid w:val="00F0058C"/>
    <w:rsid w:val="00F008A3"/>
    <w:rsid w:val="00F00916"/>
    <w:rsid w:val="00F00E89"/>
    <w:rsid w:val="00F00F36"/>
    <w:rsid w:val="00F01050"/>
    <w:rsid w:val="00F01E80"/>
    <w:rsid w:val="00F02028"/>
    <w:rsid w:val="00F02A03"/>
    <w:rsid w:val="00F02FC3"/>
    <w:rsid w:val="00F030B7"/>
    <w:rsid w:val="00F041BA"/>
    <w:rsid w:val="00F04A80"/>
    <w:rsid w:val="00F051F3"/>
    <w:rsid w:val="00F05725"/>
    <w:rsid w:val="00F05763"/>
    <w:rsid w:val="00F05908"/>
    <w:rsid w:val="00F05C5A"/>
    <w:rsid w:val="00F06D1D"/>
    <w:rsid w:val="00F07328"/>
    <w:rsid w:val="00F10163"/>
    <w:rsid w:val="00F10838"/>
    <w:rsid w:val="00F10A6C"/>
    <w:rsid w:val="00F10C46"/>
    <w:rsid w:val="00F124A3"/>
    <w:rsid w:val="00F12696"/>
    <w:rsid w:val="00F13021"/>
    <w:rsid w:val="00F13A7B"/>
    <w:rsid w:val="00F13C8F"/>
    <w:rsid w:val="00F1411D"/>
    <w:rsid w:val="00F14328"/>
    <w:rsid w:val="00F1476A"/>
    <w:rsid w:val="00F14DD7"/>
    <w:rsid w:val="00F14FE9"/>
    <w:rsid w:val="00F15B01"/>
    <w:rsid w:val="00F16206"/>
    <w:rsid w:val="00F1642E"/>
    <w:rsid w:val="00F1672E"/>
    <w:rsid w:val="00F17FB2"/>
    <w:rsid w:val="00F17FC7"/>
    <w:rsid w:val="00F20FD5"/>
    <w:rsid w:val="00F2111E"/>
    <w:rsid w:val="00F22DD5"/>
    <w:rsid w:val="00F23080"/>
    <w:rsid w:val="00F237FD"/>
    <w:rsid w:val="00F23AFA"/>
    <w:rsid w:val="00F23D62"/>
    <w:rsid w:val="00F23D73"/>
    <w:rsid w:val="00F24601"/>
    <w:rsid w:val="00F24769"/>
    <w:rsid w:val="00F25727"/>
    <w:rsid w:val="00F26192"/>
    <w:rsid w:val="00F268AB"/>
    <w:rsid w:val="00F26BA1"/>
    <w:rsid w:val="00F278D4"/>
    <w:rsid w:val="00F30799"/>
    <w:rsid w:val="00F312F7"/>
    <w:rsid w:val="00F31DC3"/>
    <w:rsid w:val="00F31E5C"/>
    <w:rsid w:val="00F32CBA"/>
    <w:rsid w:val="00F32E23"/>
    <w:rsid w:val="00F3351F"/>
    <w:rsid w:val="00F33628"/>
    <w:rsid w:val="00F33C51"/>
    <w:rsid w:val="00F33DB1"/>
    <w:rsid w:val="00F33F50"/>
    <w:rsid w:val="00F35A07"/>
    <w:rsid w:val="00F35DE5"/>
    <w:rsid w:val="00F362D5"/>
    <w:rsid w:val="00F36526"/>
    <w:rsid w:val="00F36D62"/>
    <w:rsid w:val="00F36F31"/>
    <w:rsid w:val="00F36FB3"/>
    <w:rsid w:val="00F370B1"/>
    <w:rsid w:val="00F37236"/>
    <w:rsid w:val="00F40C2C"/>
    <w:rsid w:val="00F41E8B"/>
    <w:rsid w:val="00F423B6"/>
    <w:rsid w:val="00F423D7"/>
    <w:rsid w:val="00F424E4"/>
    <w:rsid w:val="00F42F10"/>
    <w:rsid w:val="00F4320D"/>
    <w:rsid w:val="00F43404"/>
    <w:rsid w:val="00F454AB"/>
    <w:rsid w:val="00F45D9A"/>
    <w:rsid w:val="00F46934"/>
    <w:rsid w:val="00F470B2"/>
    <w:rsid w:val="00F476E5"/>
    <w:rsid w:val="00F50C11"/>
    <w:rsid w:val="00F51740"/>
    <w:rsid w:val="00F519AE"/>
    <w:rsid w:val="00F51B4A"/>
    <w:rsid w:val="00F52661"/>
    <w:rsid w:val="00F533AF"/>
    <w:rsid w:val="00F538AF"/>
    <w:rsid w:val="00F53EFE"/>
    <w:rsid w:val="00F541C5"/>
    <w:rsid w:val="00F54F77"/>
    <w:rsid w:val="00F55395"/>
    <w:rsid w:val="00F559CA"/>
    <w:rsid w:val="00F56682"/>
    <w:rsid w:val="00F5674F"/>
    <w:rsid w:val="00F56E89"/>
    <w:rsid w:val="00F57305"/>
    <w:rsid w:val="00F5742B"/>
    <w:rsid w:val="00F57441"/>
    <w:rsid w:val="00F6008B"/>
    <w:rsid w:val="00F607AF"/>
    <w:rsid w:val="00F61AE0"/>
    <w:rsid w:val="00F62B20"/>
    <w:rsid w:val="00F63B1E"/>
    <w:rsid w:val="00F63FBE"/>
    <w:rsid w:val="00F63FBF"/>
    <w:rsid w:val="00F645F7"/>
    <w:rsid w:val="00F64FD2"/>
    <w:rsid w:val="00F65099"/>
    <w:rsid w:val="00F65150"/>
    <w:rsid w:val="00F65B44"/>
    <w:rsid w:val="00F661AC"/>
    <w:rsid w:val="00F6636F"/>
    <w:rsid w:val="00F6651B"/>
    <w:rsid w:val="00F665EA"/>
    <w:rsid w:val="00F70528"/>
    <w:rsid w:val="00F72043"/>
    <w:rsid w:val="00F72704"/>
    <w:rsid w:val="00F72D6D"/>
    <w:rsid w:val="00F7470C"/>
    <w:rsid w:val="00F74B43"/>
    <w:rsid w:val="00F7510F"/>
    <w:rsid w:val="00F756B7"/>
    <w:rsid w:val="00F764D8"/>
    <w:rsid w:val="00F76CA0"/>
    <w:rsid w:val="00F76DB5"/>
    <w:rsid w:val="00F7783C"/>
    <w:rsid w:val="00F77BC6"/>
    <w:rsid w:val="00F77D13"/>
    <w:rsid w:val="00F77E17"/>
    <w:rsid w:val="00F800A9"/>
    <w:rsid w:val="00F80590"/>
    <w:rsid w:val="00F8065E"/>
    <w:rsid w:val="00F81D20"/>
    <w:rsid w:val="00F81FB6"/>
    <w:rsid w:val="00F8238E"/>
    <w:rsid w:val="00F829BF"/>
    <w:rsid w:val="00F834C9"/>
    <w:rsid w:val="00F83AED"/>
    <w:rsid w:val="00F83F79"/>
    <w:rsid w:val="00F8494D"/>
    <w:rsid w:val="00F84BBD"/>
    <w:rsid w:val="00F854C9"/>
    <w:rsid w:val="00F8566D"/>
    <w:rsid w:val="00F85AD9"/>
    <w:rsid w:val="00F85DD0"/>
    <w:rsid w:val="00F85FF6"/>
    <w:rsid w:val="00F86381"/>
    <w:rsid w:val="00F8702D"/>
    <w:rsid w:val="00F87859"/>
    <w:rsid w:val="00F87D84"/>
    <w:rsid w:val="00F87E97"/>
    <w:rsid w:val="00F90219"/>
    <w:rsid w:val="00F90E5F"/>
    <w:rsid w:val="00F91A95"/>
    <w:rsid w:val="00F91B9C"/>
    <w:rsid w:val="00F91F7C"/>
    <w:rsid w:val="00F9208A"/>
    <w:rsid w:val="00F92517"/>
    <w:rsid w:val="00F92719"/>
    <w:rsid w:val="00F929D3"/>
    <w:rsid w:val="00F9319E"/>
    <w:rsid w:val="00F93382"/>
    <w:rsid w:val="00F93FD9"/>
    <w:rsid w:val="00F9405F"/>
    <w:rsid w:val="00F94E24"/>
    <w:rsid w:val="00F94E76"/>
    <w:rsid w:val="00F94F71"/>
    <w:rsid w:val="00F95847"/>
    <w:rsid w:val="00F95AF9"/>
    <w:rsid w:val="00F96B96"/>
    <w:rsid w:val="00F96B9B"/>
    <w:rsid w:val="00F96CF0"/>
    <w:rsid w:val="00F97173"/>
    <w:rsid w:val="00F97303"/>
    <w:rsid w:val="00F97729"/>
    <w:rsid w:val="00F97A97"/>
    <w:rsid w:val="00FA04A0"/>
    <w:rsid w:val="00FA097D"/>
    <w:rsid w:val="00FA0C11"/>
    <w:rsid w:val="00FA0EF2"/>
    <w:rsid w:val="00FA120F"/>
    <w:rsid w:val="00FA1225"/>
    <w:rsid w:val="00FA13A7"/>
    <w:rsid w:val="00FA19F4"/>
    <w:rsid w:val="00FA2D37"/>
    <w:rsid w:val="00FA31B3"/>
    <w:rsid w:val="00FA3404"/>
    <w:rsid w:val="00FA4091"/>
    <w:rsid w:val="00FA41EF"/>
    <w:rsid w:val="00FA4908"/>
    <w:rsid w:val="00FA56C0"/>
    <w:rsid w:val="00FA57A3"/>
    <w:rsid w:val="00FA5FB6"/>
    <w:rsid w:val="00FA6B21"/>
    <w:rsid w:val="00FA7539"/>
    <w:rsid w:val="00FA77C5"/>
    <w:rsid w:val="00FB0C82"/>
    <w:rsid w:val="00FB0D25"/>
    <w:rsid w:val="00FB13CF"/>
    <w:rsid w:val="00FB18EF"/>
    <w:rsid w:val="00FB22F8"/>
    <w:rsid w:val="00FB2AA5"/>
    <w:rsid w:val="00FB2EBB"/>
    <w:rsid w:val="00FB396F"/>
    <w:rsid w:val="00FB3CD0"/>
    <w:rsid w:val="00FB4ED0"/>
    <w:rsid w:val="00FB51BE"/>
    <w:rsid w:val="00FB5852"/>
    <w:rsid w:val="00FB5C9A"/>
    <w:rsid w:val="00FB6064"/>
    <w:rsid w:val="00FB612C"/>
    <w:rsid w:val="00FB651A"/>
    <w:rsid w:val="00FB65CD"/>
    <w:rsid w:val="00FB69DC"/>
    <w:rsid w:val="00FB7126"/>
    <w:rsid w:val="00FB7914"/>
    <w:rsid w:val="00FB7B11"/>
    <w:rsid w:val="00FC0387"/>
    <w:rsid w:val="00FC0A44"/>
    <w:rsid w:val="00FC1540"/>
    <w:rsid w:val="00FC15C2"/>
    <w:rsid w:val="00FC166E"/>
    <w:rsid w:val="00FC1A9F"/>
    <w:rsid w:val="00FC1CA2"/>
    <w:rsid w:val="00FC30C7"/>
    <w:rsid w:val="00FC32E4"/>
    <w:rsid w:val="00FC3330"/>
    <w:rsid w:val="00FC3416"/>
    <w:rsid w:val="00FC5E75"/>
    <w:rsid w:val="00FC5F0A"/>
    <w:rsid w:val="00FC5F5B"/>
    <w:rsid w:val="00FC6167"/>
    <w:rsid w:val="00FC6390"/>
    <w:rsid w:val="00FC70D5"/>
    <w:rsid w:val="00FC77CE"/>
    <w:rsid w:val="00FC7E17"/>
    <w:rsid w:val="00FD0149"/>
    <w:rsid w:val="00FD0989"/>
    <w:rsid w:val="00FD1401"/>
    <w:rsid w:val="00FD181A"/>
    <w:rsid w:val="00FD1883"/>
    <w:rsid w:val="00FD19DF"/>
    <w:rsid w:val="00FD1A08"/>
    <w:rsid w:val="00FD268D"/>
    <w:rsid w:val="00FD27E3"/>
    <w:rsid w:val="00FD423B"/>
    <w:rsid w:val="00FD4494"/>
    <w:rsid w:val="00FD48D7"/>
    <w:rsid w:val="00FD5298"/>
    <w:rsid w:val="00FD55C7"/>
    <w:rsid w:val="00FD5C68"/>
    <w:rsid w:val="00FD68F0"/>
    <w:rsid w:val="00FD6F76"/>
    <w:rsid w:val="00FD73E5"/>
    <w:rsid w:val="00FE133E"/>
    <w:rsid w:val="00FE1383"/>
    <w:rsid w:val="00FE1A72"/>
    <w:rsid w:val="00FE1D68"/>
    <w:rsid w:val="00FE2602"/>
    <w:rsid w:val="00FE3115"/>
    <w:rsid w:val="00FE3DFD"/>
    <w:rsid w:val="00FE4553"/>
    <w:rsid w:val="00FE46D7"/>
    <w:rsid w:val="00FE476B"/>
    <w:rsid w:val="00FE50F3"/>
    <w:rsid w:val="00FE5745"/>
    <w:rsid w:val="00FE5D63"/>
    <w:rsid w:val="00FE6853"/>
    <w:rsid w:val="00FE7168"/>
    <w:rsid w:val="00FE73B1"/>
    <w:rsid w:val="00FE7DB8"/>
    <w:rsid w:val="00FF0873"/>
    <w:rsid w:val="00FF08D9"/>
    <w:rsid w:val="00FF08FA"/>
    <w:rsid w:val="00FF1420"/>
    <w:rsid w:val="00FF16DF"/>
    <w:rsid w:val="00FF1FE5"/>
    <w:rsid w:val="00FF223A"/>
    <w:rsid w:val="00FF24BB"/>
    <w:rsid w:val="00FF2971"/>
    <w:rsid w:val="00FF2B05"/>
    <w:rsid w:val="00FF2D29"/>
    <w:rsid w:val="00FF34A6"/>
    <w:rsid w:val="00FF3658"/>
    <w:rsid w:val="00FF3A9B"/>
    <w:rsid w:val="00FF3AC5"/>
    <w:rsid w:val="00FF3DA2"/>
    <w:rsid w:val="00FF43F3"/>
    <w:rsid w:val="00FF4BD1"/>
    <w:rsid w:val="00FF4DFB"/>
    <w:rsid w:val="00FF60F0"/>
    <w:rsid w:val="00FF6501"/>
    <w:rsid w:val="00FF6898"/>
    <w:rsid w:val="00FF75F5"/>
    <w:rsid w:val="00FF7949"/>
  </w:rsids>
  <m:mathPr>
    <m:mathFont m:val="Cambria Math"/>
    <m:brkBin m:val="before"/>
    <m:brkBinSub m:val="--"/>
    <m:smallFrac m:val="0"/>
    <m:dispDef/>
    <m:lMargin m:val="0"/>
    <m:rMargin m:val="0"/>
    <m:defJc m:val="centerGroup"/>
    <m:wrapIndent m:val="1440"/>
    <m:intLim m:val="subSup"/>
    <m:naryLim m:val="undOvr"/>
  </m:mathPr>
  <w:themeFontLang w:val="sk-SK"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272385"/>
    <o:shapelayout v:ext="edit">
      <o:idmap v:ext="edit" data="1"/>
    </o:shapelayout>
  </w:shapeDefaults>
  <w:decimalSymbol w:val=","/>
  <w:listSeparator w:val=";"/>
  <w14:docId w14:val="26054B9D"/>
  <w15:chartTrackingRefBased/>
  <w15:docId w15:val="{45133BF8-55BF-49C5-AB5D-471AF52A8E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867A9"/>
    <w:pPr>
      <w:spacing w:after="200" w:line="276" w:lineRule="auto"/>
      <w:jc w:val="both"/>
    </w:pPr>
    <w:rPr>
      <w:rFonts w:ascii="Arial Narrow" w:hAnsi="Arial Narrow"/>
    </w:rPr>
  </w:style>
  <w:style w:type="paragraph" w:styleId="Nadpis1">
    <w:name w:val="heading 1"/>
    <w:basedOn w:val="Normlny"/>
    <w:next w:val="Normlny"/>
    <w:link w:val="Nadpis1Char"/>
    <w:uiPriority w:val="9"/>
    <w:qFormat/>
    <w:rsid w:val="00687B40"/>
    <w:pPr>
      <w:keepNext/>
      <w:keepLines/>
      <w:numPr>
        <w:numId w:val="1"/>
      </w:numPr>
      <w:spacing w:before="240" w:after="400"/>
      <w:outlineLvl w:val="0"/>
    </w:pPr>
    <w:rPr>
      <w:rFonts w:eastAsiaTheme="majorEastAsia" w:cstheme="majorBidi"/>
      <w:color w:val="2E74B5" w:themeColor="accent1" w:themeShade="BF"/>
      <w:sz w:val="32"/>
      <w:szCs w:val="32"/>
    </w:rPr>
  </w:style>
  <w:style w:type="paragraph" w:styleId="Nadpis2">
    <w:name w:val="heading 2"/>
    <w:basedOn w:val="Normlny"/>
    <w:next w:val="Normlny"/>
    <w:link w:val="Nadpis2Char"/>
    <w:uiPriority w:val="9"/>
    <w:unhideWhenUsed/>
    <w:qFormat/>
    <w:rsid w:val="00687B40"/>
    <w:pPr>
      <w:keepNext/>
      <w:keepLines/>
      <w:numPr>
        <w:ilvl w:val="1"/>
        <w:numId w:val="1"/>
      </w:numPr>
      <w:spacing w:before="40" w:after="260"/>
      <w:jc w:val="left"/>
      <w:outlineLvl w:val="1"/>
    </w:pPr>
    <w:rPr>
      <w:rFonts w:eastAsiaTheme="majorEastAsia" w:cstheme="majorBidi"/>
      <w:color w:val="2E74B5" w:themeColor="accent1" w:themeShade="BF"/>
      <w:sz w:val="26"/>
      <w:szCs w:val="26"/>
    </w:rPr>
  </w:style>
  <w:style w:type="paragraph" w:styleId="Nadpis3">
    <w:name w:val="heading 3"/>
    <w:basedOn w:val="Normlny"/>
    <w:next w:val="Normlny"/>
    <w:link w:val="Nadpis3Char"/>
    <w:uiPriority w:val="9"/>
    <w:unhideWhenUsed/>
    <w:qFormat/>
    <w:rsid w:val="007F42C6"/>
    <w:pPr>
      <w:keepNext/>
      <w:keepLines/>
      <w:numPr>
        <w:ilvl w:val="2"/>
        <w:numId w:val="1"/>
      </w:numPr>
      <w:spacing w:before="40" w:after="240"/>
      <w:outlineLvl w:val="2"/>
    </w:pPr>
    <w:rPr>
      <w:rFonts w:eastAsiaTheme="majorEastAsia" w:cstheme="majorBidi"/>
      <w:color w:val="2E74B5" w:themeColor="accent1" w:themeShade="BF"/>
      <w:sz w:val="24"/>
      <w:szCs w:val="24"/>
    </w:rPr>
  </w:style>
  <w:style w:type="paragraph" w:styleId="Nadpis4">
    <w:name w:val="heading 4"/>
    <w:basedOn w:val="Normlny"/>
    <w:next w:val="Normlny"/>
    <w:link w:val="Nadpis4Char"/>
    <w:uiPriority w:val="9"/>
    <w:unhideWhenUsed/>
    <w:qFormat/>
    <w:rsid w:val="00635B23"/>
    <w:pPr>
      <w:keepNext/>
      <w:keepLines/>
      <w:numPr>
        <w:ilvl w:val="3"/>
        <w:numId w:val="1"/>
      </w:numPr>
      <w:spacing w:before="40" w:after="160"/>
      <w:outlineLvl w:val="3"/>
    </w:pPr>
    <w:rPr>
      <w:rFonts w:eastAsiaTheme="majorEastAsia" w:cstheme="majorBidi"/>
      <w:b/>
      <w:iCs/>
      <w:color w:val="002060"/>
    </w:rPr>
  </w:style>
  <w:style w:type="paragraph" w:styleId="Nadpis5">
    <w:name w:val="heading 5"/>
    <w:basedOn w:val="Normlny"/>
    <w:next w:val="Normlny"/>
    <w:link w:val="Nadpis5Char"/>
    <w:uiPriority w:val="9"/>
    <w:semiHidden/>
    <w:unhideWhenUsed/>
    <w:qFormat/>
    <w:rsid w:val="000879FC"/>
    <w:pPr>
      <w:keepNext/>
      <w:keepLines/>
      <w:numPr>
        <w:ilvl w:val="4"/>
        <w:numId w:val="1"/>
      </w:numPr>
      <w:spacing w:before="40" w:after="0"/>
      <w:outlineLvl w:val="4"/>
    </w:pPr>
    <w:rPr>
      <w:rFonts w:asciiTheme="majorHAnsi" w:eastAsiaTheme="majorEastAsia" w:hAnsiTheme="majorHAnsi" w:cstheme="majorBidi"/>
      <w:color w:val="2E74B5" w:themeColor="accent1" w:themeShade="BF"/>
    </w:rPr>
  </w:style>
  <w:style w:type="paragraph" w:styleId="Nadpis6">
    <w:name w:val="heading 6"/>
    <w:basedOn w:val="Normlny"/>
    <w:next w:val="Normlny"/>
    <w:link w:val="Nadpis6Char"/>
    <w:uiPriority w:val="9"/>
    <w:semiHidden/>
    <w:unhideWhenUsed/>
    <w:qFormat/>
    <w:rsid w:val="000879FC"/>
    <w:pPr>
      <w:keepNext/>
      <w:keepLines/>
      <w:numPr>
        <w:ilvl w:val="5"/>
        <w:numId w:val="1"/>
      </w:numPr>
      <w:spacing w:before="40" w:after="0"/>
      <w:outlineLvl w:val="5"/>
    </w:pPr>
    <w:rPr>
      <w:rFonts w:asciiTheme="majorHAnsi" w:eastAsiaTheme="majorEastAsia" w:hAnsiTheme="majorHAnsi" w:cstheme="majorBidi"/>
      <w:color w:val="1F4D78" w:themeColor="accent1" w:themeShade="7F"/>
    </w:rPr>
  </w:style>
  <w:style w:type="paragraph" w:styleId="Nadpis7">
    <w:name w:val="heading 7"/>
    <w:basedOn w:val="Normlny"/>
    <w:next w:val="Normlny"/>
    <w:link w:val="Nadpis7Char"/>
    <w:uiPriority w:val="9"/>
    <w:semiHidden/>
    <w:unhideWhenUsed/>
    <w:qFormat/>
    <w:rsid w:val="000879FC"/>
    <w:pPr>
      <w:keepNext/>
      <w:keepLines/>
      <w:numPr>
        <w:ilvl w:val="6"/>
        <w:numId w:val="1"/>
      </w:numPr>
      <w:spacing w:before="40" w:after="0"/>
      <w:outlineLvl w:val="6"/>
    </w:pPr>
    <w:rPr>
      <w:rFonts w:asciiTheme="majorHAnsi" w:eastAsiaTheme="majorEastAsia" w:hAnsiTheme="majorHAnsi" w:cstheme="majorBidi"/>
      <w:i/>
      <w:iCs/>
      <w:color w:val="1F4D78" w:themeColor="accent1" w:themeShade="7F"/>
    </w:rPr>
  </w:style>
  <w:style w:type="paragraph" w:styleId="Nadpis8">
    <w:name w:val="heading 8"/>
    <w:basedOn w:val="Normlny"/>
    <w:next w:val="Normlny"/>
    <w:link w:val="Nadpis8Char"/>
    <w:uiPriority w:val="9"/>
    <w:semiHidden/>
    <w:unhideWhenUsed/>
    <w:qFormat/>
    <w:rsid w:val="000879FC"/>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Nadpis9">
    <w:name w:val="heading 9"/>
    <w:basedOn w:val="Normlny"/>
    <w:next w:val="Normlny"/>
    <w:link w:val="Nadpis9Char"/>
    <w:uiPriority w:val="9"/>
    <w:semiHidden/>
    <w:unhideWhenUsed/>
    <w:qFormat/>
    <w:rsid w:val="000879FC"/>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tl1">
    <w:name w:val="Štýl1"/>
    <w:basedOn w:val="Predvolenpsmoodseku"/>
    <w:uiPriority w:val="1"/>
    <w:rsid w:val="00A12EE5"/>
    <w:rPr>
      <w:b/>
    </w:rPr>
  </w:style>
  <w:style w:type="paragraph" w:styleId="Hlavika">
    <w:name w:val="header"/>
    <w:basedOn w:val="Normlny"/>
    <w:link w:val="HlavikaChar"/>
    <w:uiPriority w:val="99"/>
    <w:unhideWhenUsed/>
    <w:rsid w:val="00C06F66"/>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06F66"/>
  </w:style>
  <w:style w:type="paragraph" w:styleId="Pta">
    <w:name w:val="footer"/>
    <w:basedOn w:val="Normlny"/>
    <w:link w:val="PtaChar"/>
    <w:uiPriority w:val="99"/>
    <w:unhideWhenUsed/>
    <w:rsid w:val="00C06F66"/>
    <w:pPr>
      <w:tabs>
        <w:tab w:val="center" w:pos="4536"/>
        <w:tab w:val="right" w:pos="9072"/>
      </w:tabs>
      <w:spacing w:after="0" w:line="240" w:lineRule="auto"/>
    </w:pPr>
  </w:style>
  <w:style w:type="character" w:customStyle="1" w:styleId="PtaChar">
    <w:name w:val="Päta Char"/>
    <w:basedOn w:val="Predvolenpsmoodseku"/>
    <w:link w:val="Pta"/>
    <w:uiPriority w:val="99"/>
    <w:rsid w:val="00C06F66"/>
  </w:style>
  <w:style w:type="character" w:customStyle="1" w:styleId="Nadpis1Char">
    <w:name w:val="Nadpis 1 Char"/>
    <w:basedOn w:val="Predvolenpsmoodseku"/>
    <w:link w:val="Nadpis1"/>
    <w:uiPriority w:val="9"/>
    <w:rsid w:val="00687B40"/>
    <w:rPr>
      <w:rFonts w:ascii="Arial Narrow" w:eastAsiaTheme="majorEastAsia" w:hAnsi="Arial Narrow" w:cstheme="majorBidi"/>
      <w:color w:val="2E74B5" w:themeColor="accent1" w:themeShade="BF"/>
      <w:sz w:val="32"/>
      <w:szCs w:val="32"/>
    </w:rPr>
  </w:style>
  <w:style w:type="character" w:customStyle="1" w:styleId="Nadpis2Char">
    <w:name w:val="Nadpis 2 Char"/>
    <w:basedOn w:val="Predvolenpsmoodseku"/>
    <w:link w:val="Nadpis2"/>
    <w:uiPriority w:val="9"/>
    <w:rsid w:val="00687B40"/>
    <w:rPr>
      <w:rFonts w:ascii="Arial Narrow" w:eastAsiaTheme="majorEastAsia" w:hAnsi="Arial Narrow" w:cstheme="majorBidi"/>
      <w:color w:val="2E74B5" w:themeColor="accent1" w:themeShade="BF"/>
      <w:sz w:val="26"/>
      <w:szCs w:val="26"/>
    </w:rPr>
  </w:style>
  <w:style w:type="character" w:customStyle="1" w:styleId="Nadpis3Char">
    <w:name w:val="Nadpis 3 Char"/>
    <w:basedOn w:val="Predvolenpsmoodseku"/>
    <w:link w:val="Nadpis3"/>
    <w:uiPriority w:val="9"/>
    <w:rsid w:val="00687B40"/>
    <w:rPr>
      <w:rFonts w:ascii="Arial Narrow" w:eastAsiaTheme="majorEastAsia" w:hAnsi="Arial Narrow" w:cstheme="majorBidi"/>
      <w:color w:val="2E74B5" w:themeColor="accent1" w:themeShade="BF"/>
      <w:sz w:val="24"/>
      <w:szCs w:val="24"/>
    </w:rPr>
  </w:style>
  <w:style w:type="character" w:customStyle="1" w:styleId="Nadpis4Char">
    <w:name w:val="Nadpis 4 Char"/>
    <w:basedOn w:val="Predvolenpsmoodseku"/>
    <w:link w:val="Nadpis4"/>
    <w:uiPriority w:val="9"/>
    <w:rsid w:val="00635B23"/>
    <w:rPr>
      <w:rFonts w:ascii="Arial Narrow" w:eastAsiaTheme="majorEastAsia" w:hAnsi="Arial Narrow" w:cstheme="majorBidi"/>
      <w:b/>
      <w:iCs/>
      <w:color w:val="002060"/>
    </w:rPr>
  </w:style>
  <w:style w:type="character" w:customStyle="1" w:styleId="Nadpis5Char">
    <w:name w:val="Nadpis 5 Char"/>
    <w:basedOn w:val="Predvolenpsmoodseku"/>
    <w:link w:val="Nadpis5"/>
    <w:uiPriority w:val="9"/>
    <w:semiHidden/>
    <w:rsid w:val="000879FC"/>
    <w:rPr>
      <w:rFonts w:asciiTheme="majorHAnsi" w:eastAsiaTheme="majorEastAsia" w:hAnsiTheme="majorHAnsi" w:cstheme="majorBidi"/>
      <w:color w:val="2E74B5" w:themeColor="accent1" w:themeShade="BF"/>
    </w:rPr>
  </w:style>
  <w:style w:type="character" w:customStyle="1" w:styleId="Nadpis6Char">
    <w:name w:val="Nadpis 6 Char"/>
    <w:basedOn w:val="Predvolenpsmoodseku"/>
    <w:link w:val="Nadpis6"/>
    <w:uiPriority w:val="9"/>
    <w:semiHidden/>
    <w:rsid w:val="000879FC"/>
    <w:rPr>
      <w:rFonts w:asciiTheme="majorHAnsi" w:eastAsiaTheme="majorEastAsia" w:hAnsiTheme="majorHAnsi" w:cstheme="majorBidi"/>
      <w:color w:val="1F4D78" w:themeColor="accent1" w:themeShade="7F"/>
    </w:rPr>
  </w:style>
  <w:style w:type="character" w:customStyle="1" w:styleId="Nadpis7Char">
    <w:name w:val="Nadpis 7 Char"/>
    <w:basedOn w:val="Predvolenpsmoodseku"/>
    <w:link w:val="Nadpis7"/>
    <w:uiPriority w:val="9"/>
    <w:semiHidden/>
    <w:rsid w:val="000879FC"/>
    <w:rPr>
      <w:rFonts w:asciiTheme="majorHAnsi" w:eastAsiaTheme="majorEastAsia" w:hAnsiTheme="majorHAnsi" w:cstheme="majorBidi"/>
      <w:i/>
      <w:iCs/>
      <w:color w:val="1F4D78" w:themeColor="accent1" w:themeShade="7F"/>
    </w:rPr>
  </w:style>
  <w:style w:type="character" w:customStyle="1" w:styleId="Nadpis8Char">
    <w:name w:val="Nadpis 8 Char"/>
    <w:basedOn w:val="Predvolenpsmoodseku"/>
    <w:link w:val="Nadpis8"/>
    <w:uiPriority w:val="9"/>
    <w:semiHidden/>
    <w:rsid w:val="000879FC"/>
    <w:rPr>
      <w:rFonts w:asciiTheme="majorHAnsi" w:eastAsiaTheme="majorEastAsia" w:hAnsiTheme="majorHAnsi" w:cstheme="majorBidi"/>
      <w:color w:val="272727" w:themeColor="text1" w:themeTint="D8"/>
      <w:sz w:val="21"/>
      <w:szCs w:val="21"/>
    </w:rPr>
  </w:style>
  <w:style w:type="character" w:customStyle="1" w:styleId="Nadpis9Char">
    <w:name w:val="Nadpis 9 Char"/>
    <w:basedOn w:val="Predvolenpsmoodseku"/>
    <w:link w:val="Nadpis9"/>
    <w:uiPriority w:val="9"/>
    <w:semiHidden/>
    <w:rsid w:val="000879FC"/>
    <w:rPr>
      <w:rFonts w:asciiTheme="majorHAnsi" w:eastAsiaTheme="majorEastAsia" w:hAnsiTheme="majorHAnsi" w:cstheme="majorBidi"/>
      <w:i/>
      <w:iCs/>
      <w:color w:val="272727" w:themeColor="text1" w:themeTint="D8"/>
      <w:sz w:val="21"/>
      <w:szCs w:val="21"/>
    </w:rPr>
  </w:style>
  <w:style w:type="paragraph" w:styleId="Textpoznmkypodiarou">
    <w:name w:val="footnote text"/>
    <w:aliases w:val="Text poznámky pod čiarou 007,Schriftart: 9 pt,Schriftart: 10 pt,Schriftart: 8 pt,_Poznámka pod čiarou,Footnote Text Char2,Footnote Text Char1 Char,Footnote Text Char2 Char Char,Footnote Text Char1 Char Char Char Char Char Char,f"/>
    <w:basedOn w:val="Normlny"/>
    <w:link w:val="TextpoznmkypodiarouChar"/>
    <w:uiPriority w:val="99"/>
    <w:unhideWhenUsed/>
    <w:qFormat/>
    <w:rsid w:val="000879FC"/>
    <w:pPr>
      <w:spacing w:after="0" w:line="240" w:lineRule="auto"/>
    </w:pPr>
    <w:rPr>
      <w:sz w:val="20"/>
      <w:szCs w:val="20"/>
    </w:rPr>
  </w:style>
  <w:style w:type="character" w:customStyle="1" w:styleId="TextpoznmkypodiarouChar">
    <w:name w:val="Text poznámky pod čiarou Char"/>
    <w:aliases w:val="Text poznámky pod čiarou 007 Char,Schriftart: 9 pt Char,Schriftart: 10 pt Char,Schriftart: 8 pt Char,_Poznámka pod čiarou Char,Footnote Text Char2 Char,Footnote Text Char1 Char Char,Footnote Text Char2 Char Char Char,f Char"/>
    <w:basedOn w:val="Predvolenpsmoodseku"/>
    <w:link w:val="Textpoznmkypodiarou"/>
    <w:uiPriority w:val="99"/>
    <w:rsid w:val="000879FC"/>
    <w:rPr>
      <w:rFonts w:ascii="Arial Narrow" w:hAnsi="Arial Narrow"/>
      <w:sz w:val="20"/>
      <w:szCs w:val="20"/>
    </w:rPr>
  </w:style>
  <w:style w:type="character" w:styleId="Odkaznapoznmkupodiarou">
    <w:name w:val="footnote reference"/>
    <w:aliases w:val="16 Point,Superscript 6 Point,Footnote Reference Number,Footnote Reference_LVL6,Footnote Reference_LVL61,Footnote Reference_LVL62,Footnote Reference_LVL63,Footnote Reference_LVL64,Footnote call,BVI fnr,SUPERS,Footnote symbol"/>
    <w:basedOn w:val="Predvolenpsmoodseku"/>
    <w:uiPriority w:val="99"/>
    <w:unhideWhenUsed/>
    <w:rsid w:val="000879FC"/>
    <w:rPr>
      <w:vertAlign w:val="superscript"/>
    </w:rPr>
  </w:style>
  <w:style w:type="paragraph" w:styleId="Odsekzoznamu">
    <w:name w:val="List Paragraph"/>
    <w:aliases w:val="body,Odsek zoznamu2,Obiekt,List Paragraph1,text,List Paragraph11,Bullet Number,lp1,lp11,Bullet 1,Use Case List Paragraph,Odsek,Colorful List - Accent 11,ZOZNAM"/>
    <w:basedOn w:val="Normlny"/>
    <w:link w:val="OdsekzoznamuChar"/>
    <w:uiPriority w:val="34"/>
    <w:qFormat/>
    <w:rsid w:val="000879FC"/>
    <w:pPr>
      <w:ind w:left="720"/>
      <w:contextualSpacing/>
    </w:pPr>
  </w:style>
  <w:style w:type="character" w:styleId="Odkaznakomentr">
    <w:name w:val="annotation reference"/>
    <w:basedOn w:val="Predvolenpsmoodseku"/>
    <w:uiPriority w:val="99"/>
    <w:semiHidden/>
    <w:unhideWhenUsed/>
    <w:rsid w:val="000879FC"/>
    <w:rPr>
      <w:sz w:val="16"/>
      <w:szCs w:val="16"/>
    </w:rPr>
  </w:style>
  <w:style w:type="paragraph" w:styleId="Textkomentra">
    <w:name w:val="annotation text"/>
    <w:aliases w:val="Char Char Char"/>
    <w:basedOn w:val="Normlny"/>
    <w:link w:val="TextkomentraChar"/>
    <w:uiPriority w:val="99"/>
    <w:unhideWhenUsed/>
    <w:rsid w:val="000879FC"/>
    <w:pPr>
      <w:spacing w:line="240" w:lineRule="auto"/>
    </w:pPr>
    <w:rPr>
      <w:sz w:val="20"/>
      <w:szCs w:val="20"/>
    </w:rPr>
  </w:style>
  <w:style w:type="character" w:customStyle="1" w:styleId="TextkomentraChar">
    <w:name w:val="Text komentára Char"/>
    <w:aliases w:val="Char Char Char Char"/>
    <w:basedOn w:val="Predvolenpsmoodseku"/>
    <w:link w:val="Textkomentra"/>
    <w:uiPriority w:val="99"/>
    <w:rsid w:val="000879FC"/>
    <w:rPr>
      <w:rFonts w:ascii="Arial Narrow" w:hAnsi="Arial Narrow"/>
      <w:sz w:val="20"/>
      <w:szCs w:val="20"/>
    </w:rPr>
  </w:style>
  <w:style w:type="paragraph" w:styleId="Predmetkomentra">
    <w:name w:val="annotation subject"/>
    <w:basedOn w:val="Textkomentra"/>
    <w:next w:val="Textkomentra"/>
    <w:link w:val="PredmetkomentraChar"/>
    <w:uiPriority w:val="99"/>
    <w:semiHidden/>
    <w:unhideWhenUsed/>
    <w:rsid w:val="000879FC"/>
    <w:rPr>
      <w:b/>
      <w:bCs/>
    </w:rPr>
  </w:style>
  <w:style w:type="character" w:customStyle="1" w:styleId="PredmetkomentraChar">
    <w:name w:val="Predmet komentára Char"/>
    <w:basedOn w:val="TextkomentraChar"/>
    <w:link w:val="Predmetkomentra"/>
    <w:uiPriority w:val="99"/>
    <w:semiHidden/>
    <w:rsid w:val="000879FC"/>
    <w:rPr>
      <w:rFonts w:ascii="Arial Narrow" w:hAnsi="Arial Narrow"/>
      <w:b/>
      <w:bCs/>
      <w:sz w:val="20"/>
      <w:szCs w:val="20"/>
    </w:rPr>
  </w:style>
  <w:style w:type="paragraph" w:styleId="Textbubliny">
    <w:name w:val="Balloon Text"/>
    <w:basedOn w:val="Normlny"/>
    <w:link w:val="TextbublinyChar"/>
    <w:uiPriority w:val="99"/>
    <w:semiHidden/>
    <w:unhideWhenUsed/>
    <w:rsid w:val="000879FC"/>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879FC"/>
    <w:rPr>
      <w:rFonts w:ascii="Tahoma" w:hAnsi="Tahoma" w:cs="Tahoma"/>
      <w:sz w:val="16"/>
      <w:szCs w:val="16"/>
    </w:rPr>
  </w:style>
  <w:style w:type="character" w:styleId="slostrany">
    <w:name w:val="page number"/>
    <w:basedOn w:val="Predvolenpsmoodseku"/>
    <w:rsid w:val="000879FC"/>
  </w:style>
  <w:style w:type="table" w:styleId="Mriekatabuky">
    <w:name w:val="Table Grid"/>
    <w:basedOn w:val="Normlnatabuka"/>
    <w:uiPriority w:val="39"/>
    <w:rsid w:val="000879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0879FC"/>
    <w:rPr>
      <w:color w:val="0563C1" w:themeColor="hyperlink"/>
      <w:u w:val="single"/>
    </w:rPr>
  </w:style>
  <w:style w:type="character" w:customStyle="1" w:styleId="apple-converted-space">
    <w:name w:val="apple-converted-space"/>
    <w:basedOn w:val="Predvolenpsmoodseku"/>
    <w:rsid w:val="000879FC"/>
  </w:style>
  <w:style w:type="character" w:styleId="PouitHypertextovPrepojenie">
    <w:name w:val="FollowedHyperlink"/>
    <w:basedOn w:val="Predvolenpsmoodseku"/>
    <w:uiPriority w:val="99"/>
    <w:semiHidden/>
    <w:unhideWhenUsed/>
    <w:rsid w:val="000879FC"/>
    <w:rPr>
      <w:color w:val="954F72" w:themeColor="followedHyperlink"/>
      <w:u w:val="single"/>
    </w:rPr>
  </w:style>
  <w:style w:type="paragraph" w:styleId="Nzov">
    <w:name w:val="Title"/>
    <w:basedOn w:val="Normlny"/>
    <w:next w:val="Normlny"/>
    <w:link w:val="NzovChar"/>
    <w:uiPriority w:val="10"/>
    <w:qFormat/>
    <w:rsid w:val="000879FC"/>
    <w:pPr>
      <w:spacing w:after="0" w:line="240" w:lineRule="auto"/>
      <w:contextualSpacing/>
    </w:pPr>
    <w:rPr>
      <w:rFonts w:eastAsiaTheme="majorEastAsia" w:cstheme="majorBidi"/>
      <w:spacing w:val="-10"/>
      <w:kern w:val="28"/>
      <w:sz w:val="56"/>
      <w:szCs w:val="56"/>
    </w:rPr>
  </w:style>
  <w:style w:type="character" w:customStyle="1" w:styleId="NzovChar">
    <w:name w:val="Názov Char"/>
    <w:basedOn w:val="Predvolenpsmoodseku"/>
    <w:link w:val="Nzov"/>
    <w:uiPriority w:val="10"/>
    <w:rsid w:val="000879FC"/>
    <w:rPr>
      <w:rFonts w:ascii="Arial Narrow" w:eastAsiaTheme="majorEastAsia" w:hAnsi="Arial Narrow" w:cstheme="majorBidi"/>
      <w:spacing w:val="-10"/>
      <w:kern w:val="28"/>
      <w:sz w:val="56"/>
      <w:szCs w:val="56"/>
    </w:rPr>
  </w:style>
  <w:style w:type="numbering" w:customStyle="1" w:styleId="Bezzoznamu1">
    <w:name w:val="Bez zoznamu1"/>
    <w:next w:val="Bezzoznamu"/>
    <w:uiPriority w:val="99"/>
    <w:semiHidden/>
    <w:unhideWhenUsed/>
    <w:rsid w:val="000879FC"/>
  </w:style>
  <w:style w:type="table" w:customStyle="1" w:styleId="Mriekatabuky1">
    <w:name w:val="Mriežka tabuľky1"/>
    <w:basedOn w:val="Normlnatabuka"/>
    <w:next w:val="Mriekatabuky"/>
    <w:uiPriority w:val="39"/>
    <w:rsid w:val="000879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obsahu">
    <w:name w:val="TOC Heading"/>
    <w:basedOn w:val="Nadpis1"/>
    <w:next w:val="Normlny"/>
    <w:uiPriority w:val="39"/>
    <w:unhideWhenUsed/>
    <w:qFormat/>
    <w:rsid w:val="000879FC"/>
    <w:pPr>
      <w:outlineLvl w:val="9"/>
    </w:pPr>
    <w:rPr>
      <w:rFonts w:asciiTheme="majorHAnsi" w:hAnsiTheme="majorHAnsi"/>
      <w:lang w:eastAsia="sk-SK"/>
    </w:rPr>
  </w:style>
  <w:style w:type="paragraph" w:styleId="Obsah1">
    <w:name w:val="toc 1"/>
    <w:basedOn w:val="Normlny"/>
    <w:next w:val="Normlny"/>
    <w:autoRedefine/>
    <w:uiPriority w:val="39"/>
    <w:unhideWhenUsed/>
    <w:rsid w:val="000009D6"/>
    <w:pPr>
      <w:tabs>
        <w:tab w:val="left" w:pos="440"/>
        <w:tab w:val="right" w:leader="dot" w:pos="9062"/>
      </w:tabs>
      <w:spacing w:after="100"/>
    </w:pPr>
  </w:style>
  <w:style w:type="paragraph" w:styleId="Obsah2">
    <w:name w:val="toc 2"/>
    <w:basedOn w:val="Normlny"/>
    <w:next w:val="Normlny"/>
    <w:autoRedefine/>
    <w:uiPriority w:val="39"/>
    <w:unhideWhenUsed/>
    <w:rsid w:val="008B0C28"/>
    <w:pPr>
      <w:tabs>
        <w:tab w:val="left" w:pos="880"/>
        <w:tab w:val="right" w:leader="dot" w:pos="9062"/>
      </w:tabs>
      <w:spacing w:after="100"/>
      <w:ind w:left="220"/>
    </w:pPr>
  </w:style>
  <w:style w:type="paragraph" w:styleId="Obsah3">
    <w:name w:val="toc 3"/>
    <w:basedOn w:val="Normlny"/>
    <w:next w:val="Normlny"/>
    <w:autoRedefine/>
    <w:uiPriority w:val="39"/>
    <w:unhideWhenUsed/>
    <w:rsid w:val="000879FC"/>
    <w:pPr>
      <w:spacing w:after="100"/>
      <w:ind w:left="440"/>
    </w:pPr>
  </w:style>
  <w:style w:type="paragraph" w:styleId="Bezriadkovania">
    <w:name w:val="No Spacing"/>
    <w:uiPriority w:val="1"/>
    <w:qFormat/>
    <w:rsid w:val="000879FC"/>
    <w:pPr>
      <w:spacing w:after="0" w:line="240" w:lineRule="auto"/>
    </w:pPr>
    <w:rPr>
      <w:rFonts w:ascii="NeueHaasGroteskDisp W02" w:hAnsi="NeueHaasGroteskDisp W02"/>
    </w:rPr>
  </w:style>
  <w:style w:type="paragraph" w:styleId="Popis">
    <w:name w:val="caption"/>
    <w:basedOn w:val="Normlny"/>
    <w:next w:val="Normlny"/>
    <w:uiPriority w:val="35"/>
    <w:unhideWhenUsed/>
    <w:qFormat/>
    <w:rsid w:val="000879FC"/>
    <w:pPr>
      <w:keepNext/>
      <w:spacing w:line="240" w:lineRule="auto"/>
    </w:pPr>
    <w:rPr>
      <w:b/>
      <w:iCs/>
      <w:color w:val="2C9ADC"/>
      <w:sz w:val="18"/>
      <w:szCs w:val="18"/>
    </w:rPr>
  </w:style>
  <w:style w:type="paragraph" w:customStyle="1" w:styleId="Normlny1">
    <w:name w:val="Normálny1"/>
    <w:rsid w:val="006A5298"/>
    <w:pPr>
      <w:spacing w:after="200" w:line="276" w:lineRule="auto"/>
      <w:jc w:val="both"/>
    </w:pPr>
    <w:rPr>
      <w:rFonts w:ascii="Arial Narrow" w:eastAsia="Arial Narrow" w:hAnsi="Arial Narrow" w:cs="Arial Narrow"/>
      <w:color w:val="000000"/>
      <w:lang w:val="en-US"/>
    </w:rPr>
  </w:style>
  <w:style w:type="paragraph" w:styleId="Revzia">
    <w:name w:val="Revision"/>
    <w:hidden/>
    <w:uiPriority w:val="99"/>
    <w:semiHidden/>
    <w:rsid w:val="0082172A"/>
    <w:pPr>
      <w:spacing w:after="0" w:line="240" w:lineRule="auto"/>
    </w:pPr>
    <w:rPr>
      <w:rFonts w:ascii="Arial Narrow" w:hAnsi="Arial Narrow"/>
    </w:rPr>
  </w:style>
  <w:style w:type="paragraph" w:styleId="Normlnywebov">
    <w:name w:val="Normal (Web)"/>
    <w:basedOn w:val="Normlny"/>
    <w:uiPriority w:val="99"/>
    <w:semiHidden/>
    <w:unhideWhenUsed/>
    <w:rsid w:val="00C556B2"/>
    <w:pPr>
      <w:spacing w:before="100" w:beforeAutospacing="1" w:after="100" w:afterAutospacing="1" w:line="240" w:lineRule="auto"/>
      <w:jc w:val="left"/>
    </w:pPr>
    <w:rPr>
      <w:rFonts w:ascii="Times New Roman" w:eastAsiaTheme="minorEastAsia" w:hAnsi="Times New Roman" w:cs="Times New Roman"/>
      <w:sz w:val="24"/>
      <w:szCs w:val="24"/>
      <w:lang w:eastAsia="sk-SK"/>
    </w:rPr>
  </w:style>
  <w:style w:type="table" w:styleId="Obyajntabuka4">
    <w:name w:val="Plain Table 4"/>
    <w:basedOn w:val="Normlnatabuka"/>
    <w:uiPriority w:val="44"/>
    <w:rsid w:val="005F0CFD"/>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Zoznamobrzkov">
    <w:name w:val="table of figures"/>
    <w:basedOn w:val="Normlny"/>
    <w:next w:val="Normlny"/>
    <w:uiPriority w:val="99"/>
    <w:unhideWhenUsed/>
    <w:rsid w:val="00783196"/>
    <w:pPr>
      <w:spacing w:after="0"/>
    </w:pPr>
  </w:style>
  <w:style w:type="paragraph" w:styleId="Zkladntext">
    <w:name w:val="Body Text"/>
    <w:basedOn w:val="Normlny"/>
    <w:link w:val="ZkladntextChar"/>
    <w:uiPriority w:val="99"/>
    <w:unhideWhenUsed/>
    <w:rsid w:val="001272CB"/>
    <w:pPr>
      <w:spacing w:after="120"/>
    </w:pPr>
  </w:style>
  <w:style w:type="character" w:customStyle="1" w:styleId="ZkladntextChar">
    <w:name w:val="Základný text Char"/>
    <w:basedOn w:val="Predvolenpsmoodseku"/>
    <w:link w:val="Zkladntext"/>
    <w:uiPriority w:val="99"/>
    <w:rsid w:val="001272CB"/>
    <w:rPr>
      <w:rFonts w:ascii="Arial Narrow" w:hAnsi="Arial Narrow"/>
    </w:rPr>
  </w:style>
  <w:style w:type="character" w:styleId="Zstupntext">
    <w:name w:val="Placeholder Text"/>
    <w:basedOn w:val="Predvolenpsmoodseku"/>
    <w:uiPriority w:val="99"/>
    <w:semiHidden/>
    <w:rsid w:val="004B066F"/>
    <w:rPr>
      <w:color w:val="808080"/>
    </w:rPr>
  </w:style>
  <w:style w:type="table" w:customStyle="1" w:styleId="Mriekatabuky2">
    <w:name w:val="Mriežka tabuľky2"/>
    <w:basedOn w:val="Normlnatabuka"/>
    <w:next w:val="Mriekatabuky"/>
    <w:uiPriority w:val="39"/>
    <w:rsid w:val="00097E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ukasmriekou4zvraznenie61">
    <w:name w:val="Tabuľka s mriežkou 4 – zvýraznenie 61"/>
    <w:basedOn w:val="Normlnatabuka"/>
    <w:next w:val="Tabukasmriekou4zvraznenie6"/>
    <w:uiPriority w:val="49"/>
    <w:rsid w:val="00437FF9"/>
    <w:pPr>
      <w:spacing w:after="0" w:line="240" w:lineRule="auto"/>
    </w:pPr>
    <w:tblPr>
      <w:tblStyleRowBandSize w:val="1"/>
      <w:tblStyleColBandSize w:val="1"/>
      <w:tblBorders>
        <w:top w:val="single" w:sz="4" w:space="0" w:color="949494"/>
        <w:left w:val="single" w:sz="4" w:space="0" w:color="949494"/>
        <w:bottom w:val="single" w:sz="4" w:space="0" w:color="949494"/>
        <w:right w:val="single" w:sz="4" w:space="0" w:color="949494"/>
        <w:insideH w:val="single" w:sz="4" w:space="0" w:color="949494"/>
        <w:insideV w:val="single" w:sz="4" w:space="0" w:color="949494"/>
      </w:tblBorders>
    </w:tblPr>
    <w:tblStylePr w:type="firstRow">
      <w:rPr>
        <w:b/>
        <w:bCs/>
        <w:color w:val="FFFFFF"/>
      </w:rPr>
      <w:tblPr/>
      <w:tcPr>
        <w:tcBorders>
          <w:top w:val="single" w:sz="4" w:space="0" w:color="4D4D4D"/>
          <w:left w:val="single" w:sz="4" w:space="0" w:color="4D4D4D"/>
          <w:bottom w:val="single" w:sz="4" w:space="0" w:color="4D4D4D"/>
          <w:right w:val="single" w:sz="4" w:space="0" w:color="4D4D4D"/>
          <w:insideH w:val="nil"/>
          <w:insideV w:val="nil"/>
        </w:tcBorders>
        <w:shd w:val="clear" w:color="auto" w:fill="4D4D4D"/>
      </w:tcPr>
    </w:tblStylePr>
    <w:tblStylePr w:type="lastRow">
      <w:rPr>
        <w:b/>
        <w:bCs/>
      </w:rPr>
      <w:tblPr/>
      <w:tcPr>
        <w:tcBorders>
          <w:top w:val="double" w:sz="4" w:space="0" w:color="4D4D4D"/>
        </w:tcBorders>
      </w:tcPr>
    </w:tblStylePr>
    <w:tblStylePr w:type="firstCol">
      <w:rPr>
        <w:b/>
        <w:bCs/>
      </w:rPr>
    </w:tblStylePr>
    <w:tblStylePr w:type="lastCol">
      <w:rPr>
        <w:b/>
        <w:bCs/>
      </w:rPr>
    </w:tblStylePr>
    <w:tblStylePr w:type="band1Vert">
      <w:tblPr/>
      <w:tcPr>
        <w:shd w:val="clear" w:color="auto" w:fill="DBDBDB"/>
      </w:tcPr>
    </w:tblStylePr>
    <w:tblStylePr w:type="band1Horz">
      <w:tblPr/>
      <w:tcPr>
        <w:shd w:val="clear" w:color="auto" w:fill="DBDBDB"/>
      </w:tcPr>
    </w:tblStylePr>
  </w:style>
  <w:style w:type="table" w:styleId="Tabukasmriekou4zvraznenie6">
    <w:name w:val="Grid Table 4 Accent 6"/>
    <w:basedOn w:val="Normlnatabuka"/>
    <w:uiPriority w:val="49"/>
    <w:rsid w:val="00437FF9"/>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customStyle="1" w:styleId="slovanodseky">
    <w:name w:val="číslované odseky"/>
    <w:basedOn w:val="Normlny"/>
    <w:qFormat/>
    <w:rsid w:val="005E40C8"/>
    <w:pPr>
      <w:numPr>
        <w:numId w:val="5"/>
      </w:numPr>
      <w:tabs>
        <w:tab w:val="left" w:pos="284"/>
      </w:tabs>
      <w:spacing w:after="120"/>
      <w:ind w:left="244" w:hanging="357"/>
    </w:pPr>
    <w:rPr>
      <w:rFonts w:asciiTheme="minorHAnsi" w:hAnsiTheme="minorHAnsi"/>
      <w:sz w:val="24"/>
    </w:rPr>
  </w:style>
  <w:style w:type="character" w:styleId="Intenzvnezvraznenie">
    <w:name w:val="Intense Emphasis"/>
    <w:basedOn w:val="Predvolenpsmoodseku"/>
    <w:uiPriority w:val="21"/>
    <w:qFormat/>
    <w:rsid w:val="00EB767D"/>
    <w:rPr>
      <w:i/>
      <w:iCs/>
      <w:color w:val="auto"/>
    </w:rPr>
  </w:style>
  <w:style w:type="character" w:styleId="Zvraznenie">
    <w:name w:val="Emphasis"/>
    <w:basedOn w:val="Predvolenpsmoodseku"/>
    <w:uiPriority w:val="20"/>
    <w:qFormat/>
    <w:rsid w:val="00EB767D"/>
    <w:rPr>
      <w:i/>
      <w:iCs/>
    </w:rPr>
  </w:style>
  <w:style w:type="table" w:styleId="Tabukasozoznamom2zvraznenie1">
    <w:name w:val="List Table 2 Accent 1"/>
    <w:basedOn w:val="Normlnatabuka"/>
    <w:uiPriority w:val="47"/>
    <w:rsid w:val="00146477"/>
    <w:pPr>
      <w:spacing w:after="0" w:line="240" w:lineRule="auto"/>
    </w:pPr>
    <w:tblPr>
      <w:tblStyleRowBandSize w:val="1"/>
      <w:tblStyleColBandSize w:val="1"/>
      <w:tblBorders>
        <w:top w:val="single" w:sz="4" w:space="0" w:color="9CC2E5" w:themeColor="accent1" w:themeTint="99"/>
        <w:bottom w:val="single" w:sz="4" w:space="0" w:color="9CC2E5" w:themeColor="accent1" w:themeTint="99"/>
        <w:insideH w:val="single" w:sz="4" w:space="0" w:color="9CC2E5"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Obyajntabuka2">
    <w:name w:val="Plain Table 2"/>
    <w:basedOn w:val="Normlnatabuka"/>
    <w:uiPriority w:val="42"/>
    <w:rsid w:val="009A2F5E"/>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spelle">
    <w:name w:val="spelle"/>
    <w:basedOn w:val="Predvolenpsmoodseku"/>
    <w:rsid w:val="00CF2A81"/>
  </w:style>
  <w:style w:type="character" w:customStyle="1" w:styleId="OdsekzoznamuChar">
    <w:name w:val="Odsek zoznamu Char"/>
    <w:aliases w:val="body Char,Odsek zoznamu2 Char,Obiekt Char,List Paragraph1 Char,text Char,List Paragraph11 Char,Bullet Number Char,lp1 Char,lp11 Char,Bullet 1 Char,Use Case List Paragraph Char,Odsek Char,Colorful List - Accent 11 Char,ZOZNAM Char"/>
    <w:basedOn w:val="Predvolenpsmoodseku"/>
    <w:link w:val="Odsekzoznamu"/>
    <w:uiPriority w:val="34"/>
    <w:qFormat/>
    <w:rsid w:val="00453A12"/>
    <w:rPr>
      <w:rFonts w:ascii="Arial Narrow" w:hAnsi="Arial Narro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682175">
      <w:bodyDiv w:val="1"/>
      <w:marLeft w:val="0"/>
      <w:marRight w:val="0"/>
      <w:marTop w:val="0"/>
      <w:marBottom w:val="0"/>
      <w:divBdr>
        <w:top w:val="none" w:sz="0" w:space="0" w:color="auto"/>
        <w:left w:val="none" w:sz="0" w:space="0" w:color="auto"/>
        <w:bottom w:val="none" w:sz="0" w:space="0" w:color="auto"/>
        <w:right w:val="none" w:sz="0" w:space="0" w:color="auto"/>
      </w:divBdr>
    </w:div>
    <w:div w:id="44107270">
      <w:bodyDiv w:val="1"/>
      <w:marLeft w:val="0"/>
      <w:marRight w:val="0"/>
      <w:marTop w:val="0"/>
      <w:marBottom w:val="0"/>
      <w:divBdr>
        <w:top w:val="none" w:sz="0" w:space="0" w:color="auto"/>
        <w:left w:val="none" w:sz="0" w:space="0" w:color="auto"/>
        <w:bottom w:val="none" w:sz="0" w:space="0" w:color="auto"/>
        <w:right w:val="none" w:sz="0" w:space="0" w:color="auto"/>
      </w:divBdr>
    </w:div>
    <w:div w:id="54622262">
      <w:bodyDiv w:val="1"/>
      <w:marLeft w:val="0"/>
      <w:marRight w:val="0"/>
      <w:marTop w:val="0"/>
      <w:marBottom w:val="0"/>
      <w:divBdr>
        <w:top w:val="none" w:sz="0" w:space="0" w:color="auto"/>
        <w:left w:val="none" w:sz="0" w:space="0" w:color="auto"/>
        <w:bottom w:val="none" w:sz="0" w:space="0" w:color="auto"/>
        <w:right w:val="none" w:sz="0" w:space="0" w:color="auto"/>
      </w:divBdr>
    </w:div>
    <w:div w:id="54789663">
      <w:bodyDiv w:val="1"/>
      <w:marLeft w:val="0"/>
      <w:marRight w:val="0"/>
      <w:marTop w:val="0"/>
      <w:marBottom w:val="0"/>
      <w:divBdr>
        <w:top w:val="none" w:sz="0" w:space="0" w:color="auto"/>
        <w:left w:val="none" w:sz="0" w:space="0" w:color="auto"/>
        <w:bottom w:val="none" w:sz="0" w:space="0" w:color="auto"/>
        <w:right w:val="none" w:sz="0" w:space="0" w:color="auto"/>
      </w:divBdr>
    </w:div>
    <w:div w:id="62529934">
      <w:bodyDiv w:val="1"/>
      <w:marLeft w:val="0"/>
      <w:marRight w:val="0"/>
      <w:marTop w:val="0"/>
      <w:marBottom w:val="0"/>
      <w:divBdr>
        <w:top w:val="none" w:sz="0" w:space="0" w:color="auto"/>
        <w:left w:val="none" w:sz="0" w:space="0" w:color="auto"/>
        <w:bottom w:val="none" w:sz="0" w:space="0" w:color="auto"/>
        <w:right w:val="none" w:sz="0" w:space="0" w:color="auto"/>
      </w:divBdr>
    </w:div>
    <w:div w:id="75631792">
      <w:bodyDiv w:val="1"/>
      <w:marLeft w:val="0"/>
      <w:marRight w:val="0"/>
      <w:marTop w:val="0"/>
      <w:marBottom w:val="0"/>
      <w:divBdr>
        <w:top w:val="none" w:sz="0" w:space="0" w:color="auto"/>
        <w:left w:val="none" w:sz="0" w:space="0" w:color="auto"/>
        <w:bottom w:val="none" w:sz="0" w:space="0" w:color="auto"/>
        <w:right w:val="none" w:sz="0" w:space="0" w:color="auto"/>
      </w:divBdr>
    </w:div>
    <w:div w:id="106897087">
      <w:bodyDiv w:val="1"/>
      <w:marLeft w:val="0"/>
      <w:marRight w:val="0"/>
      <w:marTop w:val="0"/>
      <w:marBottom w:val="0"/>
      <w:divBdr>
        <w:top w:val="none" w:sz="0" w:space="0" w:color="auto"/>
        <w:left w:val="none" w:sz="0" w:space="0" w:color="auto"/>
        <w:bottom w:val="none" w:sz="0" w:space="0" w:color="auto"/>
        <w:right w:val="none" w:sz="0" w:space="0" w:color="auto"/>
      </w:divBdr>
    </w:div>
    <w:div w:id="120273519">
      <w:bodyDiv w:val="1"/>
      <w:marLeft w:val="0"/>
      <w:marRight w:val="0"/>
      <w:marTop w:val="0"/>
      <w:marBottom w:val="0"/>
      <w:divBdr>
        <w:top w:val="none" w:sz="0" w:space="0" w:color="auto"/>
        <w:left w:val="none" w:sz="0" w:space="0" w:color="auto"/>
        <w:bottom w:val="none" w:sz="0" w:space="0" w:color="auto"/>
        <w:right w:val="none" w:sz="0" w:space="0" w:color="auto"/>
      </w:divBdr>
      <w:divsChild>
        <w:div w:id="11996157">
          <w:marLeft w:val="255"/>
          <w:marRight w:val="0"/>
          <w:marTop w:val="0"/>
          <w:marBottom w:val="0"/>
          <w:divBdr>
            <w:top w:val="none" w:sz="0" w:space="0" w:color="auto"/>
            <w:left w:val="none" w:sz="0" w:space="0" w:color="auto"/>
            <w:bottom w:val="none" w:sz="0" w:space="0" w:color="auto"/>
            <w:right w:val="none" w:sz="0" w:space="0" w:color="auto"/>
          </w:divBdr>
        </w:div>
        <w:div w:id="50348283">
          <w:marLeft w:val="255"/>
          <w:marRight w:val="0"/>
          <w:marTop w:val="0"/>
          <w:marBottom w:val="0"/>
          <w:divBdr>
            <w:top w:val="none" w:sz="0" w:space="0" w:color="auto"/>
            <w:left w:val="none" w:sz="0" w:space="0" w:color="auto"/>
            <w:bottom w:val="none" w:sz="0" w:space="0" w:color="auto"/>
            <w:right w:val="none" w:sz="0" w:space="0" w:color="auto"/>
          </w:divBdr>
        </w:div>
        <w:div w:id="54862431">
          <w:marLeft w:val="255"/>
          <w:marRight w:val="0"/>
          <w:marTop w:val="0"/>
          <w:marBottom w:val="0"/>
          <w:divBdr>
            <w:top w:val="none" w:sz="0" w:space="0" w:color="auto"/>
            <w:left w:val="none" w:sz="0" w:space="0" w:color="auto"/>
            <w:bottom w:val="none" w:sz="0" w:space="0" w:color="auto"/>
            <w:right w:val="none" w:sz="0" w:space="0" w:color="auto"/>
          </w:divBdr>
        </w:div>
        <w:div w:id="524439060">
          <w:marLeft w:val="255"/>
          <w:marRight w:val="0"/>
          <w:marTop w:val="0"/>
          <w:marBottom w:val="0"/>
          <w:divBdr>
            <w:top w:val="none" w:sz="0" w:space="0" w:color="auto"/>
            <w:left w:val="none" w:sz="0" w:space="0" w:color="auto"/>
            <w:bottom w:val="none" w:sz="0" w:space="0" w:color="auto"/>
            <w:right w:val="none" w:sz="0" w:space="0" w:color="auto"/>
          </w:divBdr>
        </w:div>
        <w:div w:id="1261185133">
          <w:marLeft w:val="255"/>
          <w:marRight w:val="0"/>
          <w:marTop w:val="0"/>
          <w:marBottom w:val="0"/>
          <w:divBdr>
            <w:top w:val="none" w:sz="0" w:space="0" w:color="auto"/>
            <w:left w:val="none" w:sz="0" w:space="0" w:color="auto"/>
            <w:bottom w:val="none" w:sz="0" w:space="0" w:color="auto"/>
            <w:right w:val="none" w:sz="0" w:space="0" w:color="auto"/>
          </w:divBdr>
        </w:div>
        <w:div w:id="2141265375">
          <w:marLeft w:val="255"/>
          <w:marRight w:val="0"/>
          <w:marTop w:val="0"/>
          <w:marBottom w:val="0"/>
          <w:divBdr>
            <w:top w:val="none" w:sz="0" w:space="0" w:color="auto"/>
            <w:left w:val="none" w:sz="0" w:space="0" w:color="auto"/>
            <w:bottom w:val="none" w:sz="0" w:space="0" w:color="auto"/>
            <w:right w:val="none" w:sz="0" w:space="0" w:color="auto"/>
          </w:divBdr>
        </w:div>
      </w:divsChild>
    </w:div>
    <w:div w:id="121928910">
      <w:bodyDiv w:val="1"/>
      <w:marLeft w:val="0"/>
      <w:marRight w:val="0"/>
      <w:marTop w:val="0"/>
      <w:marBottom w:val="0"/>
      <w:divBdr>
        <w:top w:val="none" w:sz="0" w:space="0" w:color="auto"/>
        <w:left w:val="none" w:sz="0" w:space="0" w:color="auto"/>
        <w:bottom w:val="none" w:sz="0" w:space="0" w:color="auto"/>
        <w:right w:val="none" w:sz="0" w:space="0" w:color="auto"/>
      </w:divBdr>
    </w:div>
    <w:div w:id="159469298">
      <w:bodyDiv w:val="1"/>
      <w:marLeft w:val="0"/>
      <w:marRight w:val="0"/>
      <w:marTop w:val="0"/>
      <w:marBottom w:val="0"/>
      <w:divBdr>
        <w:top w:val="none" w:sz="0" w:space="0" w:color="auto"/>
        <w:left w:val="none" w:sz="0" w:space="0" w:color="auto"/>
        <w:bottom w:val="none" w:sz="0" w:space="0" w:color="auto"/>
        <w:right w:val="none" w:sz="0" w:space="0" w:color="auto"/>
      </w:divBdr>
    </w:div>
    <w:div w:id="160119765">
      <w:bodyDiv w:val="1"/>
      <w:marLeft w:val="0"/>
      <w:marRight w:val="0"/>
      <w:marTop w:val="0"/>
      <w:marBottom w:val="0"/>
      <w:divBdr>
        <w:top w:val="none" w:sz="0" w:space="0" w:color="auto"/>
        <w:left w:val="none" w:sz="0" w:space="0" w:color="auto"/>
        <w:bottom w:val="none" w:sz="0" w:space="0" w:color="auto"/>
        <w:right w:val="none" w:sz="0" w:space="0" w:color="auto"/>
      </w:divBdr>
    </w:div>
    <w:div w:id="164057753">
      <w:bodyDiv w:val="1"/>
      <w:marLeft w:val="0"/>
      <w:marRight w:val="0"/>
      <w:marTop w:val="0"/>
      <w:marBottom w:val="0"/>
      <w:divBdr>
        <w:top w:val="none" w:sz="0" w:space="0" w:color="auto"/>
        <w:left w:val="none" w:sz="0" w:space="0" w:color="auto"/>
        <w:bottom w:val="none" w:sz="0" w:space="0" w:color="auto"/>
        <w:right w:val="none" w:sz="0" w:space="0" w:color="auto"/>
      </w:divBdr>
    </w:div>
    <w:div w:id="173880756">
      <w:bodyDiv w:val="1"/>
      <w:marLeft w:val="0"/>
      <w:marRight w:val="0"/>
      <w:marTop w:val="0"/>
      <w:marBottom w:val="0"/>
      <w:divBdr>
        <w:top w:val="none" w:sz="0" w:space="0" w:color="auto"/>
        <w:left w:val="none" w:sz="0" w:space="0" w:color="auto"/>
        <w:bottom w:val="none" w:sz="0" w:space="0" w:color="auto"/>
        <w:right w:val="none" w:sz="0" w:space="0" w:color="auto"/>
      </w:divBdr>
    </w:div>
    <w:div w:id="174004980">
      <w:bodyDiv w:val="1"/>
      <w:marLeft w:val="0"/>
      <w:marRight w:val="0"/>
      <w:marTop w:val="0"/>
      <w:marBottom w:val="0"/>
      <w:divBdr>
        <w:top w:val="none" w:sz="0" w:space="0" w:color="auto"/>
        <w:left w:val="none" w:sz="0" w:space="0" w:color="auto"/>
        <w:bottom w:val="none" w:sz="0" w:space="0" w:color="auto"/>
        <w:right w:val="none" w:sz="0" w:space="0" w:color="auto"/>
      </w:divBdr>
    </w:div>
    <w:div w:id="218984135">
      <w:bodyDiv w:val="1"/>
      <w:marLeft w:val="0"/>
      <w:marRight w:val="0"/>
      <w:marTop w:val="0"/>
      <w:marBottom w:val="0"/>
      <w:divBdr>
        <w:top w:val="none" w:sz="0" w:space="0" w:color="auto"/>
        <w:left w:val="none" w:sz="0" w:space="0" w:color="auto"/>
        <w:bottom w:val="none" w:sz="0" w:space="0" w:color="auto"/>
        <w:right w:val="none" w:sz="0" w:space="0" w:color="auto"/>
      </w:divBdr>
    </w:div>
    <w:div w:id="230892664">
      <w:bodyDiv w:val="1"/>
      <w:marLeft w:val="0"/>
      <w:marRight w:val="0"/>
      <w:marTop w:val="0"/>
      <w:marBottom w:val="0"/>
      <w:divBdr>
        <w:top w:val="none" w:sz="0" w:space="0" w:color="auto"/>
        <w:left w:val="none" w:sz="0" w:space="0" w:color="auto"/>
        <w:bottom w:val="none" w:sz="0" w:space="0" w:color="auto"/>
        <w:right w:val="none" w:sz="0" w:space="0" w:color="auto"/>
      </w:divBdr>
      <w:divsChild>
        <w:div w:id="305360647">
          <w:marLeft w:val="806"/>
          <w:marRight w:val="0"/>
          <w:marTop w:val="75"/>
          <w:marBottom w:val="0"/>
          <w:divBdr>
            <w:top w:val="none" w:sz="0" w:space="0" w:color="auto"/>
            <w:left w:val="none" w:sz="0" w:space="0" w:color="auto"/>
            <w:bottom w:val="none" w:sz="0" w:space="0" w:color="auto"/>
            <w:right w:val="none" w:sz="0" w:space="0" w:color="auto"/>
          </w:divBdr>
        </w:div>
        <w:div w:id="632834306">
          <w:marLeft w:val="806"/>
          <w:marRight w:val="0"/>
          <w:marTop w:val="75"/>
          <w:marBottom w:val="0"/>
          <w:divBdr>
            <w:top w:val="none" w:sz="0" w:space="0" w:color="auto"/>
            <w:left w:val="none" w:sz="0" w:space="0" w:color="auto"/>
            <w:bottom w:val="none" w:sz="0" w:space="0" w:color="auto"/>
            <w:right w:val="none" w:sz="0" w:space="0" w:color="auto"/>
          </w:divBdr>
        </w:div>
        <w:div w:id="1877161895">
          <w:marLeft w:val="806"/>
          <w:marRight w:val="0"/>
          <w:marTop w:val="75"/>
          <w:marBottom w:val="0"/>
          <w:divBdr>
            <w:top w:val="none" w:sz="0" w:space="0" w:color="auto"/>
            <w:left w:val="none" w:sz="0" w:space="0" w:color="auto"/>
            <w:bottom w:val="none" w:sz="0" w:space="0" w:color="auto"/>
            <w:right w:val="none" w:sz="0" w:space="0" w:color="auto"/>
          </w:divBdr>
        </w:div>
        <w:div w:id="2013364210">
          <w:marLeft w:val="806"/>
          <w:marRight w:val="0"/>
          <w:marTop w:val="75"/>
          <w:marBottom w:val="0"/>
          <w:divBdr>
            <w:top w:val="none" w:sz="0" w:space="0" w:color="auto"/>
            <w:left w:val="none" w:sz="0" w:space="0" w:color="auto"/>
            <w:bottom w:val="none" w:sz="0" w:space="0" w:color="auto"/>
            <w:right w:val="none" w:sz="0" w:space="0" w:color="auto"/>
          </w:divBdr>
        </w:div>
        <w:div w:id="2031684427">
          <w:marLeft w:val="274"/>
          <w:marRight w:val="0"/>
          <w:marTop w:val="150"/>
          <w:marBottom w:val="0"/>
          <w:divBdr>
            <w:top w:val="none" w:sz="0" w:space="0" w:color="auto"/>
            <w:left w:val="none" w:sz="0" w:space="0" w:color="auto"/>
            <w:bottom w:val="none" w:sz="0" w:space="0" w:color="auto"/>
            <w:right w:val="none" w:sz="0" w:space="0" w:color="auto"/>
          </w:divBdr>
        </w:div>
      </w:divsChild>
    </w:div>
    <w:div w:id="247934109">
      <w:bodyDiv w:val="1"/>
      <w:marLeft w:val="0"/>
      <w:marRight w:val="0"/>
      <w:marTop w:val="0"/>
      <w:marBottom w:val="0"/>
      <w:divBdr>
        <w:top w:val="none" w:sz="0" w:space="0" w:color="auto"/>
        <w:left w:val="none" w:sz="0" w:space="0" w:color="auto"/>
        <w:bottom w:val="none" w:sz="0" w:space="0" w:color="auto"/>
        <w:right w:val="none" w:sz="0" w:space="0" w:color="auto"/>
      </w:divBdr>
    </w:div>
    <w:div w:id="284849506">
      <w:bodyDiv w:val="1"/>
      <w:marLeft w:val="0"/>
      <w:marRight w:val="0"/>
      <w:marTop w:val="0"/>
      <w:marBottom w:val="0"/>
      <w:divBdr>
        <w:top w:val="none" w:sz="0" w:space="0" w:color="auto"/>
        <w:left w:val="none" w:sz="0" w:space="0" w:color="auto"/>
        <w:bottom w:val="none" w:sz="0" w:space="0" w:color="auto"/>
        <w:right w:val="none" w:sz="0" w:space="0" w:color="auto"/>
      </w:divBdr>
    </w:div>
    <w:div w:id="306014231">
      <w:bodyDiv w:val="1"/>
      <w:marLeft w:val="0"/>
      <w:marRight w:val="0"/>
      <w:marTop w:val="0"/>
      <w:marBottom w:val="0"/>
      <w:divBdr>
        <w:top w:val="none" w:sz="0" w:space="0" w:color="auto"/>
        <w:left w:val="none" w:sz="0" w:space="0" w:color="auto"/>
        <w:bottom w:val="none" w:sz="0" w:space="0" w:color="auto"/>
        <w:right w:val="none" w:sz="0" w:space="0" w:color="auto"/>
      </w:divBdr>
    </w:div>
    <w:div w:id="307635564">
      <w:bodyDiv w:val="1"/>
      <w:marLeft w:val="0"/>
      <w:marRight w:val="0"/>
      <w:marTop w:val="0"/>
      <w:marBottom w:val="0"/>
      <w:divBdr>
        <w:top w:val="none" w:sz="0" w:space="0" w:color="auto"/>
        <w:left w:val="none" w:sz="0" w:space="0" w:color="auto"/>
        <w:bottom w:val="none" w:sz="0" w:space="0" w:color="auto"/>
        <w:right w:val="none" w:sz="0" w:space="0" w:color="auto"/>
      </w:divBdr>
    </w:div>
    <w:div w:id="335962419">
      <w:bodyDiv w:val="1"/>
      <w:marLeft w:val="0"/>
      <w:marRight w:val="0"/>
      <w:marTop w:val="0"/>
      <w:marBottom w:val="0"/>
      <w:divBdr>
        <w:top w:val="none" w:sz="0" w:space="0" w:color="auto"/>
        <w:left w:val="none" w:sz="0" w:space="0" w:color="auto"/>
        <w:bottom w:val="none" w:sz="0" w:space="0" w:color="auto"/>
        <w:right w:val="none" w:sz="0" w:space="0" w:color="auto"/>
      </w:divBdr>
    </w:div>
    <w:div w:id="365453312">
      <w:bodyDiv w:val="1"/>
      <w:marLeft w:val="0"/>
      <w:marRight w:val="0"/>
      <w:marTop w:val="0"/>
      <w:marBottom w:val="0"/>
      <w:divBdr>
        <w:top w:val="none" w:sz="0" w:space="0" w:color="auto"/>
        <w:left w:val="none" w:sz="0" w:space="0" w:color="auto"/>
        <w:bottom w:val="none" w:sz="0" w:space="0" w:color="auto"/>
        <w:right w:val="none" w:sz="0" w:space="0" w:color="auto"/>
      </w:divBdr>
    </w:div>
    <w:div w:id="379867309">
      <w:bodyDiv w:val="1"/>
      <w:marLeft w:val="0"/>
      <w:marRight w:val="0"/>
      <w:marTop w:val="0"/>
      <w:marBottom w:val="0"/>
      <w:divBdr>
        <w:top w:val="none" w:sz="0" w:space="0" w:color="auto"/>
        <w:left w:val="none" w:sz="0" w:space="0" w:color="auto"/>
        <w:bottom w:val="none" w:sz="0" w:space="0" w:color="auto"/>
        <w:right w:val="none" w:sz="0" w:space="0" w:color="auto"/>
      </w:divBdr>
    </w:div>
    <w:div w:id="394277300">
      <w:bodyDiv w:val="1"/>
      <w:marLeft w:val="0"/>
      <w:marRight w:val="0"/>
      <w:marTop w:val="0"/>
      <w:marBottom w:val="0"/>
      <w:divBdr>
        <w:top w:val="none" w:sz="0" w:space="0" w:color="auto"/>
        <w:left w:val="none" w:sz="0" w:space="0" w:color="auto"/>
        <w:bottom w:val="none" w:sz="0" w:space="0" w:color="auto"/>
        <w:right w:val="none" w:sz="0" w:space="0" w:color="auto"/>
      </w:divBdr>
    </w:div>
    <w:div w:id="407731930">
      <w:bodyDiv w:val="1"/>
      <w:marLeft w:val="0"/>
      <w:marRight w:val="0"/>
      <w:marTop w:val="0"/>
      <w:marBottom w:val="0"/>
      <w:divBdr>
        <w:top w:val="none" w:sz="0" w:space="0" w:color="auto"/>
        <w:left w:val="none" w:sz="0" w:space="0" w:color="auto"/>
        <w:bottom w:val="none" w:sz="0" w:space="0" w:color="auto"/>
        <w:right w:val="none" w:sz="0" w:space="0" w:color="auto"/>
      </w:divBdr>
    </w:div>
    <w:div w:id="430861208">
      <w:bodyDiv w:val="1"/>
      <w:marLeft w:val="0"/>
      <w:marRight w:val="0"/>
      <w:marTop w:val="0"/>
      <w:marBottom w:val="0"/>
      <w:divBdr>
        <w:top w:val="none" w:sz="0" w:space="0" w:color="auto"/>
        <w:left w:val="none" w:sz="0" w:space="0" w:color="auto"/>
        <w:bottom w:val="none" w:sz="0" w:space="0" w:color="auto"/>
        <w:right w:val="none" w:sz="0" w:space="0" w:color="auto"/>
      </w:divBdr>
    </w:div>
    <w:div w:id="436755177">
      <w:bodyDiv w:val="1"/>
      <w:marLeft w:val="0"/>
      <w:marRight w:val="0"/>
      <w:marTop w:val="0"/>
      <w:marBottom w:val="0"/>
      <w:divBdr>
        <w:top w:val="none" w:sz="0" w:space="0" w:color="auto"/>
        <w:left w:val="none" w:sz="0" w:space="0" w:color="auto"/>
        <w:bottom w:val="none" w:sz="0" w:space="0" w:color="auto"/>
        <w:right w:val="none" w:sz="0" w:space="0" w:color="auto"/>
      </w:divBdr>
    </w:div>
    <w:div w:id="455300781">
      <w:bodyDiv w:val="1"/>
      <w:marLeft w:val="0"/>
      <w:marRight w:val="0"/>
      <w:marTop w:val="0"/>
      <w:marBottom w:val="0"/>
      <w:divBdr>
        <w:top w:val="none" w:sz="0" w:space="0" w:color="auto"/>
        <w:left w:val="none" w:sz="0" w:space="0" w:color="auto"/>
        <w:bottom w:val="none" w:sz="0" w:space="0" w:color="auto"/>
        <w:right w:val="none" w:sz="0" w:space="0" w:color="auto"/>
      </w:divBdr>
    </w:div>
    <w:div w:id="470248259">
      <w:bodyDiv w:val="1"/>
      <w:marLeft w:val="0"/>
      <w:marRight w:val="0"/>
      <w:marTop w:val="0"/>
      <w:marBottom w:val="0"/>
      <w:divBdr>
        <w:top w:val="none" w:sz="0" w:space="0" w:color="auto"/>
        <w:left w:val="none" w:sz="0" w:space="0" w:color="auto"/>
        <w:bottom w:val="none" w:sz="0" w:space="0" w:color="auto"/>
        <w:right w:val="none" w:sz="0" w:space="0" w:color="auto"/>
      </w:divBdr>
    </w:div>
    <w:div w:id="470290186">
      <w:bodyDiv w:val="1"/>
      <w:marLeft w:val="0"/>
      <w:marRight w:val="0"/>
      <w:marTop w:val="0"/>
      <w:marBottom w:val="0"/>
      <w:divBdr>
        <w:top w:val="none" w:sz="0" w:space="0" w:color="auto"/>
        <w:left w:val="none" w:sz="0" w:space="0" w:color="auto"/>
        <w:bottom w:val="none" w:sz="0" w:space="0" w:color="auto"/>
        <w:right w:val="none" w:sz="0" w:space="0" w:color="auto"/>
      </w:divBdr>
    </w:div>
    <w:div w:id="479809127">
      <w:bodyDiv w:val="1"/>
      <w:marLeft w:val="0"/>
      <w:marRight w:val="0"/>
      <w:marTop w:val="0"/>
      <w:marBottom w:val="0"/>
      <w:divBdr>
        <w:top w:val="none" w:sz="0" w:space="0" w:color="auto"/>
        <w:left w:val="none" w:sz="0" w:space="0" w:color="auto"/>
        <w:bottom w:val="none" w:sz="0" w:space="0" w:color="auto"/>
        <w:right w:val="none" w:sz="0" w:space="0" w:color="auto"/>
      </w:divBdr>
    </w:div>
    <w:div w:id="483860339">
      <w:bodyDiv w:val="1"/>
      <w:marLeft w:val="0"/>
      <w:marRight w:val="0"/>
      <w:marTop w:val="0"/>
      <w:marBottom w:val="0"/>
      <w:divBdr>
        <w:top w:val="none" w:sz="0" w:space="0" w:color="auto"/>
        <w:left w:val="none" w:sz="0" w:space="0" w:color="auto"/>
        <w:bottom w:val="none" w:sz="0" w:space="0" w:color="auto"/>
        <w:right w:val="none" w:sz="0" w:space="0" w:color="auto"/>
      </w:divBdr>
    </w:div>
    <w:div w:id="486241194">
      <w:bodyDiv w:val="1"/>
      <w:marLeft w:val="0"/>
      <w:marRight w:val="0"/>
      <w:marTop w:val="0"/>
      <w:marBottom w:val="0"/>
      <w:divBdr>
        <w:top w:val="none" w:sz="0" w:space="0" w:color="auto"/>
        <w:left w:val="none" w:sz="0" w:space="0" w:color="auto"/>
        <w:bottom w:val="none" w:sz="0" w:space="0" w:color="auto"/>
        <w:right w:val="none" w:sz="0" w:space="0" w:color="auto"/>
      </w:divBdr>
    </w:div>
    <w:div w:id="487597934">
      <w:bodyDiv w:val="1"/>
      <w:marLeft w:val="0"/>
      <w:marRight w:val="0"/>
      <w:marTop w:val="0"/>
      <w:marBottom w:val="0"/>
      <w:divBdr>
        <w:top w:val="none" w:sz="0" w:space="0" w:color="auto"/>
        <w:left w:val="none" w:sz="0" w:space="0" w:color="auto"/>
        <w:bottom w:val="none" w:sz="0" w:space="0" w:color="auto"/>
        <w:right w:val="none" w:sz="0" w:space="0" w:color="auto"/>
      </w:divBdr>
    </w:div>
    <w:div w:id="506136157">
      <w:bodyDiv w:val="1"/>
      <w:marLeft w:val="0"/>
      <w:marRight w:val="0"/>
      <w:marTop w:val="0"/>
      <w:marBottom w:val="0"/>
      <w:divBdr>
        <w:top w:val="none" w:sz="0" w:space="0" w:color="auto"/>
        <w:left w:val="none" w:sz="0" w:space="0" w:color="auto"/>
        <w:bottom w:val="none" w:sz="0" w:space="0" w:color="auto"/>
        <w:right w:val="none" w:sz="0" w:space="0" w:color="auto"/>
      </w:divBdr>
    </w:div>
    <w:div w:id="514731461">
      <w:bodyDiv w:val="1"/>
      <w:marLeft w:val="0"/>
      <w:marRight w:val="0"/>
      <w:marTop w:val="0"/>
      <w:marBottom w:val="0"/>
      <w:divBdr>
        <w:top w:val="none" w:sz="0" w:space="0" w:color="auto"/>
        <w:left w:val="none" w:sz="0" w:space="0" w:color="auto"/>
        <w:bottom w:val="none" w:sz="0" w:space="0" w:color="auto"/>
        <w:right w:val="none" w:sz="0" w:space="0" w:color="auto"/>
      </w:divBdr>
    </w:div>
    <w:div w:id="520633798">
      <w:bodyDiv w:val="1"/>
      <w:marLeft w:val="0"/>
      <w:marRight w:val="0"/>
      <w:marTop w:val="0"/>
      <w:marBottom w:val="0"/>
      <w:divBdr>
        <w:top w:val="none" w:sz="0" w:space="0" w:color="auto"/>
        <w:left w:val="none" w:sz="0" w:space="0" w:color="auto"/>
        <w:bottom w:val="none" w:sz="0" w:space="0" w:color="auto"/>
        <w:right w:val="none" w:sz="0" w:space="0" w:color="auto"/>
      </w:divBdr>
    </w:div>
    <w:div w:id="558202498">
      <w:bodyDiv w:val="1"/>
      <w:marLeft w:val="0"/>
      <w:marRight w:val="0"/>
      <w:marTop w:val="0"/>
      <w:marBottom w:val="0"/>
      <w:divBdr>
        <w:top w:val="none" w:sz="0" w:space="0" w:color="auto"/>
        <w:left w:val="none" w:sz="0" w:space="0" w:color="auto"/>
        <w:bottom w:val="none" w:sz="0" w:space="0" w:color="auto"/>
        <w:right w:val="none" w:sz="0" w:space="0" w:color="auto"/>
      </w:divBdr>
    </w:div>
    <w:div w:id="570967291">
      <w:bodyDiv w:val="1"/>
      <w:marLeft w:val="0"/>
      <w:marRight w:val="0"/>
      <w:marTop w:val="0"/>
      <w:marBottom w:val="0"/>
      <w:divBdr>
        <w:top w:val="none" w:sz="0" w:space="0" w:color="auto"/>
        <w:left w:val="none" w:sz="0" w:space="0" w:color="auto"/>
        <w:bottom w:val="none" w:sz="0" w:space="0" w:color="auto"/>
        <w:right w:val="none" w:sz="0" w:space="0" w:color="auto"/>
      </w:divBdr>
    </w:div>
    <w:div w:id="616912981">
      <w:bodyDiv w:val="1"/>
      <w:marLeft w:val="0"/>
      <w:marRight w:val="0"/>
      <w:marTop w:val="0"/>
      <w:marBottom w:val="0"/>
      <w:divBdr>
        <w:top w:val="none" w:sz="0" w:space="0" w:color="auto"/>
        <w:left w:val="none" w:sz="0" w:space="0" w:color="auto"/>
        <w:bottom w:val="none" w:sz="0" w:space="0" w:color="auto"/>
        <w:right w:val="none" w:sz="0" w:space="0" w:color="auto"/>
      </w:divBdr>
      <w:divsChild>
        <w:div w:id="262301830">
          <w:marLeft w:val="806"/>
          <w:marRight w:val="0"/>
          <w:marTop w:val="75"/>
          <w:marBottom w:val="0"/>
          <w:divBdr>
            <w:top w:val="none" w:sz="0" w:space="0" w:color="auto"/>
            <w:left w:val="none" w:sz="0" w:space="0" w:color="auto"/>
            <w:bottom w:val="none" w:sz="0" w:space="0" w:color="auto"/>
            <w:right w:val="none" w:sz="0" w:space="0" w:color="auto"/>
          </w:divBdr>
        </w:div>
        <w:div w:id="1490486753">
          <w:marLeft w:val="806"/>
          <w:marRight w:val="0"/>
          <w:marTop w:val="75"/>
          <w:marBottom w:val="0"/>
          <w:divBdr>
            <w:top w:val="none" w:sz="0" w:space="0" w:color="auto"/>
            <w:left w:val="none" w:sz="0" w:space="0" w:color="auto"/>
            <w:bottom w:val="none" w:sz="0" w:space="0" w:color="auto"/>
            <w:right w:val="none" w:sz="0" w:space="0" w:color="auto"/>
          </w:divBdr>
        </w:div>
        <w:div w:id="2087874484">
          <w:marLeft w:val="274"/>
          <w:marRight w:val="0"/>
          <w:marTop w:val="150"/>
          <w:marBottom w:val="0"/>
          <w:divBdr>
            <w:top w:val="none" w:sz="0" w:space="0" w:color="auto"/>
            <w:left w:val="none" w:sz="0" w:space="0" w:color="auto"/>
            <w:bottom w:val="none" w:sz="0" w:space="0" w:color="auto"/>
            <w:right w:val="none" w:sz="0" w:space="0" w:color="auto"/>
          </w:divBdr>
        </w:div>
      </w:divsChild>
    </w:div>
    <w:div w:id="619994194">
      <w:bodyDiv w:val="1"/>
      <w:marLeft w:val="0"/>
      <w:marRight w:val="0"/>
      <w:marTop w:val="0"/>
      <w:marBottom w:val="0"/>
      <w:divBdr>
        <w:top w:val="none" w:sz="0" w:space="0" w:color="auto"/>
        <w:left w:val="none" w:sz="0" w:space="0" w:color="auto"/>
        <w:bottom w:val="none" w:sz="0" w:space="0" w:color="auto"/>
        <w:right w:val="none" w:sz="0" w:space="0" w:color="auto"/>
      </w:divBdr>
    </w:div>
    <w:div w:id="627013331">
      <w:bodyDiv w:val="1"/>
      <w:marLeft w:val="0"/>
      <w:marRight w:val="0"/>
      <w:marTop w:val="0"/>
      <w:marBottom w:val="0"/>
      <w:divBdr>
        <w:top w:val="none" w:sz="0" w:space="0" w:color="auto"/>
        <w:left w:val="none" w:sz="0" w:space="0" w:color="auto"/>
        <w:bottom w:val="none" w:sz="0" w:space="0" w:color="auto"/>
        <w:right w:val="none" w:sz="0" w:space="0" w:color="auto"/>
      </w:divBdr>
    </w:div>
    <w:div w:id="635719216">
      <w:bodyDiv w:val="1"/>
      <w:marLeft w:val="0"/>
      <w:marRight w:val="0"/>
      <w:marTop w:val="0"/>
      <w:marBottom w:val="0"/>
      <w:divBdr>
        <w:top w:val="none" w:sz="0" w:space="0" w:color="auto"/>
        <w:left w:val="none" w:sz="0" w:space="0" w:color="auto"/>
        <w:bottom w:val="none" w:sz="0" w:space="0" w:color="auto"/>
        <w:right w:val="none" w:sz="0" w:space="0" w:color="auto"/>
      </w:divBdr>
    </w:div>
    <w:div w:id="639963546">
      <w:bodyDiv w:val="1"/>
      <w:marLeft w:val="0"/>
      <w:marRight w:val="0"/>
      <w:marTop w:val="0"/>
      <w:marBottom w:val="0"/>
      <w:divBdr>
        <w:top w:val="none" w:sz="0" w:space="0" w:color="auto"/>
        <w:left w:val="none" w:sz="0" w:space="0" w:color="auto"/>
        <w:bottom w:val="none" w:sz="0" w:space="0" w:color="auto"/>
        <w:right w:val="none" w:sz="0" w:space="0" w:color="auto"/>
      </w:divBdr>
    </w:div>
    <w:div w:id="657806929">
      <w:bodyDiv w:val="1"/>
      <w:marLeft w:val="0"/>
      <w:marRight w:val="0"/>
      <w:marTop w:val="0"/>
      <w:marBottom w:val="0"/>
      <w:divBdr>
        <w:top w:val="none" w:sz="0" w:space="0" w:color="auto"/>
        <w:left w:val="none" w:sz="0" w:space="0" w:color="auto"/>
        <w:bottom w:val="none" w:sz="0" w:space="0" w:color="auto"/>
        <w:right w:val="none" w:sz="0" w:space="0" w:color="auto"/>
      </w:divBdr>
    </w:div>
    <w:div w:id="668214486">
      <w:bodyDiv w:val="1"/>
      <w:marLeft w:val="0"/>
      <w:marRight w:val="0"/>
      <w:marTop w:val="0"/>
      <w:marBottom w:val="0"/>
      <w:divBdr>
        <w:top w:val="none" w:sz="0" w:space="0" w:color="auto"/>
        <w:left w:val="none" w:sz="0" w:space="0" w:color="auto"/>
        <w:bottom w:val="none" w:sz="0" w:space="0" w:color="auto"/>
        <w:right w:val="none" w:sz="0" w:space="0" w:color="auto"/>
      </w:divBdr>
    </w:div>
    <w:div w:id="684751681">
      <w:bodyDiv w:val="1"/>
      <w:marLeft w:val="0"/>
      <w:marRight w:val="0"/>
      <w:marTop w:val="0"/>
      <w:marBottom w:val="0"/>
      <w:divBdr>
        <w:top w:val="none" w:sz="0" w:space="0" w:color="auto"/>
        <w:left w:val="none" w:sz="0" w:space="0" w:color="auto"/>
        <w:bottom w:val="none" w:sz="0" w:space="0" w:color="auto"/>
        <w:right w:val="none" w:sz="0" w:space="0" w:color="auto"/>
      </w:divBdr>
    </w:div>
    <w:div w:id="710687220">
      <w:bodyDiv w:val="1"/>
      <w:marLeft w:val="0"/>
      <w:marRight w:val="0"/>
      <w:marTop w:val="0"/>
      <w:marBottom w:val="0"/>
      <w:divBdr>
        <w:top w:val="none" w:sz="0" w:space="0" w:color="auto"/>
        <w:left w:val="none" w:sz="0" w:space="0" w:color="auto"/>
        <w:bottom w:val="none" w:sz="0" w:space="0" w:color="auto"/>
        <w:right w:val="none" w:sz="0" w:space="0" w:color="auto"/>
      </w:divBdr>
    </w:div>
    <w:div w:id="710807146">
      <w:bodyDiv w:val="1"/>
      <w:marLeft w:val="0"/>
      <w:marRight w:val="0"/>
      <w:marTop w:val="0"/>
      <w:marBottom w:val="0"/>
      <w:divBdr>
        <w:top w:val="none" w:sz="0" w:space="0" w:color="auto"/>
        <w:left w:val="none" w:sz="0" w:space="0" w:color="auto"/>
        <w:bottom w:val="none" w:sz="0" w:space="0" w:color="auto"/>
        <w:right w:val="none" w:sz="0" w:space="0" w:color="auto"/>
      </w:divBdr>
    </w:div>
    <w:div w:id="763919080">
      <w:bodyDiv w:val="1"/>
      <w:marLeft w:val="0"/>
      <w:marRight w:val="0"/>
      <w:marTop w:val="0"/>
      <w:marBottom w:val="0"/>
      <w:divBdr>
        <w:top w:val="none" w:sz="0" w:space="0" w:color="auto"/>
        <w:left w:val="none" w:sz="0" w:space="0" w:color="auto"/>
        <w:bottom w:val="none" w:sz="0" w:space="0" w:color="auto"/>
        <w:right w:val="none" w:sz="0" w:space="0" w:color="auto"/>
      </w:divBdr>
    </w:div>
    <w:div w:id="797602467">
      <w:bodyDiv w:val="1"/>
      <w:marLeft w:val="0"/>
      <w:marRight w:val="0"/>
      <w:marTop w:val="0"/>
      <w:marBottom w:val="0"/>
      <w:divBdr>
        <w:top w:val="none" w:sz="0" w:space="0" w:color="auto"/>
        <w:left w:val="none" w:sz="0" w:space="0" w:color="auto"/>
        <w:bottom w:val="none" w:sz="0" w:space="0" w:color="auto"/>
        <w:right w:val="none" w:sz="0" w:space="0" w:color="auto"/>
      </w:divBdr>
    </w:div>
    <w:div w:id="826674582">
      <w:bodyDiv w:val="1"/>
      <w:marLeft w:val="0"/>
      <w:marRight w:val="0"/>
      <w:marTop w:val="0"/>
      <w:marBottom w:val="0"/>
      <w:divBdr>
        <w:top w:val="none" w:sz="0" w:space="0" w:color="auto"/>
        <w:left w:val="none" w:sz="0" w:space="0" w:color="auto"/>
        <w:bottom w:val="none" w:sz="0" w:space="0" w:color="auto"/>
        <w:right w:val="none" w:sz="0" w:space="0" w:color="auto"/>
      </w:divBdr>
    </w:div>
    <w:div w:id="833760570">
      <w:bodyDiv w:val="1"/>
      <w:marLeft w:val="0"/>
      <w:marRight w:val="0"/>
      <w:marTop w:val="0"/>
      <w:marBottom w:val="0"/>
      <w:divBdr>
        <w:top w:val="none" w:sz="0" w:space="0" w:color="auto"/>
        <w:left w:val="none" w:sz="0" w:space="0" w:color="auto"/>
        <w:bottom w:val="none" w:sz="0" w:space="0" w:color="auto"/>
        <w:right w:val="none" w:sz="0" w:space="0" w:color="auto"/>
      </w:divBdr>
      <w:divsChild>
        <w:div w:id="1034161264">
          <w:marLeft w:val="0"/>
          <w:marRight w:val="0"/>
          <w:marTop w:val="0"/>
          <w:marBottom w:val="300"/>
          <w:divBdr>
            <w:top w:val="none" w:sz="0" w:space="0" w:color="auto"/>
            <w:left w:val="none" w:sz="0" w:space="0" w:color="auto"/>
            <w:bottom w:val="single" w:sz="6" w:space="8" w:color="EFEFEF"/>
            <w:right w:val="none" w:sz="0" w:space="0" w:color="auto"/>
          </w:divBdr>
        </w:div>
      </w:divsChild>
    </w:div>
    <w:div w:id="834952471">
      <w:bodyDiv w:val="1"/>
      <w:marLeft w:val="0"/>
      <w:marRight w:val="0"/>
      <w:marTop w:val="0"/>
      <w:marBottom w:val="0"/>
      <w:divBdr>
        <w:top w:val="none" w:sz="0" w:space="0" w:color="auto"/>
        <w:left w:val="none" w:sz="0" w:space="0" w:color="auto"/>
        <w:bottom w:val="none" w:sz="0" w:space="0" w:color="auto"/>
        <w:right w:val="none" w:sz="0" w:space="0" w:color="auto"/>
      </w:divBdr>
    </w:div>
    <w:div w:id="846209715">
      <w:bodyDiv w:val="1"/>
      <w:marLeft w:val="0"/>
      <w:marRight w:val="0"/>
      <w:marTop w:val="0"/>
      <w:marBottom w:val="0"/>
      <w:divBdr>
        <w:top w:val="none" w:sz="0" w:space="0" w:color="auto"/>
        <w:left w:val="none" w:sz="0" w:space="0" w:color="auto"/>
        <w:bottom w:val="none" w:sz="0" w:space="0" w:color="auto"/>
        <w:right w:val="none" w:sz="0" w:space="0" w:color="auto"/>
      </w:divBdr>
    </w:div>
    <w:div w:id="869488386">
      <w:bodyDiv w:val="1"/>
      <w:marLeft w:val="0"/>
      <w:marRight w:val="0"/>
      <w:marTop w:val="0"/>
      <w:marBottom w:val="0"/>
      <w:divBdr>
        <w:top w:val="none" w:sz="0" w:space="0" w:color="auto"/>
        <w:left w:val="none" w:sz="0" w:space="0" w:color="auto"/>
        <w:bottom w:val="none" w:sz="0" w:space="0" w:color="auto"/>
        <w:right w:val="none" w:sz="0" w:space="0" w:color="auto"/>
      </w:divBdr>
    </w:div>
    <w:div w:id="877399581">
      <w:bodyDiv w:val="1"/>
      <w:marLeft w:val="0"/>
      <w:marRight w:val="0"/>
      <w:marTop w:val="0"/>
      <w:marBottom w:val="0"/>
      <w:divBdr>
        <w:top w:val="none" w:sz="0" w:space="0" w:color="auto"/>
        <w:left w:val="none" w:sz="0" w:space="0" w:color="auto"/>
        <w:bottom w:val="none" w:sz="0" w:space="0" w:color="auto"/>
        <w:right w:val="none" w:sz="0" w:space="0" w:color="auto"/>
      </w:divBdr>
    </w:div>
    <w:div w:id="941954996">
      <w:bodyDiv w:val="1"/>
      <w:marLeft w:val="0"/>
      <w:marRight w:val="0"/>
      <w:marTop w:val="0"/>
      <w:marBottom w:val="0"/>
      <w:divBdr>
        <w:top w:val="none" w:sz="0" w:space="0" w:color="auto"/>
        <w:left w:val="none" w:sz="0" w:space="0" w:color="auto"/>
        <w:bottom w:val="none" w:sz="0" w:space="0" w:color="auto"/>
        <w:right w:val="none" w:sz="0" w:space="0" w:color="auto"/>
      </w:divBdr>
    </w:div>
    <w:div w:id="944656450">
      <w:bodyDiv w:val="1"/>
      <w:marLeft w:val="0"/>
      <w:marRight w:val="0"/>
      <w:marTop w:val="0"/>
      <w:marBottom w:val="0"/>
      <w:divBdr>
        <w:top w:val="none" w:sz="0" w:space="0" w:color="auto"/>
        <w:left w:val="none" w:sz="0" w:space="0" w:color="auto"/>
        <w:bottom w:val="none" w:sz="0" w:space="0" w:color="auto"/>
        <w:right w:val="none" w:sz="0" w:space="0" w:color="auto"/>
      </w:divBdr>
    </w:div>
    <w:div w:id="1060057692">
      <w:bodyDiv w:val="1"/>
      <w:marLeft w:val="0"/>
      <w:marRight w:val="0"/>
      <w:marTop w:val="0"/>
      <w:marBottom w:val="0"/>
      <w:divBdr>
        <w:top w:val="none" w:sz="0" w:space="0" w:color="auto"/>
        <w:left w:val="none" w:sz="0" w:space="0" w:color="auto"/>
        <w:bottom w:val="none" w:sz="0" w:space="0" w:color="auto"/>
        <w:right w:val="none" w:sz="0" w:space="0" w:color="auto"/>
      </w:divBdr>
    </w:div>
    <w:div w:id="1073503631">
      <w:bodyDiv w:val="1"/>
      <w:marLeft w:val="0"/>
      <w:marRight w:val="0"/>
      <w:marTop w:val="0"/>
      <w:marBottom w:val="0"/>
      <w:divBdr>
        <w:top w:val="none" w:sz="0" w:space="0" w:color="auto"/>
        <w:left w:val="none" w:sz="0" w:space="0" w:color="auto"/>
        <w:bottom w:val="none" w:sz="0" w:space="0" w:color="auto"/>
        <w:right w:val="none" w:sz="0" w:space="0" w:color="auto"/>
      </w:divBdr>
    </w:div>
    <w:div w:id="1137332162">
      <w:bodyDiv w:val="1"/>
      <w:marLeft w:val="0"/>
      <w:marRight w:val="0"/>
      <w:marTop w:val="0"/>
      <w:marBottom w:val="0"/>
      <w:divBdr>
        <w:top w:val="none" w:sz="0" w:space="0" w:color="auto"/>
        <w:left w:val="none" w:sz="0" w:space="0" w:color="auto"/>
        <w:bottom w:val="none" w:sz="0" w:space="0" w:color="auto"/>
        <w:right w:val="none" w:sz="0" w:space="0" w:color="auto"/>
      </w:divBdr>
    </w:div>
    <w:div w:id="1174565611">
      <w:bodyDiv w:val="1"/>
      <w:marLeft w:val="0"/>
      <w:marRight w:val="0"/>
      <w:marTop w:val="0"/>
      <w:marBottom w:val="0"/>
      <w:divBdr>
        <w:top w:val="none" w:sz="0" w:space="0" w:color="auto"/>
        <w:left w:val="none" w:sz="0" w:space="0" w:color="auto"/>
        <w:bottom w:val="none" w:sz="0" w:space="0" w:color="auto"/>
        <w:right w:val="none" w:sz="0" w:space="0" w:color="auto"/>
      </w:divBdr>
    </w:div>
    <w:div w:id="1177964192">
      <w:bodyDiv w:val="1"/>
      <w:marLeft w:val="0"/>
      <w:marRight w:val="0"/>
      <w:marTop w:val="0"/>
      <w:marBottom w:val="0"/>
      <w:divBdr>
        <w:top w:val="none" w:sz="0" w:space="0" w:color="auto"/>
        <w:left w:val="none" w:sz="0" w:space="0" w:color="auto"/>
        <w:bottom w:val="none" w:sz="0" w:space="0" w:color="auto"/>
        <w:right w:val="none" w:sz="0" w:space="0" w:color="auto"/>
      </w:divBdr>
    </w:div>
    <w:div w:id="1181318313">
      <w:bodyDiv w:val="1"/>
      <w:marLeft w:val="0"/>
      <w:marRight w:val="0"/>
      <w:marTop w:val="0"/>
      <w:marBottom w:val="0"/>
      <w:divBdr>
        <w:top w:val="none" w:sz="0" w:space="0" w:color="auto"/>
        <w:left w:val="none" w:sz="0" w:space="0" w:color="auto"/>
        <w:bottom w:val="none" w:sz="0" w:space="0" w:color="auto"/>
        <w:right w:val="none" w:sz="0" w:space="0" w:color="auto"/>
      </w:divBdr>
    </w:div>
    <w:div w:id="1238586992">
      <w:bodyDiv w:val="1"/>
      <w:marLeft w:val="0"/>
      <w:marRight w:val="0"/>
      <w:marTop w:val="0"/>
      <w:marBottom w:val="0"/>
      <w:divBdr>
        <w:top w:val="none" w:sz="0" w:space="0" w:color="auto"/>
        <w:left w:val="none" w:sz="0" w:space="0" w:color="auto"/>
        <w:bottom w:val="none" w:sz="0" w:space="0" w:color="auto"/>
        <w:right w:val="none" w:sz="0" w:space="0" w:color="auto"/>
      </w:divBdr>
    </w:div>
    <w:div w:id="1238589482">
      <w:bodyDiv w:val="1"/>
      <w:marLeft w:val="0"/>
      <w:marRight w:val="0"/>
      <w:marTop w:val="0"/>
      <w:marBottom w:val="0"/>
      <w:divBdr>
        <w:top w:val="none" w:sz="0" w:space="0" w:color="auto"/>
        <w:left w:val="none" w:sz="0" w:space="0" w:color="auto"/>
        <w:bottom w:val="none" w:sz="0" w:space="0" w:color="auto"/>
        <w:right w:val="none" w:sz="0" w:space="0" w:color="auto"/>
      </w:divBdr>
    </w:div>
    <w:div w:id="1265192793">
      <w:bodyDiv w:val="1"/>
      <w:marLeft w:val="0"/>
      <w:marRight w:val="0"/>
      <w:marTop w:val="0"/>
      <w:marBottom w:val="0"/>
      <w:divBdr>
        <w:top w:val="none" w:sz="0" w:space="0" w:color="auto"/>
        <w:left w:val="none" w:sz="0" w:space="0" w:color="auto"/>
        <w:bottom w:val="none" w:sz="0" w:space="0" w:color="auto"/>
        <w:right w:val="none" w:sz="0" w:space="0" w:color="auto"/>
      </w:divBdr>
    </w:div>
    <w:div w:id="1269124024">
      <w:bodyDiv w:val="1"/>
      <w:marLeft w:val="0"/>
      <w:marRight w:val="0"/>
      <w:marTop w:val="0"/>
      <w:marBottom w:val="0"/>
      <w:divBdr>
        <w:top w:val="none" w:sz="0" w:space="0" w:color="auto"/>
        <w:left w:val="none" w:sz="0" w:space="0" w:color="auto"/>
        <w:bottom w:val="none" w:sz="0" w:space="0" w:color="auto"/>
        <w:right w:val="none" w:sz="0" w:space="0" w:color="auto"/>
      </w:divBdr>
    </w:div>
    <w:div w:id="1278024254">
      <w:bodyDiv w:val="1"/>
      <w:marLeft w:val="0"/>
      <w:marRight w:val="0"/>
      <w:marTop w:val="0"/>
      <w:marBottom w:val="0"/>
      <w:divBdr>
        <w:top w:val="none" w:sz="0" w:space="0" w:color="auto"/>
        <w:left w:val="none" w:sz="0" w:space="0" w:color="auto"/>
        <w:bottom w:val="none" w:sz="0" w:space="0" w:color="auto"/>
        <w:right w:val="none" w:sz="0" w:space="0" w:color="auto"/>
      </w:divBdr>
    </w:div>
    <w:div w:id="1278559183">
      <w:bodyDiv w:val="1"/>
      <w:marLeft w:val="0"/>
      <w:marRight w:val="0"/>
      <w:marTop w:val="0"/>
      <w:marBottom w:val="0"/>
      <w:divBdr>
        <w:top w:val="none" w:sz="0" w:space="0" w:color="auto"/>
        <w:left w:val="none" w:sz="0" w:space="0" w:color="auto"/>
        <w:bottom w:val="none" w:sz="0" w:space="0" w:color="auto"/>
        <w:right w:val="none" w:sz="0" w:space="0" w:color="auto"/>
      </w:divBdr>
    </w:div>
    <w:div w:id="1287933024">
      <w:bodyDiv w:val="1"/>
      <w:marLeft w:val="0"/>
      <w:marRight w:val="0"/>
      <w:marTop w:val="0"/>
      <w:marBottom w:val="0"/>
      <w:divBdr>
        <w:top w:val="none" w:sz="0" w:space="0" w:color="auto"/>
        <w:left w:val="none" w:sz="0" w:space="0" w:color="auto"/>
        <w:bottom w:val="none" w:sz="0" w:space="0" w:color="auto"/>
        <w:right w:val="none" w:sz="0" w:space="0" w:color="auto"/>
      </w:divBdr>
    </w:div>
    <w:div w:id="1288007305">
      <w:bodyDiv w:val="1"/>
      <w:marLeft w:val="0"/>
      <w:marRight w:val="0"/>
      <w:marTop w:val="0"/>
      <w:marBottom w:val="0"/>
      <w:divBdr>
        <w:top w:val="none" w:sz="0" w:space="0" w:color="auto"/>
        <w:left w:val="none" w:sz="0" w:space="0" w:color="auto"/>
        <w:bottom w:val="none" w:sz="0" w:space="0" w:color="auto"/>
        <w:right w:val="none" w:sz="0" w:space="0" w:color="auto"/>
      </w:divBdr>
    </w:div>
    <w:div w:id="1311443749">
      <w:bodyDiv w:val="1"/>
      <w:marLeft w:val="0"/>
      <w:marRight w:val="0"/>
      <w:marTop w:val="0"/>
      <w:marBottom w:val="0"/>
      <w:divBdr>
        <w:top w:val="none" w:sz="0" w:space="0" w:color="auto"/>
        <w:left w:val="none" w:sz="0" w:space="0" w:color="auto"/>
        <w:bottom w:val="none" w:sz="0" w:space="0" w:color="auto"/>
        <w:right w:val="none" w:sz="0" w:space="0" w:color="auto"/>
      </w:divBdr>
    </w:div>
    <w:div w:id="1326936621">
      <w:bodyDiv w:val="1"/>
      <w:marLeft w:val="0"/>
      <w:marRight w:val="0"/>
      <w:marTop w:val="0"/>
      <w:marBottom w:val="0"/>
      <w:divBdr>
        <w:top w:val="none" w:sz="0" w:space="0" w:color="auto"/>
        <w:left w:val="none" w:sz="0" w:space="0" w:color="auto"/>
        <w:bottom w:val="none" w:sz="0" w:space="0" w:color="auto"/>
        <w:right w:val="none" w:sz="0" w:space="0" w:color="auto"/>
      </w:divBdr>
    </w:div>
    <w:div w:id="1341085489">
      <w:bodyDiv w:val="1"/>
      <w:marLeft w:val="0"/>
      <w:marRight w:val="0"/>
      <w:marTop w:val="0"/>
      <w:marBottom w:val="0"/>
      <w:divBdr>
        <w:top w:val="none" w:sz="0" w:space="0" w:color="auto"/>
        <w:left w:val="none" w:sz="0" w:space="0" w:color="auto"/>
        <w:bottom w:val="none" w:sz="0" w:space="0" w:color="auto"/>
        <w:right w:val="none" w:sz="0" w:space="0" w:color="auto"/>
      </w:divBdr>
    </w:div>
    <w:div w:id="1362122577">
      <w:bodyDiv w:val="1"/>
      <w:marLeft w:val="0"/>
      <w:marRight w:val="0"/>
      <w:marTop w:val="0"/>
      <w:marBottom w:val="0"/>
      <w:divBdr>
        <w:top w:val="none" w:sz="0" w:space="0" w:color="auto"/>
        <w:left w:val="none" w:sz="0" w:space="0" w:color="auto"/>
        <w:bottom w:val="none" w:sz="0" w:space="0" w:color="auto"/>
        <w:right w:val="none" w:sz="0" w:space="0" w:color="auto"/>
      </w:divBdr>
    </w:div>
    <w:div w:id="1385372460">
      <w:bodyDiv w:val="1"/>
      <w:marLeft w:val="0"/>
      <w:marRight w:val="0"/>
      <w:marTop w:val="0"/>
      <w:marBottom w:val="0"/>
      <w:divBdr>
        <w:top w:val="none" w:sz="0" w:space="0" w:color="auto"/>
        <w:left w:val="none" w:sz="0" w:space="0" w:color="auto"/>
        <w:bottom w:val="none" w:sz="0" w:space="0" w:color="auto"/>
        <w:right w:val="none" w:sz="0" w:space="0" w:color="auto"/>
      </w:divBdr>
    </w:div>
    <w:div w:id="1387216583">
      <w:bodyDiv w:val="1"/>
      <w:marLeft w:val="0"/>
      <w:marRight w:val="0"/>
      <w:marTop w:val="0"/>
      <w:marBottom w:val="0"/>
      <w:divBdr>
        <w:top w:val="none" w:sz="0" w:space="0" w:color="auto"/>
        <w:left w:val="none" w:sz="0" w:space="0" w:color="auto"/>
        <w:bottom w:val="none" w:sz="0" w:space="0" w:color="auto"/>
        <w:right w:val="none" w:sz="0" w:space="0" w:color="auto"/>
      </w:divBdr>
    </w:div>
    <w:div w:id="1426003190">
      <w:bodyDiv w:val="1"/>
      <w:marLeft w:val="0"/>
      <w:marRight w:val="0"/>
      <w:marTop w:val="0"/>
      <w:marBottom w:val="0"/>
      <w:divBdr>
        <w:top w:val="none" w:sz="0" w:space="0" w:color="auto"/>
        <w:left w:val="none" w:sz="0" w:space="0" w:color="auto"/>
        <w:bottom w:val="none" w:sz="0" w:space="0" w:color="auto"/>
        <w:right w:val="none" w:sz="0" w:space="0" w:color="auto"/>
      </w:divBdr>
    </w:div>
    <w:div w:id="1432896846">
      <w:bodyDiv w:val="1"/>
      <w:marLeft w:val="0"/>
      <w:marRight w:val="0"/>
      <w:marTop w:val="0"/>
      <w:marBottom w:val="0"/>
      <w:divBdr>
        <w:top w:val="none" w:sz="0" w:space="0" w:color="auto"/>
        <w:left w:val="none" w:sz="0" w:space="0" w:color="auto"/>
        <w:bottom w:val="none" w:sz="0" w:space="0" w:color="auto"/>
        <w:right w:val="none" w:sz="0" w:space="0" w:color="auto"/>
      </w:divBdr>
    </w:div>
    <w:div w:id="1433355509">
      <w:bodyDiv w:val="1"/>
      <w:marLeft w:val="0"/>
      <w:marRight w:val="0"/>
      <w:marTop w:val="0"/>
      <w:marBottom w:val="0"/>
      <w:divBdr>
        <w:top w:val="none" w:sz="0" w:space="0" w:color="auto"/>
        <w:left w:val="none" w:sz="0" w:space="0" w:color="auto"/>
        <w:bottom w:val="none" w:sz="0" w:space="0" w:color="auto"/>
        <w:right w:val="none" w:sz="0" w:space="0" w:color="auto"/>
      </w:divBdr>
      <w:divsChild>
        <w:div w:id="918950264">
          <w:marLeft w:val="255"/>
          <w:marRight w:val="0"/>
          <w:marTop w:val="0"/>
          <w:marBottom w:val="0"/>
          <w:divBdr>
            <w:top w:val="none" w:sz="0" w:space="0" w:color="auto"/>
            <w:left w:val="none" w:sz="0" w:space="0" w:color="auto"/>
            <w:bottom w:val="none" w:sz="0" w:space="0" w:color="auto"/>
            <w:right w:val="none" w:sz="0" w:space="0" w:color="auto"/>
          </w:divBdr>
        </w:div>
        <w:div w:id="942154307">
          <w:marLeft w:val="255"/>
          <w:marRight w:val="0"/>
          <w:marTop w:val="0"/>
          <w:marBottom w:val="0"/>
          <w:divBdr>
            <w:top w:val="none" w:sz="0" w:space="0" w:color="auto"/>
            <w:left w:val="none" w:sz="0" w:space="0" w:color="auto"/>
            <w:bottom w:val="none" w:sz="0" w:space="0" w:color="auto"/>
            <w:right w:val="none" w:sz="0" w:space="0" w:color="auto"/>
          </w:divBdr>
        </w:div>
        <w:div w:id="984116323">
          <w:marLeft w:val="255"/>
          <w:marRight w:val="0"/>
          <w:marTop w:val="0"/>
          <w:marBottom w:val="0"/>
          <w:divBdr>
            <w:top w:val="none" w:sz="0" w:space="0" w:color="auto"/>
            <w:left w:val="none" w:sz="0" w:space="0" w:color="auto"/>
            <w:bottom w:val="none" w:sz="0" w:space="0" w:color="auto"/>
            <w:right w:val="none" w:sz="0" w:space="0" w:color="auto"/>
          </w:divBdr>
        </w:div>
        <w:div w:id="1913545901">
          <w:marLeft w:val="255"/>
          <w:marRight w:val="0"/>
          <w:marTop w:val="0"/>
          <w:marBottom w:val="0"/>
          <w:divBdr>
            <w:top w:val="none" w:sz="0" w:space="0" w:color="auto"/>
            <w:left w:val="none" w:sz="0" w:space="0" w:color="auto"/>
            <w:bottom w:val="none" w:sz="0" w:space="0" w:color="auto"/>
            <w:right w:val="none" w:sz="0" w:space="0" w:color="auto"/>
          </w:divBdr>
        </w:div>
        <w:div w:id="1944142128">
          <w:marLeft w:val="255"/>
          <w:marRight w:val="0"/>
          <w:marTop w:val="0"/>
          <w:marBottom w:val="0"/>
          <w:divBdr>
            <w:top w:val="none" w:sz="0" w:space="0" w:color="auto"/>
            <w:left w:val="none" w:sz="0" w:space="0" w:color="auto"/>
            <w:bottom w:val="none" w:sz="0" w:space="0" w:color="auto"/>
            <w:right w:val="none" w:sz="0" w:space="0" w:color="auto"/>
          </w:divBdr>
        </w:div>
      </w:divsChild>
    </w:div>
    <w:div w:id="1435445679">
      <w:bodyDiv w:val="1"/>
      <w:marLeft w:val="0"/>
      <w:marRight w:val="0"/>
      <w:marTop w:val="0"/>
      <w:marBottom w:val="0"/>
      <w:divBdr>
        <w:top w:val="none" w:sz="0" w:space="0" w:color="auto"/>
        <w:left w:val="none" w:sz="0" w:space="0" w:color="auto"/>
        <w:bottom w:val="none" w:sz="0" w:space="0" w:color="auto"/>
        <w:right w:val="none" w:sz="0" w:space="0" w:color="auto"/>
      </w:divBdr>
    </w:div>
    <w:div w:id="1462457988">
      <w:bodyDiv w:val="1"/>
      <w:marLeft w:val="0"/>
      <w:marRight w:val="0"/>
      <w:marTop w:val="0"/>
      <w:marBottom w:val="0"/>
      <w:divBdr>
        <w:top w:val="none" w:sz="0" w:space="0" w:color="auto"/>
        <w:left w:val="none" w:sz="0" w:space="0" w:color="auto"/>
        <w:bottom w:val="none" w:sz="0" w:space="0" w:color="auto"/>
        <w:right w:val="none" w:sz="0" w:space="0" w:color="auto"/>
      </w:divBdr>
    </w:div>
    <w:div w:id="1536192114">
      <w:bodyDiv w:val="1"/>
      <w:marLeft w:val="0"/>
      <w:marRight w:val="0"/>
      <w:marTop w:val="0"/>
      <w:marBottom w:val="0"/>
      <w:divBdr>
        <w:top w:val="none" w:sz="0" w:space="0" w:color="auto"/>
        <w:left w:val="none" w:sz="0" w:space="0" w:color="auto"/>
        <w:bottom w:val="none" w:sz="0" w:space="0" w:color="auto"/>
        <w:right w:val="none" w:sz="0" w:space="0" w:color="auto"/>
      </w:divBdr>
    </w:div>
    <w:div w:id="1604918541">
      <w:bodyDiv w:val="1"/>
      <w:marLeft w:val="0"/>
      <w:marRight w:val="0"/>
      <w:marTop w:val="0"/>
      <w:marBottom w:val="0"/>
      <w:divBdr>
        <w:top w:val="none" w:sz="0" w:space="0" w:color="auto"/>
        <w:left w:val="none" w:sz="0" w:space="0" w:color="auto"/>
        <w:bottom w:val="none" w:sz="0" w:space="0" w:color="auto"/>
        <w:right w:val="none" w:sz="0" w:space="0" w:color="auto"/>
      </w:divBdr>
    </w:div>
    <w:div w:id="1652440925">
      <w:bodyDiv w:val="1"/>
      <w:marLeft w:val="0"/>
      <w:marRight w:val="0"/>
      <w:marTop w:val="0"/>
      <w:marBottom w:val="0"/>
      <w:divBdr>
        <w:top w:val="none" w:sz="0" w:space="0" w:color="auto"/>
        <w:left w:val="none" w:sz="0" w:space="0" w:color="auto"/>
        <w:bottom w:val="none" w:sz="0" w:space="0" w:color="auto"/>
        <w:right w:val="none" w:sz="0" w:space="0" w:color="auto"/>
      </w:divBdr>
    </w:div>
    <w:div w:id="1664426424">
      <w:bodyDiv w:val="1"/>
      <w:marLeft w:val="0"/>
      <w:marRight w:val="0"/>
      <w:marTop w:val="0"/>
      <w:marBottom w:val="0"/>
      <w:divBdr>
        <w:top w:val="none" w:sz="0" w:space="0" w:color="auto"/>
        <w:left w:val="none" w:sz="0" w:space="0" w:color="auto"/>
        <w:bottom w:val="none" w:sz="0" w:space="0" w:color="auto"/>
        <w:right w:val="none" w:sz="0" w:space="0" w:color="auto"/>
      </w:divBdr>
    </w:div>
    <w:div w:id="1696073206">
      <w:bodyDiv w:val="1"/>
      <w:marLeft w:val="0"/>
      <w:marRight w:val="0"/>
      <w:marTop w:val="0"/>
      <w:marBottom w:val="0"/>
      <w:divBdr>
        <w:top w:val="none" w:sz="0" w:space="0" w:color="auto"/>
        <w:left w:val="none" w:sz="0" w:space="0" w:color="auto"/>
        <w:bottom w:val="none" w:sz="0" w:space="0" w:color="auto"/>
        <w:right w:val="none" w:sz="0" w:space="0" w:color="auto"/>
      </w:divBdr>
    </w:div>
    <w:div w:id="1706560822">
      <w:bodyDiv w:val="1"/>
      <w:marLeft w:val="0"/>
      <w:marRight w:val="0"/>
      <w:marTop w:val="0"/>
      <w:marBottom w:val="0"/>
      <w:divBdr>
        <w:top w:val="none" w:sz="0" w:space="0" w:color="auto"/>
        <w:left w:val="none" w:sz="0" w:space="0" w:color="auto"/>
        <w:bottom w:val="none" w:sz="0" w:space="0" w:color="auto"/>
        <w:right w:val="none" w:sz="0" w:space="0" w:color="auto"/>
      </w:divBdr>
    </w:div>
    <w:div w:id="1712535712">
      <w:bodyDiv w:val="1"/>
      <w:marLeft w:val="0"/>
      <w:marRight w:val="0"/>
      <w:marTop w:val="0"/>
      <w:marBottom w:val="0"/>
      <w:divBdr>
        <w:top w:val="none" w:sz="0" w:space="0" w:color="auto"/>
        <w:left w:val="none" w:sz="0" w:space="0" w:color="auto"/>
        <w:bottom w:val="none" w:sz="0" w:space="0" w:color="auto"/>
        <w:right w:val="none" w:sz="0" w:space="0" w:color="auto"/>
      </w:divBdr>
    </w:div>
    <w:div w:id="1713722937">
      <w:bodyDiv w:val="1"/>
      <w:marLeft w:val="0"/>
      <w:marRight w:val="0"/>
      <w:marTop w:val="0"/>
      <w:marBottom w:val="0"/>
      <w:divBdr>
        <w:top w:val="none" w:sz="0" w:space="0" w:color="auto"/>
        <w:left w:val="none" w:sz="0" w:space="0" w:color="auto"/>
        <w:bottom w:val="none" w:sz="0" w:space="0" w:color="auto"/>
        <w:right w:val="none" w:sz="0" w:space="0" w:color="auto"/>
      </w:divBdr>
    </w:div>
    <w:div w:id="1761608015">
      <w:bodyDiv w:val="1"/>
      <w:marLeft w:val="0"/>
      <w:marRight w:val="0"/>
      <w:marTop w:val="0"/>
      <w:marBottom w:val="0"/>
      <w:divBdr>
        <w:top w:val="none" w:sz="0" w:space="0" w:color="auto"/>
        <w:left w:val="none" w:sz="0" w:space="0" w:color="auto"/>
        <w:bottom w:val="none" w:sz="0" w:space="0" w:color="auto"/>
        <w:right w:val="none" w:sz="0" w:space="0" w:color="auto"/>
      </w:divBdr>
    </w:div>
    <w:div w:id="1767994783">
      <w:bodyDiv w:val="1"/>
      <w:marLeft w:val="0"/>
      <w:marRight w:val="0"/>
      <w:marTop w:val="0"/>
      <w:marBottom w:val="0"/>
      <w:divBdr>
        <w:top w:val="none" w:sz="0" w:space="0" w:color="auto"/>
        <w:left w:val="none" w:sz="0" w:space="0" w:color="auto"/>
        <w:bottom w:val="none" w:sz="0" w:space="0" w:color="auto"/>
        <w:right w:val="none" w:sz="0" w:space="0" w:color="auto"/>
      </w:divBdr>
    </w:div>
    <w:div w:id="1776747732">
      <w:bodyDiv w:val="1"/>
      <w:marLeft w:val="0"/>
      <w:marRight w:val="0"/>
      <w:marTop w:val="0"/>
      <w:marBottom w:val="0"/>
      <w:divBdr>
        <w:top w:val="none" w:sz="0" w:space="0" w:color="auto"/>
        <w:left w:val="none" w:sz="0" w:space="0" w:color="auto"/>
        <w:bottom w:val="none" w:sz="0" w:space="0" w:color="auto"/>
        <w:right w:val="none" w:sz="0" w:space="0" w:color="auto"/>
      </w:divBdr>
    </w:div>
    <w:div w:id="1841965396">
      <w:bodyDiv w:val="1"/>
      <w:marLeft w:val="0"/>
      <w:marRight w:val="0"/>
      <w:marTop w:val="0"/>
      <w:marBottom w:val="0"/>
      <w:divBdr>
        <w:top w:val="none" w:sz="0" w:space="0" w:color="auto"/>
        <w:left w:val="none" w:sz="0" w:space="0" w:color="auto"/>
        <w:bottom w:val="none" w:sz="0" w:space="0" w:color="auto"/>
        <w:right w:val="none" w:sz="0" w:space="0" w:color="auto"/>
      </w:divBdr>
    </w:div>
    <w:div w:id="1867713611">
      <w:bodyDiv w:val="1"/>
      <w:marLeft w:val="0"/>
      <w:marRight w:val="0"/>
      <w:marTop w:val="0"/>
      <w:marBottom w:val="0"/>
      <w:divBdr>
        <w:top w:val="none" w:sz="0" w:space="0" w:color="auto"/>
        <w:left w:val="none" w:sz="0" w:space="0" w:color="auto"/>
        <w:bottom w:val="none" w:sz="0" w:space="0" w:color="auto"/>
        <w:right w:val="none" w:sz="0" w:space="0" w:color="auto"/>
      </w:divBdr>
    </w:div>
    <w:div w:id="1872835031">
      <w:bodyDiv w:val="1"/>
      <w:marLeft w:val="0"/>
      <w:marRight w:val="0"/>
      <w:marTop w:val="0"/>
      <w:marBottom w:val="0"/>
      <w:divBdr>
        <w:top w:val="none" w:sz="0" w:space="0" w:color="auto"/>
        <w:left w:val="none" w:sz="0" w:space="0" w:color="auto"/>
        <w:bottom w:val="none" w:sz="0" w:space="0" w:color="auto"/>
        <w:right w:val="none" w:sz="0" w:space="0" w:color="auto"/>
      </w:divBdr>
    </w:div>
    <w:div w:id="1877809991">
      <w:bodyDiv w:val="1"/>
      <w:marLeft w:val="0"/>
      <w:marRight w:val="0"/>
      <w:marTop w:val="0"/>
      <w:marBottom w:val="0"/>
      <w:divBdr>
        <w:top w:val="none" w:sz="0" w:space="0" w:color="auto"/>
        <w:left w:val="none" w:sz="0" w:space="0" w:color="auto"/>
        <w:bottom w:val="none" w:sz="0" w:space="0" w:color="auto"/>
        <w:right w:val="none" w:sz="0" w:space="0" w:color="auto"/>
      </w:divBdr>
    </w:div>
    <w:div w:id="1878615999">
      <w:bodyDiv w:val="1"/>
      <w:marLeft w:val="0"/>
      <w:marRight w:val="0"/>
      <w:marTop w:val="0"/>
      <w:marBottom w:val="0"/>
      <w:divBdr>
        <w:top w:val="none" w:sz="0" w:space="0" w:color="auto"/>
        <w:left w:val="none" w:sz="0" w:space="0" w:color="auto"/>
        <w:bottom w:val="none" w:sz="0" w:space="0" w:color="auto"/>
        <w:right w:val="none" w:sz="0" w:space="0" w:color="auto"/>
      </w:divBdr>
    </w:div>
    <w:div w:id="1907953618">
      <w:bodyDiv w:val="1"/>
      <w:marLeft w:val="0"/>
      <w:marRight w:val="0"/>
      <w:marTop w:val="0"/>
      <w:marBottom w:val="0"/>
      <w:divBdr>
        <w:top w:val="none" w:sz="0" w:space="0" w:color="auto"/>
        <w:left w:val="none" w:sz="0" w:space="0" w:color="auto"/>
        <w:bottom w:val="none" w:sz="0" w:space="0" w:color="auto"/>
        <w:right w:val="none" w:sz="0" w:space="0" w:color="auto"/>
      </w:divBdr>
    </w:div>
    <w:div w:id="1936401210">
      <w:bodyDiv w:val="1"/>
      <w:marLeft w:val="0"/>
      <w:marRight w:val="0"/>
      <w:marTop w:val="0"/>
      <w:marBottom w:val="0"/>
      <w:divBdr>
        <w:top w:val="none" w:sz="0" w:space="0" w:color="auto"/>
        <w:left w:val="none" w:sz="0" w:space="0" w:color="auto"/>
        <w:bottom w:val="none" w:sz="0" w:space="0" w:color="auto"/>
        <w:right w:val="none" w:sz="0" w:space="0" w:color="auto"/>
      </w:divBdr>
      <w:divsChild>
        <w:div w:id="211772061">
          <w:marLeft w:val="0"/>
          <w:marRight w:val="0"/>
          <w:marTop w:val="0"/>
          <w:marBottom w:val="0"/>
          <w:divBdr>
            <w:top w:val="none" w:sz="0" w:space="0" w:color="auto"/>
            <w:left w:val="none" w:sz="0" w:space="0" w:color="auto"/>
            <w:bottom w:val="none" w:sz="0" w:space="0" w:color="auto"/>
            <w:right w:val="none" w:sz="0" w:space="0" w:color="auto"/>
          </w:divBdr>
        </w:div>
        <w:div w:id="596866513">
          <w:marLeft w:val="0"/>
          <w:marRight w:val="0"/>
          <w:marTop w:val="0"/>
          <w:marBottom w:val="0"/>
          <w:divBdr>
            <w:top w:val="none" w:sz="0" w:space="0" w:color="auto"/>
            <w:left w:val="none" w:sz="0" w:space="0" w:color="auto"/>
            <w:bottom w:val="none" w:sz="0" w:space="0" w:color="auto"/>
            <w:right w:val="none" w:sz="0" w:space="0" w:color="auto"/>
          </w:divBdr>
        </w:div>
        <w:div w:id="904336965">
          <w:marLeft w:val="0"/>
          <w:marRight w:val="0"/>
          <w:marTop w:val="0"/>
          <w:marBottom w:val="0"/>
          <w:divBdr>
            <w:top w:val="none" w:sz="0" w:space="0" w:color="auto"/>
            <w:left w:val="none" w:sz="0" w:space="0" w:color="auto"/>
            <w:bottom w:val="none" w:sz="0" w:space="0" w:color="auto"/>
            <w:right w:val="none" w:sz="0" w:space="0" w:color="auto"/>
          </w:divBdr>
        </w:div>
        <w:div w:id="1112744658">
          <w:marLeft w:val="0"/>
          <w:marRight w:val="0"/>
          <w:marTop w:val="0"/>
          <w:marBottom w:val="0"/>
          <w:divBdr>
            <w:top w:val="none" w:sz="0" w:space="0" w:color="auto"/>
            <w:left w:val="none" w:sz="0" w:space="0" w:color="auto"/>
            <w:bottom w:val="none" w:sz="0" w:space="0" w:color="auto"/>
            <w:right w:val="none" w:sz="0" w:space="0" w:color="auto"/>
          </w:divBdr>
        </w:div>
        <w:div w:id="1270504556">
          <w:marLeft w:val="0"/>
          <w:marRight w:val="0"/>
          <w:marTop w:val="0"/>
          <w:marBottom w:val="0"/>
          <w:divBdr>
            <w:top w:val="none" w:sz="0" w:space="0" w:color="auto"/>
            <w:left w:val="none" w:sz="0" w:space="0" w:color="auto"/>
            <w:bottom w:val="none" w:sz="0" w:space="0" w:color="auto"/>
            <w:right w:val="none" w:sz="0" w:space="0" w:color="auto"/>
          </w:divBdr>
        </w:div>
        <w:div w:id="1333682120">
          <w:marLeft w:val="0"/>
          <w:marRight w:val="0"/>
          <w:marTop w:val="0"/>
          <w:marBottom w:val="0"/>
          <w:divBdr>
            <w:top w:val="none" w:sz="0" w:space="0" w:color="auto"/>
            <w:left w:val="none" w:sz="0" w:space="0" w:color="auto"/>
            <w:bottom w:val="none" w:sz="0" w:space="0" w:color="auto"/>
            <w:right w:val="none" w:sz="0" w:space="0" w:color="auto"/>
          </w:divBdr>
        </w:div>
        <w:div w:id="1953125557">
          <w:marLeft w:val="0"/>
          <w:marRight w:val="0"/>
          <w:marTop w:val="0"/>
          <w:marBottom w:val="0"/>
          <w:divBdr>
            <w:top w:val="none" w:sz="0" w:space="0" w:color="auto"/>
            <w:left w:val="none" w:sz="0" w:space="0" w:color="auto"/>
            <w:bottom w:val="none" w:sz="0" w:space="0" w:color="auto"/>
            <w:right w:val="none" w:sz="0" w:space="0" w:color="auto"/>
          </w:divBdr>
        </w:div>
        <w:div w:id="2027319746">
          <w:marLeft w:val="0"/>
          <w:marRight w:val="0"/>
          <w:marTop w:val="0"/>
          <w:marBottom w:val="0"/>
          <w:divBdr>
            <w:top w:val="none" w:sz="0" w:space="0" w:color="auto"/>
            <w:left w:val="none" w:sz="0" w:space="0" w:color="auto"/>
            <w:bottom w:val="none" w:sz="0" w:space="0" w:color="auto"/>
            <w:right w:val="none" w:sz="0" w:space="0" w:color="auto"/>
          </w:divBdr>
        </w:div>
      </w:divsChild>
    </w:div>
    <w:div w:id="1951011237">
      <w:bodyDiv w:val="1"/>
      <w:marLeft w:val="0"/>
      <w:marRight w:val="0"/>
      <w:marTop w:val="0"/>
      <w:marBottom w:val="0"/>
      <w:divBdr>
        <w:top w:val="none" w:sz="0" w:space="0" w:color="auto"/>
        <w:left w:val="none" w:sz="0" w:space="0" w:color="auto"/>
        <w:bottom w:val="none" w:sz="0" w:space="0" w:color="auto"/>
        <w:right w:val="none" w:sz="0" w:space="0" w:color="auto"/>
      </w:divBdr>
    </w:div>
    <w:div w:id="1989161739">
      <w:bodyDiv w:val="1"/>
      <w:marLeft w:val="0"/>
      <w:marRight w:val="0"/>
      <w:marTop w:val="0"/>
      <w:marBottom w:val="0"/>
      <w:divBdr>
        <w:top w:val="none" w:sz="0" w:space="0" w:color="auto"/>
        <w:left w:val="none" w:sz="0" w:space="0" w:color="auto"/>
        <w:bottom w:val="none" w:sz="0" w:space="0" w:color="auto"/>
        <w:right w:val="none" w:sz="0" w:space="0" w:color="auto"/>
      </w:divBdr>
    </w:div>
    <w:div w:id="1994947233">
      <w:bodyDiv w:val="1"/>
      <w:marLeft w:val="0"/>
      <w:marRight w:val="0"/>
      <w:marTop w:val="0"/>
      <w:marBottom w:val="0"/>
      <w:divBdr>
        <w:top w:val="none" w:sz="0" w:space="0" w:color="auto"/>
        <w:left w:val="none" w:sz="0" w:space="0" w:color="auto"/>
        <w:bottom w:val="none" w:sz="0" w:space="0" w:color="auto"/>
        <w:right w:val="none" w:sz="0" w:space="0" w:color="auto"/>
      </w:divBdr>
      <w:divsChild>
        <w:div w:id="342627683">
          <w:marLeft w:val="806"/>
          <w:marRight w:val="0"/>
          <w:marTop w:val="75"/>
          <w:marBottom w:val="0"/>
          <w:divBdr>
            <w:top w:val="none" w:sz="0" w:space="0" w:color="auto"/>
            <w:left w:val="none" w:sz="0" w:space="0" w:color="auto"/>
            <w:bottom w:val="none" w:sz="0" w:space="0" w:color="auto"/>
            <w:right w:val="none" w:sz="0" w:space="0" w:color="auto"/>
          </w:divBdr>
        </w:div>
        <w:div w:id="862397423">
          <w:marLeft w:val="806"/>
          <w:marRight w:val="0"/>
          <w:marTop w:val="75"/>
          <w:marBottom w:val="0"/>
          <w:divBdr>
            <w:top w:val="none" w:sz="0" w:space="0" w:color="auto"/>
            <w:left w:val="none" w:sz="0" w:space="0" w:color="auto"/>
            <w:bottom w:val="none" w:sz="0" w:space="0" w:color="auto"/>
            <w:right w:val="none" w:sz="0" w:space="0" w:color="auto"/>
          </w:divBdr>
        </w:div>
        <w:div w:id="1356733026">
          <w:marLeft w:val="274"/>
          <w:marRight w:val="0"/>
          <w:marTop w:val="150"/>
          <w:marBottom w:val="0"/>
          <w:divBdr>
            <w:top w:val="none" w:sz="0" w:space="0" w:color="auto"/>
            <w:left w:val="none" w:sz="0" w:space="0" w:color="auto"/>
            <w:bottom w:val="none" w:sz="0" w:space="0" w:color="auto"/>
            <w:right w:val="none" w:sz="0" w:space="0" w:color="auto"/>
          </w:divBdr>
        </w:div>
        <w:div w:id="1843474076">
          <w:marLeft w:val="806"/>
          <w:marRight w:val="0"/>
          <w:marTop w:val="75"/>
          <w:marBottom w:val="0"/>
          <w:divBdr>
            <w:top w:val="none" w:sz="0" w:space="0" w:color="auto"/>
            <w:left w:val="none" w:sz="0" w:space="0" w:color="auto"/>
            <w:bottom w:val="none" w:sz="0" w:space="0" w:color="auto"/>
            <w:right w:val="none" w:sz="0" w:space="0" w:color="auto"/>
          </w:divBdr>
        </w:div>
        <w:div w:id="2132893603">
          <w:marLeft w:val="806"/>
          <w:marRight w:val="0"/>
          <w:marTop w:val="75"/>
          <w:marBottom w:val="0"/>
          <w:divBdr>
            <w:top w:val="none" w:sz="0" w:space="0" w:color="auto"/>
            <w:left w:val="none" w:sz="0" w:space="0" w:color="auto"/>
            <w:bottom w:val="none" w:sz="0" w:space="0" w:color="auto"/>
            <w:right w:val="none" w:sz="0" w:space="0" w:color="auto"/>
          </w:divBdr>
        </w:div>
      </w:divsChild>
    </w:div>
    <w:div w:id="2000039922">
      <w:bodyDiv w:val="1"/>
      <w:marLeft w:val="0"/>
      <w:marRight w:val="0"/>
      <w:marTop w:val="0"/>
      <w:marBottom w:val="0"/>
      <w:divBdr>
        <w:top w:val="none" w:sz="0" w:space="0" w:color="auto"/>
        <w:left w:val="none" w:sz="0" w:space="0" w:color="auto"/>
        <w:bottom w:val="none" w:sz="0" w:space="0" w:color="auto"/>
        <w:right w:val="none" w:sz="0" w:space="0" w:color="auto"/>
      </w:divBdr>
    </w:div>
    <w:div w:id="2021274569">
      <w:bodyDiv w:val="1"/>
      <w:marLeft w:val="0"/>
      <w:marRight w:val="0"/>
      <w:marTop w:val="0"/>
      <w:marBottom w:val="0"/>
      <w:divBdr>
        <w:top w:val="none" w:sz="0" w:space="0" w:color="auto"/>
        <w:left w:val="none" w:sz="0" w:space="0" w:color="auto"/>
        <w:bottom w:val="none" w:sz="0" w:space="0" w:color="auto"/>
        <w:right w:val="none" w:sz="0" w:space="0" w:color="auto"/>
      </w:divBdr>
    </w:div>
    <w:div w:id="2051610837">
      <w:bodyDiv w:val="1"/>
      <w:marLeft w:val="0"/>
      <w:marRight w:val="0"/>
      <w:marTop w:val="0"/>
      <w:marBottom w:val="0"/>
      <w:divBdr>
        <w:top w:val="none" w:sz="0" w:space="0" w:color="auto"/>
        <w:left w:val="none" w:sz="0" w:space="0" w:color="auto"/>
        <w:bottom w:val="none" w:sz="0" w:space="0" w:color="auto"/>
        <w:right w:val="none" w:sz="0" w:space="0" w:color="auto"/>
      </w:divBdr>
    </w:div>
    <w:div w:id="2057117046">
      <w:bodyDiv w:val="1"/>
      <w:marLeft w:val="0"/>
      <w:marRight w:val="0"/>
      <w:marTop w:val="0"/>
      <w:marBottom w:val="0"/>
      <w:divBdr>
        <w:top w:val="none" w:sz="0" w:space="0" w:color="auto"/>
        <w:left w:val="none" w:sz="0" w:space="0" w:color="auto"/>
        <w:bottom w:val="none" w:sz="0" w:space="0" w:color="auto"/>
        <w:right w:val="none" w:sz="0" w:space="0" w:color="auto"/>
      </w:divBdr>
    </w:div>
    <w:div w:id="2137260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opii.gov.sk/download/f/pcba/feasibilitystudy_1_0.rar" TargetMode="External"/><Relationship Id="rId18" Type="http://schemas.openxmlformats.org/officeDocument/2006/relationships/hyperlink" Target="https://rokovania.gov.sk/RVL/Resolution/18792/1" TargetMode="External"/><Relationship Id="rId26" Type="http://schemas.openxmlformats.org/officeDocument/2006/relationships/hyperlink" Target="https://www.gov.ie/en/policy-information/07e507-national-development-plan-2018-2027/" TargetMode="External"/><Relationship Id="rId39" Type="http://schemas.openxmlformats.org/officeDocument/2006/relationships/hyperlink" Target="https://www.mfsr.sk/files/archiv/priloha-stranky/3290/49/Obsah-poziadavky-studiu-uskutocnitelnosti-komparator-verejneho-sektora.pdf" TargetMode="External"/><Relationship Id="rId21" Type="http://schemas.openxmlformats.org/officeDocument/2006/relationships/image" Target="media/image1.png"/><Relationship Id="rId34" Type="http://schemas.openxmlformats.org/officeDocument/2006/relationships/hyperlink" Target="https://www.gov.uk/government/publications/national-infrastructure-delivery-plan-2016-to-2021" TargetMode="External"/><Relationship Id="rId42" Type="http://schemas.openxmlformats.org/officeDocument/2006/relationships/hyperlink" Target="https://www.mfsr.sk/files/archiv/uhp/3370/76/03metodikaCBA-v10.pdf" TargetMode="External"/><Relationship Id="rId47" Type="http://schemas.openxmlformats.org/officeDocument/2006/relationships/image" Target="media/image5.png"/><Relationship Id="rId50" Type="http://schemas.openxmlformats.org/officeDocument/2006/relationships/hyperlink" Target="https://www.mfsr.sk/files/sk/financie/ppp-projekty/metodicke-dokumenty-k-ppp-projektom/obsah-poziadavky-studiu-uskutocnitelnosti-komparator-verejneho-sektora.pdf" TargetMode="External"/><Relationship Id="rId55" Type="http://schemas.openxmlformats.org/officeDocument/2006/relationships/hyperlink" Target="https://www.mirri.gov.sk/wp-content/uploads/2021/02/Metodicky-pokyn_BC_CBA_UCP_09022021_FIN.docx" TargetMode="External"/><Relationship Id="rId63" Type="http://schemas.openxmlformats.org/officeDocument/2006/relationships/hyperlink" Target="https://www.uvo.gov.sk/legislativametodika-dohlad/metodika-zadavania-zakaziek-5ae.html" TargetMode="External"/><Relationship Id="rId68" Type="http://schemas.openxmlformats.org/officeDocument/2006/relationships/hyperlink" Target="https://www.slov-lex.sk/pravne-predpisy/SK/ZZ/2019/174/20200101" TargetMode="External"/><Relationship Id="rId7" Type="http://schemas.openxmlformats.org/officeDocument/2006/relationships/endnotes" Target="endnotes.xml"/><Relationship Id="rId71"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minv.sk/swift_data/source/verejna_sprava/analyticke_kapacity/materialy/Metodika%20pre%20budovanie%20AK%20marec%202020.pdf" TargetMode="External"/><Relationship Id="rId29" Type="http://schemas.openxmlformats.org/officeDocument/2006/relationships/hyperlink" Target="https://www.mindop.sk/priority/cesty" TargetMode="External"/><Relationship Id="rId11" Type="http://schemas.openxmlformats.org/officeDocument/2006/relationships/hyperlink" Target="https://www.mirri.gov.sk/wp-content/uploads/2021/02/Metodicky-pokyn_BC_CBA_UCP_09022021_FIN.docx" TargetMode="External"/><Relationship Id="rId24" Type="http://schemas.openxmlformats.org/officeDocument/2006/relationships/hyperlink" Target="https://www.nic.org.uk/publications/national-infrastructure-assessment-2018/" TargetMode="External"/><Relationship Id="rId32" Type="http://schemas.openxmlformats.org/officeDocument/2006/relationships/chart" Target="charts/chart1.xml"/><Relationship Id="rId37" Type="http://schemas.openxmlformats.org/officeDocument/2006/relationships/hyperlink" Target="https://www.mirri.gov.sk/wp-content/uploads/2021/02/Metodicky-pokyn_BC_CBA_UCP_09022021_FIN.docx" TargetMode="External"/><Relationship Id="rId40" Type="http://schemas.openxmlformats.org/officeDocument/2006/relationships/image" Target="media/image4.png"/><Relationship Id="rId45" Type="http://schemas.openxmlformats.org/officeDocument/2006/relationships/hyperlink" Target="https://www.minzp.sk/files/iep/cba_metodika.pdf" TargetMode="External"/><Relationship Id="rId53" Type="http://schemas.openxmlformats.org/officeDocument/2006/relationships/hyperlink" Target="https://www.mfsr.sk/files/sk/financie/ppp-projekty/metodicke-dokumenty-k-ppp-projektom/obsah-poziadavky-studiu-uskutocnitelnosti-komparator-verejneho-sektora.pdf" TargetMode="External"/><Relationship Id="rId58" Type="http://schemas.openxmlformats.org/officeDocument/2006/relationships/hyperlink" Target="mailto:investicie.uhp@mfsr.sk" TargetMode="External"/><Relationship Id="rId66" Type="http://schemas.openxmlformats.org/officeDocument/2006/relationships/hyperlink" Target="mailto:investicie.uhp@mfsr.sk" TargetMode="External"/><Relationship Id="rId7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minzp.sk/files/iep/cba_metodika.pdf" TargetMode="External"/><Relationship Id="rId23" Type="http://schemas.openxmlformats.org/officeDocument/2006/relationships/image" Target="media/image3.png"/><Relationship Id="rId28" Type="http://schemas.openxmlformats.org/officeDocument/2006/relationships/hyperlink" Target="https://www.minzp.sk/files/iep/publikacia_zelensie-slovensko-sj_web.pdf" TargetMode="External"/><Relationship Id="rId36" Type="http://schemas.openxmlformats.org/officeDocument/2006/relationships/hyperlink" Target="https://www.slov-lex.sk/pravne-predpisy/SK/ZZ/2020/85/20200501" TargetMode="External"/><Relationship Id="rId49" Type="http://schemas.openxmlformats.org/officeDocument/2006/relationships/hyperlink" Target="https://www.mfsr.sk/files/sk/financie/ppp-projekty/metodicke-dokumenty-k-ppp-projektom/obsah-poziadavky-studiu-uskutocnitelnosti-komparator-verejneho-sektora.pdf" TargetMode="External"/><Relationship Id="rId57" Type="http://schemas.openxmlformats.org/officeDocument/2006/relationships/hyperlink" Target="https://www.mfsr.sk/files/archiv/uhp/3370/76/03metodikaCBA-v10.pdf" TargetMode="External"/><Relationship Id="rId61" Type="http://schemas.openxmlformats.org/officeDocument/2006/relationships/hyperlink" Target="https://www.gov.uk/government/publications/national-infrastructure-and-construction-procurement-pipeline-202021" TargetMode="External"/><Relationship Id="rId10" Type="http://schemas.openxmlformats.org/officeDocument/2006/relationships/hyperlink" Target="https://www.mfsr.sk/sk/financie/ppp-projekty/metodicke-dokumenty-k-ppp-projektom/" TargetMode="External"/><Relationship Id="rId19" Type="http://schemas.openxmlformats.org/officeDocument/2006/relationships/hyperlink" Target="https://www.slov-lex.sk/pravne-predpisy/SK/ZZ/2020/85/20200501" TargetMode="External"/><Relationship Id="rId31" Type="http://schemas.openxmlformats.org/officeDocument/2006/relationships/hyperlink" Target="https://www.mfsr.sk/files/archiv/9/Dusevne_zdravie_verejne_financie_UHP.pdf" TargetMode="External"/><Relationship Id="rId44" Type="http://schemas.openxmlformats.org/officeDocument/2006/relationships/hyperlink" Target="https://www.mirri.gov.sk/wp-content/uploads/2021/02/Metodicky-pokyn_BC_CBA_UCP_09022021_FIN.docx" TargetMode="External"/><Relationship Id="rId52" Type="http://schemas.openxmlformats.org/officeDocument/2006/relationships/hyperlink" Target="https://www.mfsr.sk/files/sk/financie/ppp-projekty/metodicke-dokumenty-k-ppp-projektom/obsah-poziadavky-studiu-uskutocnitelnosti-komparator-verejneho-sektora.pdf" TargetMode="External"/><Relationship Id="rId60" Type="http://schemas.openxmlformats.org/officeDocument/2006/relationships/image" Target="media/image6.png"/><Relationship Id="rId65" Type="http://schemas.openxmlformats.org/officeDocument/2006/relationships/image" Target="media/image7.png"/><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mfsr.sk/files/archiv/82/UsmernenieMF_hodnotenieinvesticii_MF-020541-2019-2974.pdf" TargetMode="External"/><Relationship Id="rId14" Type="http://schemas.openxmlformats.org/officeDocument/2006/relationships/hyperlink" Target="https://www.slov-lex.sk/pravne-predpisy/SK/ZZ/2019/174/20200101" TargetMode="External"/><Relationship Id="rId22" Type="http://schemas.openxmlformats.org/officeDocument/2006/relationships/image" Target="media/image2.png"/><Relationship Id="rId27" Type="http://schemas.openxmlformats.org/officeDocument/2006/relationships/hyperlink" Target="https://www.vicepremier.gov.sk/sekcie/investicie/narodny-investicny-plan/dokumenty/index.html" TargetMode="External"/><Relationship Id="rId30" Type="http://schemas.openxmlformats.org/officeDocument/2006/relationships/hyperlink" Target="https://www.mindop.sk/priority/cesty" TargetMode="External"/><Relationship Id="rId35" Type="http://schemas.openxmlformats.org/officeDocument/2006/relationships/hyperlink" Target="https://www.gov.uk/government/publications/national-infrastructure-and-construction-pipeline-2018" TargetMode="External"/><Relationship Id="rId43" Type="http://schemas.openxmlformats.org/officeDocument/2006/relationships/hyperlink" Target="http://www.opii.gov.sk/download/f/pcba/feasibilitystudy_1_0.rar" TargetMode="External"/><Relationship Id="rId48" Type="http://schemas.openxmlformats.org/officeDocument/2006/relationships/hyperlink" Target="https://www.mfsr.sk/files/sk/financie/ppp-projekty/metodicke-dokumenty-k-ppp-projektom/obsah-poziadavky-studiu-uskutocnitelnosti-komparator-verejneho-sektora.pdf" TargetMode="External"/><Relationship Id="rId56" Type="http://schemas.openxmlformats.org/officeDocument/2006/relationships/hyperlink" Target="https://www.minzp.sk/files/iep/cba_metodika.pdf" TargetMode="External"/><Relationship Id="rId64" Type="http://schemas.openxmlformats.org/officeDocument/2006/relationships/hyperlink" Target="mailto:investicie.uhp@mfsr.sk" TargetMode="External"/><Relationship Id="rId69" Type="http://schemas.openxmlformats.org/officeDocument/2006/relationships/hyperlink" Target="https://www.mfsr.sk/sk/financie/ppp-projekty/garantovane-energeticke-sluzby/metodika-vzorova-zmluva.html" TargetMode="External"/><Relationship Id="rId8" Type="http://schemas.openxmlformats.org/officeDocument/2006/relationships/hyperlink" Target="https://rokovania.gov.sk/RVL/Material/24756/1" TargetMode="External"/><Relationship Id="rId51" Type="http://schemas.openxmlformats.org/officeDocument/2006/relationships/hyperlink" Target="https://www.mfsr.sk/files/sk/financie/ppp-projekty/metodicke-dokumenty-k-ppp-projektom/obsah-poziadavky-studiu-uskutocnitelnosti-komparator-verejneho-sektora.pdf" TargetMode="External"/><Relationship Id="rId72" Type="http://schemas.openxmlformats.org/officeDocument/2006/relationships/footer" Target="footer3.xml"/><Relationship Id="rId3" Type="http://schemas.openxmlformats.org/officeDocument/2006/relationships/styles" Target="styles.xml"/><Relationship Id="rId12" Type="http://schemas.openxmlformats.org/officeDocument/2006/relationships/hyperlink" Target="https://www.mirri.gov.sk/wp-content/uploads/2020/08/Metodicky_pokyn_20_03_2019_final.pdf" TargetMode="External"/><Relationship Id="rId17" Type="http://schemas.openxmlformats.org/officeDocument/2006/relationships/hyperlink" Target="https://www.mfsr.sk/files/archiv/uhp/3370/76/03metodikaCBA-v10.pdf" TargetMode="External"/><Relationship Id="rId25" Type="http://schemas.openxmlformats.org/officeDocument/2006/relationships/hyperlink" Target="https://assets.publishing.service.gov.uk/government/uploads/system/uploads/attachment_data/file/938539/NIS_Report_Web_Accessible.pdf" TargetMode="External"/><Relationship Id="rId33" Type="http://schemas.openxmlformats.org/officeDocument/2006/relationships/chart" Target="charts/chart2.xml"/><Relationship Id="rId38" Type="http://schemas.openxmlformats.org/officeDocument/2006/relationships/hyperlink" Target="https://www.slov-lex.sk/pravne-predpisy/SK/ZZ/2020/85/20200501" TargetMode="External"/><Relationship Id="rId46" Type="http://schemas.openxmlformats.org/officeDocument/2006/relationships/hyperlink" Target="https://www.mfsr.sk/files/archiv/uhp/3370/76/03metodikaCBA-v10.pdf" TargetMode="External"/><Relationship Id="rId59" Type="http://schemas.openxmlformats.org/officeDocument/2006/relationships/hyperlink" Target="https://www.slov-lex.sk/pravne-predpisy/SK/ZZ/2020/85/20200501" TargetMode="External"/><Relationship Id="rId67" Type="http://schemas.openxmlformats.org/officeDocument/2006/relationships/image" Target="media/image8.png"/><Relationship Id="rId20" Type="http://schemas.openxmlformats.org/officeDocument/2006/relationships/hyperlink" Target="https://www.slov-lex.sk/pravne-predpisy/SK/ZZ/2004/523/20210101" TargetMode="External"/><Relationship Id="rId41" Type="http://schemas.openxmlformats.org/officeDocument/2006/relationships/hyperlink" Target="https://www.minv.sk/swift_data/source/verejna_sprava/analyticke_kapacity/materialy/Metodika%20pre%20budovanie%20AK%20marec%202020.pdf" TargetMode="External"/><Relationship Id="rId54" Type="http://schemas.openxmlformats.org/officeDocument/2006/relationships/hyperlink" Target="http://www.opii.gov.sk/metodicke-dokumenty/prirucka-cba" TargetMode="External"/><Relationship Id="rId62" Type="http://schemas.openxmlformats.org/officeDocument/2006/relationships/hyperlink" Target="https://www.gov.uk/government/publications/national-infrastructure-and-construction-procurement-pipeline-202021" TargetMode="External"/><Relationship Id="rId7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s>
</file>

<file path=word/_rels/footnotes.xml.rels><?xml version="1.0" encoding="UTF-8" standalone="yes"?>
<Relationships xmlns="http://schemas.openxmlformats.org/package/2006/relationships"><Relationship Id="rId8" Type="http://schemas.openxmlformats.org/officeDocument/2006/relationships/hyperlink" Target="https://www.slov-lex.sk/pravne-predpisy/SK/ZZ/1991/513/" TargetMode="External"/><Relationship Id="rId3" Type="http://schemas.openxmlformats.org/officeDocument/2006/relationships/hyperlink" Target="https://finance.gov.sk/sk/financie/hodnota-za-peniaze/hodnotenie-investicnych-projektov/hodnotenie-investicnych-projektov.html" TargetMode="External"/><Relationship Id="rId7" Type="http://schemas.openxmlformats.org/officeDocument/2006/relationships/hyperlink" Target="https://www.slov-lex.sk/pravne-predpisy/SK/ZZ/2003/595/" TargetMode="External"/><Relationship Id="rId2" Type="http://schemas.openxmlformats.org/officeDocument/2006/relationships/hyperlink" Target="https://finance.gov.sk/sk/financie/hodnota-za-peniaze/hodnotenie-investicnych-projektov/hodnotenie-investicnych-projektov.html" TargetMode="External"/><Relationship Id="rId1" Type="http://schemas.openxmlformats.org/officeDocument/2006/relationships/hyperlink" Target="https://rokovania.gov.sk/RVL/Resolution/18792/1" TargetMode="External"/><Relationship Id="rId6" Type="http://schemas.openxmlformats.org/officeDocument/2006/relationships/hyperlink" Target="https://www.slov-lex.sk/pravne-predpisy/SK/ZZ/2003/595/" TargetMode="External"/><Relationship Id="rId11" Type="http://schemas.openxmlformats.org/officeDocument/2006/relationships/hyperlink" Target="https://www.slov-lex.sk/pravne-predpisy/SK/ZZ/2015/343/" TargetMode="External"/><Relationship Id="rId5" Type="http://schemas.openxmlformats.org/officeDocument/2006/relationships/hyperlink" Target="https://slovak.statistics.sk/wps/portal/ext/Databases/administration/!ut/p/z0/04_Sj9CPykssy0xPLMnMz0vMAfIjo8ziw3wCLJycDB0NDNxMDQ0cHYMDTb0NLY1MfE31C7IdFQGJP-JC/" TargetMode="External"/><Relationship Id="rId10" Type="http://schemas.openxmlformats.org/officeDocument/2006/relationships/hyperlink" Target="https://www.slov-lex.sk/pravne-predpisy/SK/ZZ/2015/343/" TargetMode="External"/><Relationship Id="rId4" Type="http://schemas.openxmlformats.org/officeDocument/2006/relationships/hyperlink" Target="https://www.uvo.gov.sk/extdoc/2951/Infografika%20k%20pr%C3%ADpravn%C3%BDm%20trhov%C3%BDm%20konzult%C3%A1ci%C3%A1m_PTK" TargetMode="External"/><Relationship Id="rId9" Type="http://schemas.openxmlformats.org/officeDocument/2006/relationships/hyperlink" Target="https://www.slov-lex.sk/pravne-predpisy/SK/ZZ/2015/343/"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NULL"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rgbClr val="00B0F0"/>
            </a:solidFill>
            <a:ln>
              <a:noFill/>
            </a:ln>
            <a:effectLst/>
          </c:spPr>
          <c:invertIfNegative val="0"/>
          <c:dPt>
            <c:idx val="6"/>
            <c:invertIfNegative val="0"/>
            <c:bubble3D val="0"/>
            <c:spPr>
              <a:solidFill>
                <a:srgbClr val="002060"/>
              </a:solidFill>
              <a:ln>
                <a:noFill/>
              </a:ln>
              <a:effectLst/>
            </c:spPr>
            <c:extLst>
              <c:ext xmlns:c16="http://schemas.microsoft.com/office/drawing/2014/chart" uri="{C3380CC4-5D6E-409C-BE32-E72D297353CC}">
                <c16:uniqueId val="{00000001-0A09-45F0-9B7E-A3E20852FCE2}"/>
              </c:ext>
            </c:extLst>
          </c:dPt>
          <c:dLbls>
            <c:numFmt formatCode="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Arial Narrow" panose="020B0606020202030204" pitchFamily="34" charset="0"/>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'DALY -pivot nové'!$P$17:$P$27</c:f>
              <c:strCache>
                <c:ptCount val="11"/>
                <c:pt idx="0">
                  <c:v>Ostatné</c:v>
                </c:pt>
                <c:pt idx="1">
                  <c:v>Chronické dýchacie</c:v>
                </c:pt>
                <c:pt idx="2">
                  <c:v>Zmyslové orgány</c:v>
                </c:pt>
                <c:pt idx="3">
                  <c:v>Cukrovka a obličky</c:v>
                </c:pt>
                <c:pt idx="4">
                  <c:v>Tráviace</c:v>
                </c:pt>
                <c:pt idx="5">
                  <c:v>Neurologické</c:v>
                </c:pt>
                <c:pt idx="6">
                  <c:v>Duševné*</c:v>
                </c:pt>
                <c:pt idx="7">
                  <c:v>Muskokeletálne</c:v>
                </c:pt>
                <c:pt idx="8">
                  <c:v>Zranenia</c:v>
                </c:pt>
                <c:pt idx="9">
                  <c:v>Onkologické</c:v>
                </c:pt>
                <c:pt idx="10">
                  <c:v>Kardiovaskulárne</c:v>
                </c:pt>
              </c:strCache>
            </c:strRef>
          </c:cat>
          <c:val>
            <c:numRef>
              <c:f>'DALY -pivot nové'!$Q$17:$Q$27</c:f>
              <c:numCache>
                <c:formatCode>0.0%</c:formatCode>
                <c:ptCount val="11"/>
                <c:pt idx="0">
                  <c:v>0.10255230906024693</c:v>
                </c:pt>
                <c:pt idx="1">
                  <c:v>2.8605453483890493E-2</c:v>
                </c:pt>
                <c:pt idx="2">
                  <c:v>3.1491894538591768E-2</c:v>
                </c:pt>
                <c:pt idx="3">
                  <c:v>3.8805333553012279E-2</c:v>
                </c:pt>
                <c:pt idx="4">
                  <c:v>5.3850900213807444E-2</c:v>
                </c:pt>
                <c:pt idx="5">
                  <c:v>5.9516296893079523E-2</c:v>
                </c:pt>
                <c:pt idx="6">
                  <c:v>7.9242502567376485E-2</c:v>
                </c:pt>
                <c:pt idx="7">
                  <c:v>8.3831294943861406E-2</c:v>
                </c:pt>
                <c:pt idx="8">
                  <c:v>0.10296544725783052</c:v>
                </c:pt>
                <c:pt idx="9">
                  <c:v>0.1725019829818667</c:v>
                </c:pt>
                <c:pt idx="10">
                  <c:v>0.24663658450643647</c:v>
                </c:pt>
              </c:numCache>
            </c:numRef>
          </c:val>
          <c:extLst>
            <c:ext xmlns:c16="http://schemas.microsoft.com/office/drawing/2014/chart" uri="{C3380CC4-5D6E-409C-BE32-E72D297353CC}">
              <c16:uniqueId val="{00000002-0A09-45F0-9B7E-A3E20852FCE2}"/>
            </c:ext>
          </c:extLst>
        </c:ser>
        <c:dLbls>
          <c:showLegendKey val="0"/>
          <c:showVal val="0"/>
          <c:showCatName val="0"/>
          <c:showSerName val="0"/>
          <c:showPercent val="0"/>
          <c:showBubbleSize val="0"/>
        </c:dLbls>
        <c:gapWidth val="182"/>
        <c:axId val="564371800"/>
        <c:axId val="564372192"/>
      </c:barChart>
      <c:catAx>
        <c:axId val="564371800"/>
        <c:scaling>
          <c:orientation val="minMax"/>
        </c:scaling>
        <c:delete val="0"/>
        <c:axPos val="l"/>
        <c:title>
          <c:tx>
            <c:rich>
              <a:bodyPr rot="-5400000" spcFirstLastPara="1" vertOverflow="ellipsis" vert="horz" wrap="square" anchor="ctr" anchorCtr="1"/>
              <a:lstStyle/>
              <a:p>
                <a:pPr>
                  <a:defRPr sz="900" b="0" i="0" u="none" strike="noStrike" kern="1200" baseline="0">
                    <a:solidFill>
                      <a:sysClr val="windowText" lastClr="000000"/>
                    </a:solidFill>
                    <a:latin typeface="Arial Narrow" panose="020B0606020202030204" pitchFamily="34" charset="0"/>
                    <a:ea typeface="+mn-ea"/>
                    <a:cs typeface="+mn-cs"/>
                  </a:defRPr>
                </a:pPr>
                <a:r>
                  <a:rPr lang="sk-SK"/>
                  <a:t>Spolu 100 % DALY</a:t>
                </a:r>
              </a:p>
            </c:rich>
          </c:tx>
          <c:layout>
            <c:manualLayout>
              <c:xMode val="edge"/>
              <c:yMode val="edge"/>
              <c:x val="3.890104546559689E-2"/>
              <c:y val="0.2700102880658436"/>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Arial Narrow" panose="020B0606020202030204" pitchFamily="34" charset="0"/>
                  <a:ea typeface="+mn-ea"/>
                  <a:cs typeface="+mn-cs"/>
                </a:defRPr>
              </a:pPr>
              <a:endParaRPr lang="sk-SK"/>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Narrow" panose="020B0606020202030204" pitchFamily="34" charset="0"/>
                <a:ea typeface="+mn-ea"/>
                <a:cs typeface="+mn-cs"/>
              </a:defRPr>
            </a:pPr>
            <a:endParaRPr lang="sk-SK"/>
          </a:p>
        </c:txPr>
        <c:crossAx val="564372192"/>
        <c:crosses val="autoZero"/>
        <c:auto val="1"/>
        <c:lblAlgn val="ctr"/>
        <c:lblOffset val="100"/>
        <c:noMultiLvlLbl val="0"/>
      </c:catAx>
      <c:valAx>
        <c:axId val="564372192"/>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Narrow" panose="020B0606020202030204" pitchFamily="34" charset="0"/>
                <a:ea typeface="+mn-ea"/>
                <a:cs typeface="+mn-cs"/>
              </a:defRPr>
            </a:pPr>
            <a:endParaRPr lang="sk-SK"/>
          </a:p>
        </c:txPr>
        <c:crossAx val="564371800"/>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sz="900">
          <a:solidFill>
            <a:sysClr val="windowText" lastClr="000000"/>
          </a:solidFill>
          <a:latin typeface="Arial Narrow" panose="020B0606020202030204" pitchFamily="34" charset="0"/>
        </a:defRPr>
      </a:pPr>
      <a:endParaRPr lang="sk-SK"/>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spPr>
            <a:solidFill>
              <a:srgbClr val="00B0F0"/>
            </a:solidFill>
            <a:ln>
              <a:solidFill>
                <a:srgbClr val="00B0F0"/>
              </a:solidFill>
            </a:ln>
            <a:effectLst/>
          </c:spPr>
          <c:invertIfNegative val="0"/>
          <c:dPt>
            <c:idx val="9"/>
            <c:invertIfNegative val="0"/>
            <c:bubble3D val="0"/>
            <c:spPr>
              <a:solidFill>
                <a:srgbClr val="002060"/>
              </a:solidFill>
              <a:ln>
                <a:solidFill>
                  <a:srgbClr val="002060"/>
                </a:solidFill>
              </a:ln>
              <a:effectLst/>
            </c:spPr>
            <c:extLst>
              <c:ext xmlns:c16="http://schemas.microsoft.com/office/drawing/2014/chart" uri="{C3380CC4-5D6E-409C-BE32-E72D297353CC}">
                <c16:uniqueId val="{00000001-0496-4591-8ECE-2BD87E6AAC54}"/>
              </c:ext>
            </c:extLst>
          </c:dPt>
          <c:dLbls>
            <c:numFmt formatCode="0%" sourceLinked="0"/>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Arial Narrow" panose="020B0606020202030204" pitchFamily="34" charset="0"/>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'pivot nové'!$O$131:$O$142</c:f>
              <c:strCache>
                <c:ptCount val="12"/>
                <c:pt idx="0">
                  <c:v>Ostatné</c:v>
                </c:pt>
                <c:pt idx="1">
                  <c:v>Onkologické</c:v>
                </c:pt>
                <c:pt idx="2">
                  <c:v>Tráviace</c:v>
                </c:pt>
                <c:pt idx="3">
                  <c:v>Kožné</c:v>
                </c:pt>
                <c:pt idx="4">
                  <c:v>Chronické dýchacie </c:v>
                </c:pt>
                <c:pt idx="5">
                  <c:v>Cukrovka a obličky</c:v>
                </c:pt>
                <c:pt idx="6">
                  <c:v>Zmyslové orgány</c:v>
                </c:pt>
                <c:pt idx="7">
                  <c:v>Kardiovaskulárne</c:v>
                </c:pt>
                <c:pt idx="8">
                  <c:v>Neurologické</c:v>
                </c:pt>
                <c:pt idx="9">
                  <c:v>Duševné*</c:v>
                </c:pt>
                <c:pt idx="10">
                  <c:v>Zranenia</c:v>
                </c:pt>
                <c:pt idx="11">
                  <c:v>Muskoskeletálne</c:v>
                </c:pt>
              </c:strCache>
            </c:strRef>
          </c:cat>
          <c:val>
            <c:numRef>
              <c:f>'pivot nové'!$P$131:$P$142</c:f>
              <c:numCache>
                <c:formatCode>0%</c:formatCode>
                <c:ptCount val="12"/>
                <c:pt idx="0">
                  <c:v>0.11019747930533837</c:v>
                </c:pt>
                <c:pt idx="1">
                  <c:v>1.6515136682565879E-2</c:v>
                </c:pt>
                <c:pt idx="2">
                  <c:v>3.4404359915326463E-2</c:v>
                </c:pt>
                <c:pt idx="3">
                  <c:v>3.4986524500961229E-2</c:v>
                </c:pt>
                <c:pt idx="4">
                  <c:v>4.0362478018211467E-2</c:v>
                </c:pt>
                <c:pt idx="5">
                  <c:v>5.3970722194396296E-2</c:v>
                </c:pt>
                <c:pt idx="6">
                  <c:v>7.1650582945192096E-2</c:v>
                </c:pt>
                <c:pt idx="7">
                  <c:v>7.700223348249427E-2</c:v>
                </c:pt>
                <c:pt idx="8">
                  <c:v>8.2955483169359828E-2</c:v>
                </c:pt>
                <c:pt idx="9">
                  <c:v>0.13271751607583404</c:v>
                </c:pt>
                <c:pt idx="10">
                  <c:v>0.15585574343702802</c:v>
                </c:pt>
                <c:pt idx="11">
                  <c:v>0.1893675958681188</c:v>
                </c:pt>
              </c:numCache>
            </c:numRef>
          </c:val>
          <c:extLst>
            <c:ext xmlns:c16="http://schemas.microsoft.com/office/drawing/2014/chart" uri="{C3380CC4-5D6E-409C-BE32-E72D297353CC}">
              <c16:uniqueId val="{00000002-0496-4591-8ECE-2BD87E6AAC54}"/>
            </c:ext>
          </c:extLst>
        </c:ser>
        <c:dLbls>
          <c:showLegendKey val="0"/>
          <c:showVal val="0"/>
          <c:showCatName val="0"/>
          <c:showSerName val="0"/>
          <c:showPercent val="0"/>
          <c:showBubbleSize val="0"/>
        </c:dLbls>
        <c:gapWidth val="150"/>
        <c:axId val="495134928"/>
        <c:axId val="495135320"/>
        <c:extLst/>
      </c:barChart>
      <c:catAx>
        <c:axId val="495134928"/>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Arial Narrow" panose="020B0606020202030204" pitchFamily="34" charset="0"/>
                    <a:ea typeface="+mn-ea"/>
                    <a:cs typeface="+mn-cs"/>
                  </a:defRPr>
                </a:pPr>
                <a:r>
                  <a:rPr lang="sk-SK">
                    <a:solidFill>
                      <a:sysClr val="windowText" lastClr="000000"/>
                    </a:solidFill>
                  </a:rPr>
                  <a:t>Spolu 100 % YLD</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Arial Narrow" panose="020B0606020202030204" pitchFamily="34" charset="0"/>
                  <a:ea typeface="+mn-ea"/>
                  <a:cs typeface="+mn-cs"/>
                </a:defRPr>
              </a:pPr>
              <a:endParaRPr lang="sk-SK"/>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Narrow" panose="020B0606020202030204" pitchFamily="34" charset="0"/>
                <a:ea typeface="+mn-ea"/>
                <a:cs typeface="+mn-cs"/>
              </a:defRPr>
            </a:pPr>
            <a:endParaRPr lang="sk-SK"/>
          </a:p>
        </c:txPr>
        <c:crossAx val="495135320"/>
        <c:crosses val="autoZero"/>
        <c:auto val="1"/>
        <c:lblAlgn val="ctr"/>
        <c:lblOffset val="100"/>
        <c:noMultiLvlLbl val="0"/>
      </c:catAx>
      <c:valAx>
        <c:axId val="495135320"/>
        <c:scaling>
          <c:orientation val="minMax"/>
        </c:scaling>
        <c:delete val="0"/>
        <c:axPos val="b"/>
        <c:majorGridlines>
          <c:spPr>
            <a:ln w="9525" cap="flat" cmpd="sng" algn="ctr">
              <a:solidFill>
                <a:schemeClr val="tx1">
                  <a:lumMod val="15000"/>
                  <a:lumOff val="85000"/>
                </a:schemeClr>
              </a:solidFill>
              <a:prstDash val="dash"/>
              <a:round/>
            </a:ln>
            <a:effectLst/>
          </c:spPr>
        </c:majorGridlines>
        <c:numFmt formatCode="0%" sourceLinked="0"/>
        <c:majorTickMark val="none"/>
        <c:minorTickMark val="none"/>
        <c:tickLblPos val="nextTo"/>
        <c:spPr>
          <a:noFill/>
          <a:ln>
            <a:solidFill>
              <a:sysClr val="window" lastClr="FFFFFF">
                <a:lumMod val="85000"/>
              </a:sysClr>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Narrow" panose="020B0606020202030204" pitchFamily="34" charset="0"/>
                <a:ea typeface="+mn-ea"/>
                <a:cs typeface="+mn-cs"/>
              </a:defRPr>
            </a:pPr>
            <a:endParaRPr lang="sk-SK"/>
          </a:p>
        </c:txPr>
        <c:crossAx val="495134928"/>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latin typeface="Arial Narrow" panose="020B0606020202030204" pitchFamily="34" charset="0"/>
        </a:defRPr>
      </a:pPr>
      <a:endParaRPr lang="sk-SK"/>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19A3FF-9756-4F74-B609-C345F38515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60</Pages>
  <Words>24807</Words>
  <Characters>141402</Characters>
  <Application>Microsoft Office Word</Application>
  <DocSecurity>0</DocSecurity>
  <Lines>1178</Lines>
  <Paragraphs>331</Paragraphs>
  <ScaleCrop>false</ScaleCrop>
  <HeadingPairs>
    <vt:vector size="2" baseType="variant">
      <vt:variant>
        <vt:lpstr>Názov</vt:lpstr>
      </vt:variant>
      <vt:variant>
        <vt:i4>1</vt:i4>
      </vt:variant>
    </vt:vector>
  </HeadingPairs>
  <TitlesOfParts>
    <vt:vector size="1" baseType="lpstr">
      <vt:lpstr/>
    </vt:vector>
  </TitlesOfParts>
  <Company>Ministerstvo financií SR</Company>
  <LinksUpToDate>false</LinksUpToDate>
  <CharactersWithSpaces>165878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Luptak Matus</dc:creator>
  <cp:keywords/>
  <dc:description/>
  <cp:lastModifiedBy>Musec Daniel</cp:lastModifiedBy>
  <cp:revision>3</cp:revision>
  <cp:lastPrinted>2020-08-18T11:16:00Z</cp:lastPrinted>
  <dcterms:created xsi:type="dcterms:W3CDTF">2021-12-10T13:12:00Z</dcterms:created>
  <dcterms:modified xsi:type="dcterms:W3CDTF">2021-12-10T13:53:00Z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2049979688</vt:i4>
  </property>
</Properties>
</file>